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theme/themeOverride4.xml" ContentType="application/vnd.openxmlformats-officedocument.themeOverride+xml"/>
  <Override PartName="/word/charts/chart9.xml" ContentType="application/vnd.openxmlformats-officedocument.drawingml.chart+xml"/>
  <Override PartName="/word/theme/themeOverride5.xml" ContentType="application/vnd.openxmlformats-officedocument.themeOverride+xml"/>
  <Override PartName="/word/charts/chart10.xml" ContentType="application/vnd.openxmlformats-officedocument.drawingml.chart+xml"/>
  <Override PartName="/word/theme/themeOverride6.xml" ContentType="application/vnd.openxmlformats-officedocument.themeOverride+xml"/>
  <Override PartName="/word/charts/chart11.xml" ContentType="application/vnd.openxmlformats-officedocument.drawingml.chart+xml"/>
  <Override PartName="/word/theme/themeOverride7.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AA7051" w14:textId="77777777" w:rsidR="004127D7" w:rsidRPr="00B92001" w:rsidRDefault="00B92001" w:rsidP="00B92001">
      <w:pPr>
        <w:keepNext/>
        <w:pageBreakBefore/>
        <w:spacing w:after="240" w:line="240" w:lineRule="auto"/>
        <w:jc w:val="center"/>
        <w:outlineLvl w:val="0"/>
        <w:rPr>
          <w:rFonts w:ascii="Book Antiqua" w:eastAsia="Times New Roman" w:hAnsi="Book Antiqua" w:cs="Times New Roman"/>
          <w:b/>
          <w:bCs/>
          <w:caps/>
          <w:kern w:val="28"/>
          <w:sz w:val="24"/>
          <w:szCs w:val="20"/>
          <w:lang w:eastAsia="ru-RU"/>
        </w:rPr>
      </w:pPr>
      <w:r w:rsidRPr="00B92001">
        <w:rPr>
          <w:rFonts w:ascii="Book Antiqua" w:eastAsia="Times New Roman" w:hAnsi="Book Antiqua" w:cs="Times New Roman"/>
          <w:b/>
          <w:bCs/>
          <w:kern w:val="28"/>
          <w:sz w:val="24"/>
          <w:szCs w:val="20"/>
          <w:lang w:eastAsia="ru-RU"/>
        </w:rPr>
        <w:t>Секция</w:t>
      </w:r>
      <w:r w:rsidR="002245D5" w:rsidRPr="00B92001">
        <w:rPr>
          <w:rFonts w:ascii="Book Antiqua" w:eastAsia="Times New Roman" w:hAnsi="Book Antiqua" w:cs="Times New Roman"/>
          <w:b/>
          <w:bCs/>
          <w:caps/>
          <w:kern w:val="28"/>
          <w:sz w:val="24"/>
          <w:szCs w:val="20"/>
          <w:lang w:eastAsia="ru-RU"/>
        </w:rPr>
        <w:t>. МИРОВАЯ ЭКОНОМИКА: СОВРЕМЕННЫЕ ВЫЗОВЫ И УГРОЗЫ.</w:t>
      </w:r>
    </w:p>
    <w:p w14:paraId="32397AF5" w14:textId="77777777" w:rsidR="001F333E" w:rsidRPr="001E01E0" w:rsidRDefault="001F333E" w:rsidP="001F333E">
      <w:pPr>
        <w:keepNext/>
        <w:spacing w:before="120" w:after="120" w:line="240" w:lineRule="auto"/>
        <w:outlineLvl w:val="3"/>
        <w:rPr>
          <w:rFonts w:ascii="Times New Roman" w:eastAsia="Calibri" w:hAnsi="Times New Roman" w:cs="Times New Roman"/>
          <w:b/>
          <w:bCs/>
          <w:sz w:val="24"/>
          <w:szCs w:val="24"/>
        </w:rPr>
      </w:pPr>
      <w:r w:rsidRPr="001E01E0">
        <w:rPr>
          <w:rFonts w:ascii="Times New Roman" w:eastAsia="Calibri" w:hAnsi="Times New Roman" w:cs="Times New Roman"/>
          <w:b/>
          <w:bCs/>
          <w:sz w:val="24"/>
          <w:szCs w:val="24"/>
        </w:rPr>
        <w:t>Рубрика: Экономика и экономические науки</w:t>
      </w:r>
    </w:p>
    <w:p w14:paraId="4E583FA5" w14:textId="77777777" w:rsidR="001F333E" w:rsidRPr="001E01E0" w:rsidRDefault="001F333E" w:rsidP="001F333E">
      <w:pPr>
        <w:spacing w:after="0" w:line="240" w:lineRule="auto"/>
        <w:jc w:val="both"/>
        <w:rPr>
          <w:rFonts w:ascii="Times New Roman" w:eastAsia="Calibri" w:hAnsi="Times New Roman" w:cs="Times New Roman"/>
          <w:sz w:val="24"/>
          <w:szCs w:val="24"/>
        </w:rPr>
      </w:pPr>
      <w:r w:rsidRPr="001E01E0">
        <w:rPr>
          <w:rFonts w:ascii="Times New Roman" w:eastAsia="Calibri" w:hAnsi="Times New Roman" w:cs="Times New Roman"/>
          <w:sz w:val="24"/>
          <w:szCs w:val="24"/>
        </w:rPr>
        <w:t>УДК 334.021.1</w:t>
      </w:r>
    </w:p>
    <w:p w14:paraId="7F1FF956" w14:textId="77777777" w:rsidR="001F333E" w:rsidRPr="001E01E0" w:rsidRDefault="001F333E" w:rsidP="001F333E">
      <w:pPr>
        <w:keepNext/>
        <w:spacing w:before="240" w:after="240" w:line="240" w:lineRule="auto"/>
        <w:jc w:val="center"/>
        <w:outlineLvl w:val="0"/>
        <w:rPr>
          <w:rFonts w:ascii="Times New Roman" w:eastAsia="Times New Roman" w:hAnsi="Times New Roman" w:cs="Times New Roman"/>
          <w:b/>
          <w:bCs/>
          <w:caps/>
          <w:kern w:val="28"/>
          <w:sz w:val="24"/>
          <w:szCs w:val="24"/>
        </w:rPr>
      </w:pPr>
      <w:r w:rsidRPr="001E01E0">
        <w:rPr>
          <w:rFonts w:ascii="Times New Roman" w:eastAsia="Times New Roman" w:hAnsi="Times New Roman" w:cs="Times New Roman"/>
          <w:b/>
          <w:bCs/>
          <w:caps/>
          <w:kern w:val="28"/>
          <w:sz w:val="24"/>
          <w:szCs w:val="24"/>
        </w:rPr>
        <w:t>Формирования инвестиционной политики организации</w:t>
      </w:r>
    </w:p>
    <w:p w14:paraId="67890702" w14:textId="77777777" w:rsidR="001F333E" w:rsidRPr="001E01E0" w:rsidRDefault="00410DEE" w:rsidP="001F333E">
      <w:pPr>
        <w:spacing w:after="0" w:line="240" w:lineRule="auto"/>
        <w:jc w:val="center"/>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Арабей Константин Александрович</w:t>
      </w:r>
    </w:p>
    <w:p w14:paraId="2AE3A343" w14:textId="77777777" w:rsidR="001F333E" w:rsidRPr="001E01E0" w:rsidRDefault="001F333E" w:rsidP="001F333E">
      <w:pPr>
        <w:spacing w:line="240" w:lineRule="auto"/>
        <w:jc w:val="center"/>
        <w:rPr>
          <w:rFonts w:ascii="Times New Roman" w:eastAsia="Calibri" w:hAnsi="Times New Roman" w:cs="Times New Roman"/>
          <w:bCs/>
          <w:sz w:val="24"/>
          <w:szCs w:val="24"/>
          <w:lang w:eastAsia="ru-RU"/>
        </w:rPr>
      </w:pPr>
      <w:r w:rsidRPr="001E01E0">
        <w:rPr>
          <w:rFonts w:ascii="Times New Roman" w:eastAsia="Calibri" w:hAnsi="Times New Roman" w:cs="Times New Roman"/>
          <w:bCs/>
          <w:sz w:val="24"/>
          <w:szCs w:val="24"/>
          <w:lang w:eastAsia="ru-RU"/>
        </w:rPr>
        <w:t>Бакалавр</w:t>
      </w:r>
    </w:p>
    <w:p w14:paraId="5611D280" w14:textId="77777777" w:rsidR="001F333E" w:rsidRPr="001E01E0" w:rsidRDefault="001F333E" w:rsidP="001F333E">
      <w:pPr>
        <w:spacing w:after="0" w:line="240" w:lineRule="auto"/>
        <w:jc w:val="center"/>
        <w:rPr>
          <w:rFonts w:ascii="Times New Roman" w:eastAsia="Calibri" w:hAnsi="Times New Roman" w:cs="Times New Roman"/>
          <w:i/>
          <w:sz w:val="24"/>
          <w:szCs w:val="24"/>
        </w:rPr>
      </w:pPr>
      <w:r w:rsidRPr="001E01E0">
        <w:rPr>
          <w:rFonts w:ascii="Times New Roman" w:eastAsia="Calibri" w:hAnsi="Times New Roman" w:cs="Times New Roman"/>
          <w:i/>
          <w:sz w:val="24"/>
          <w:szCs w:val="24"/>
        </w:rPr>
        <w:t>Владивостокский государственный университет экономики и сервиса</w:t>
      </w:r>
    </w:p>
    <w:p w14:paraId="42CDF71A" w14:textId="77777777" w:rsidR="001F333E" w:rsidRPr="001E01E0" w:rsidRDefault="001F333E" w:rsidP="001F333E">
      <w:pPr>
        <w:spacing w:line="240" w:lineRule="auto"/>
        <w:jc w:val="center"/>
        <w:rPr>
          <w:rFonts w:ascii="Times New Roman" w:eastAsia="Calibri" w:hAnsi="Times New Roman" w:cs="Times New Roman"/>
          <w:i/>
          <w:sz w:val="24"/>
          <w:szCs w:val="24"/>
        </w:rPr>
      </w:pPr>
      <w:r w:rsidRPr="001E01E0">
        <w:rPr>
          <w:rFonts w:ascii="Times New Roman" w:eastAsia="Calibri" w:hAnsi="Times New Roman" w:cs="Times New Roman"/>
          <w:i/>
          <w:sz w:val="24"/>
          <w:szCs w:val="24"/>
        </w:rPr>
        <w:t>Россия. Владивосток</w:t>
      </w:r>
    </w:p>
    <w:p w14:paraId="628D220A" w14:textId="77777777" w:rsidR="001F333E" w:rsidRPr="001E01E0" w:rsidRDefault="001F333E" w:rsidP="001F333E">
      <w:pPr>
        <w:spacing w:after="0" w:line="240" w:lineRule="auto"/>
        <w:jc w:val="center"/>
        <w:rPr>
          <w:rFonts w:ascii="Times New Roman" w:hAnsi="Times New Roman" w:cs="Times New Roman"/>
          <w:sz w:val="24"/>
          <w:szCs w:val="24"/>
        </w:rPr>
      </w:pPr>
      <w:r w:rsidRPr="001E01E0">
        <w:rPr>
          <w:rFonts w:ascii="Times New Roman" w:hAnsi="Times New Roman" w:cs="Times New Roman"/>
          <w:sz w:val="24"/>
          <w:szCs w:val="24"/>
          <w:lang w:val="en-US"/>
        </w:rPr>
        <w:t>E</w:t>
      </w:r>
      <w:r w:rsidRPr="001E01E0">
        <w:rPr>
          <w:rFonts w:ascii="Times New Roman" w:hAnsi="Times New Roman" w:cs="Times New Roman"/>
          <w:sz w:val="24"/>
          <w:szCs w:val="24"/>
        </w:rPr>
        <w:t>-</w:t>
      </w:r>
      <w:r w:rsidRPr="001E01E0">
        <w:rPr>
          <w:rFonts w:ascii="Times New Roman" w:hAnsi="Times New Roman" w:cs="Times New Roman"/>
          <w:sz w:val="24"/>
          <w:szCs w:val="24"/>
          <w:lang w:val="en-US"/>
        </w:rPr>
        <w:t>mail</w:t>
      </w:r>
      <w:r w:rsidRPr="001E01E0">
        <w:rPr>
          <w:rFonts w:ascii="Times New Roman" w:hAnsi="Times New Roman" w:cs="Times New Roman"/>
          <w:sz w:val="24"/>
          <w:szCs w:val="24"/>
        </w:rPr>
        <w:t xml:space="preserve">: </w:t>
      </w:r>
      <w:r w:rsidRPr="001E01E0">
        <w:rPr>
          <w:rFonts w:ascii="Times New Roman" w:hAnsi="Times New Roman" w:cs="Times New Roman"/>
          <w:sz w:val="24"/>
          <w:szCs w:val="24"/>
          <w:lang w:val="en-US"/>
        </w:rPr>
        <w:t>konstantin</w:t>
      </w:r>
      <w:r w:rsidRPr="001E01E0">
        <w:rPr>
          <w:rFonts w:ascii="Times New Roman" w:hAnsi="Times New Roman" w:cs="Times New Roman"/>
          <w:sz w:val="24"/>
          <w:szCs w:val="24"/>
        </w:rPr>
        <w:t>.</w:t>
      </w:r>
      <w:r w:rsidRPr="001E01E0">
        <w:rPr>
          <w:rFonts w:ascii="Times New Roman" w:hAnsi="Times New Roman" w:cs="Times New Roman"/>
          <w:sz w:val="24"/>
          <w:szCs w:val="24"/>
          <w:lang w:val="en-US"/>
        </w:rPr>
        <w:t>arabej</w:t>
      </w:r>
      <w:r w:rsidRPr="001E01E0">
        <w:rPr>
          <w:rFonts w:ascii="Times New Roman" w:hAnsi="Times New Roman" w:cs="Times New Roman"/>
          <w:sz w:val="24"/>
          <w:szCs w:val="24"/>
        </w:rPr>
        <w:t>@</w:t>
      </w:r>
      <w:r w:rsidRPr="001E01E0">
        <w:rPr>
          <w:rFonts w:ascii="Times New Roman" w:hAnsi="Times New Roman" w:cs="Times New Roman"/>
          <w:sz w:val="24"/>
          <w:szCs w:val="24"/>
          <w:lang w:val="en-US"/>
        </w:rPr>
        <w:t>gmail</w:t>
      </w:r>
      <w:r w:rsidRPr="001E01E0">
        <w:rPr>
          <w:rFonts w:ascii="Times New Roman" w:hAnsi="Times New Roman" w:cs="Times New Roman"/>
          <w:sz w:val="24"/>
          <w:szCs w:val="24"/>
        </w:rPr>
        <w:t>.</w:t>
      </w:r>
      <w:r w:rsidRPr="001E01E0">
        <w:rPr>
          <w:rFonts w:ascii="Times New Roman" w:hAnsi="Times New Roman" w:cs="Times New Roman"/>
          <w:sz w:val="24"/>
          <w:szCs w:val="24"/>
          <w:lang w:val="en-US"/>
        </w:rPr>
        <w:t>com</w:t>
      </w:r>
      <w:r w:rsidRPr="001E01E0">
        <w:rPr>
          <w:rFonts w:ascii="Times New Roman" w:hAnsi="Times New Roman" w:cs="Times New Roman"/>
          <w:sz w:val="24"/>
          <w:szCs w:val="24"/>
        </w:rPr>
        <w:t>; +79140718912</w:t>
      </w:r>
    </w:p>
    <w:p w14:paraId="55FC940D" w14:textId="77777777" w:rsidR="001F333E" w:rsidRPr="001E01E0" w:rsidRDefault="001F333E" w:rsidP="001F333E">
      <w:pPr>
        <w:spacing w:after="0" w:line="240" w:lineRule="auto"/>
        <w:jc w:val="center"/>
        <w:rPr>
          <w:rFonts w:ascii="Times New Roman" w:hAnsi="Times New Roman" w:cs="Times New Roman"/>
          <w:sz w:val="24"/>
          <w:szCs w:val="24"/>
        </w:rPr>
      </w:pPr>
      <w:r w:rsidRPr="001E01E0">
        <w:rPr>
          <w:rFonts w:ascii="Times New Roman" w:hAnsi="Times New Roman" w:cs="Times New Roman"/>
          <w:sz w:val="24"/>
          <w:szCs w:val="24"/>
        </w:rPr>
        <w:t>Ул. Гоголя, 41, г. Владивосток, Приморский край, Россия, 690014</w:t>
      </w:r>
    </w:p>
    <w:p w14:paraId="672A6659" w14:textId="77777777" w:rsidR="001F333E" w:rsidRPr="001E01E0" w:rsidRDefault="001F333E" w:rsidP="001F333E">
      <w:pPr>
        <w:spacing w:before="20" w:after="0" w:line="240" w:lineRule="auto"/>
        <w:jc w:val="center"/>
        <w:rPr>
          <w:rFonts w:ascii="Times New Roman" w:hAnsi="Times New Roman" w:cs="Times New Roman"/>
          <w:sz w:val="24"/>
          <w:szCs w:val="24"/>
        </w:rPr>
      </w:pPr>
    </w:p>
    <w:p w14:paraId="56872EBE" w14:textId="77777777" w:rsidR="001F333E" w:rsidRPr="001E01E0" w:rsidRDefault="001F333E" w:rsidP="001F333E">
      <w:pPr>
        <w:spacing w:after="0" w:line="240" w:lineRule="auto"/>
        <w:ind w:firstLine="709"/>
        <w:jc w:val="both"/>
        <w:rPr>
          <w:rFonts w:ascii="Times New Roman" w:hAnsi="Times New Roman" w:cs="Times New Roman"/>
          <w:i/>
          <w:sz w:val="24"/>
          <w:szCs w:val="24"/>
        </w:rPr>
      </w:pPr>
      <w:r w:rsidRPr="001E01E0">
        <w:rPr>
          <w:rFonts w:ascii="Times New Roman" w:hAnsi="Times New Roman" w:cs="Times New Roman"/>
          <w:i/>
          <w:sz w:val="24"/>
          <w:szCs w:val="24"/>
        </w:rPr>
        <w:t>В статье показана трактовка основных понятий, характеризующих инвестиционную деятельность в организации. Проанализированы основные подходы по созданию инвестиционной стратегии и политики организации. Показаны важнейшие направления формирования инвестиционных стратегий и программ в организации.</w:t>
      </w:r>
    </w:p>
    <w:p w14:paraId="35FA8893" w14:textId="77777777" w:rsidR="001F333E" w:rsidRPr="001E01E0" w:rsidRDefault="001F333E" w:rsidP="001F333E">
      <w:pPr>
        <w:spacing w:after="0" w:line="240" w:lineRule="auto"/>
        <w:ind w:firstLine="709"/>
        <w:jc w:val="both"/>
        <w:rPr>
          <w:rFonts w:ascii="Times New Roman" w:hAnsi="Times New Roman" w:cs="Times New Roman"/>
          <w:i/>
          <w:sz w:val="24"/>
          <w:szCs w:val="24"/>
        </w:rPr>
      </w:pPr>
      <w:r w:rsidRPr="001E01E0">
        <w:rPr>
          <w:rFonts w:ascii="Times New Roman" w:hAnsi="Times New Roman" w:cs="Times New Roman"/>
          <w:b/>
          <w:i/>
          <w:sz w:val="24"/>
          <w:szCs w:val="24"/>
        </w:rPr>
        <w:t xml:space="preserve">Ключевые слова: </w:t>
      </w:r>
      <w:r w:rsidRPr="001E01E0">
        <w:rPr>
          <w:rFonts w:ascii="Times New Roman" w:hAnsi="Times New Roman" w:cs="Times New Roman"/>
          <w:i/>
          <w:sz w:val="24"/>
          <w:szCs w:val="24"/>
        </w:rPr>
        <w:t>экономика, организация, инвестиции, инвестиционная политика, инвестиционное развитие.</w:t>
      </w:r>
    </w:p>
    <w:p w14:paraId="73614CE5" w14:textId="77777777" w:rsidR="001F333E" w:rsidRPr="001E01E0" w:rsidRDefault="001F333E" w:rsidP="00410DEE">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1E01E0">
        <w:rPr>
          <w:rFonts w:ascii="Times New Roman" w:eastAsia="Times New Roman" w:hAnsi="Times New Roman" w:cs="Times New Roman"/>
          <w:b/>
          <w:bCs/>
          <w:caps/>
          <w:kern w:val="28"/>
          <w:sz w:val="24"/>
          <w:szCs w:val="24"/>
          <w:lang w:val="en-US"/>
        </w:rPr>
        <w:t>Formation of the investment policy of the organization</w:t>
      </w:r>
    </w:p>
    <w:p w14:paraId="0100F214" w14:textId="77777777" w:rsidR="001F333E" w:rsidRPr="001E01E0" w:rsidRDefault="001F333E" w:rsidP="001F333E">
      <w:pPr>
        <w:spacing w:after="0" w:line="240" w:lineRule="auto"/>
        <w:ind w:firstLine="709"/>
        <w:jc w:val="both"/>
        <w:rPr>
          <w:rFonts w:ascii="Times New Roman" w:hAnsi="Times New Roman" w:cs="Times New Roman"/>
          <w:i/>
          <w:sz w:val="24"/>
          <w:szCs w:val="24"/>
          <w:lang w:val="en-US"/>
        </w:rPr>
      </w:pPr>
      <w:r w:rsidRPr="001E01E0">
        <w:rPr>
          <w:rFonts w:ascii="Times New Roman" w:hAnsi="Times New Roman" w:cs="Times New Roman"/>
          <w:i/>
          <w:sz w:val="24"/>
          <w:szCs w:val="24"/>
          <w:lang w:val="en-US"/>
        </w:rPr>
        <w:t>The article shows the interpretation of the basic concepts that characterize the investment activity in the organization. The main approaches to the investment strategy and organization policy are analyzed. The most important directions of formation of investment strategies and programs in the organization are shown.</w:t>
      </w:r>
    </w:p>
    <w:p w14:paraId="70600F44" w14:textId="77777777" w:rsidR="001F333E" w:rsidRPr="001E01E0" w:rsidRDefault="001F333E" w:rsidP="001F333E">
      <w:pPr>
        <w:spacing w:after="0" w:line="240" w:lineRule="auto"/>
        <w:ind w:firstLine="709"/>
        <w:jc w:val="both"/>
        <w:rPr>
          <w:rFonts w:ascii="Times New Roman" w:hAnsi="Times New Roman" w:cs="Times New Roman"/>
          <w:b/>
          <w:i/>
          <w:sz w:val="24"/>
          <w:szCs w:val="24"/>
          <w:lang w:val="en-US"/>
        </w:rPr>
      </w:pPr>
      <w:r w:rsidRPr="001E01E0">
        <w:rPr>
          <w:rFonts w:ascii="Times New Roman" w:hAnsi="Times New Roman" w:cs="Times New Roman"/>
          <w:b/>
          <w:i/>
          <w:sz w:val="24"/>
          <w:szCs w:val="24"/>
          <w:lang w:val="en-US"/>
        </w:rPr>
        <w:t xml:space="preserve">Key words: </w:t>
      </w:r>
      <w:r w:rsidRPr="001E01E0">
        <w:rPr>
          <w:rFonts w:ascii="Times New Roman" w:hAnsi="Times New Roman" w:cs="Times New Roman"/>
          <w:i/>
          <w:sz w:val="24"/>
          <w:szCs w:val="24"/>
          <w:lang w:val="en-US"/>
        </w:rPr>
        <w:t>economy, organization, investment, investment policy, investment development.</w:t>
      </w:r>
    </w:p>
    <w:p w14:paraId="0A37501D" w14:textId="77777777" w:rsidR="001F333E" w:rsidRPr="00212D0F" w:rsidRDefault="001F333E" w:rsidP="001F333E">
      <w:pPr>
        <w:spacing w:after="0" w:line="240" w:lineRule="auto"/>
        <w:ind w:firstLine="709"/>
        <w:jc w:val="both"/>
        <w:rPr>
          <w:rFonts w:ascii="Times New Roman" w:hAnsi="Times New Roman"/>
          <w:sz w:val="20"/>
          <w:szCs w:val="24"/>
          <w:lang w:val="en-US"/>
        </w:rPr>
      </w:pPr>
    </w:p>
    <w:p w14:paraId="2F01D904"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Инвестиционная политика организации — это выбор пути собственного развития: экстенсивного или интенсивного. По сути, это выбор стратегии развития фирмы. При экстенсивном пути инвестиции направляются на увеличение масштабов производства на существующей технологической базе производства. Это присуще организациям и предприятиям, имеющим высокий уровень технического и технологического оснащения, опережающий в своей области остальных участников рынка. Расширение производства увеличивает им массу прибыли. Эта политика временна для них. Если фирма хочет сохранить лидирующие позиции на рынке, ей придется вкладывать средства в поиск более эффективных методов производства. Остальные участники ищут пути повышения эффективности своего производства, пытаются догнать и перегнать лидеров отрасли [4, с.88].</w:t>
      </w:r>
    </w:p>
    <w:p w14:paraId="725F3CED"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Конкурентоспособность на рынке является мощным стимулом интенсивного развития предприятий и организаций, а значит, и выбора соответствующей инвестиционной политики. Интенсивный путь развития предприятия, организации предполагает формирование инвестиционной политики предприятия, организации при которой, большая часть прибыли и амортизационные отчисления направляются на закупку нового, более производительного оборудования, внедрение прогрессивных методов управления, внедрения автоматизации и роботизации производства.</w:t>
      </w:r>
    </w:p>
    <w:p w14:paraId="6F31C9DB"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Из этого следует, что стратегия развития любой компании на рынке должна ориентироваться на интенсивный путь, где периоды экстенсивного развития входят как тактические элементы глобального интенсивного пути развития фирмы.</w:t>
      </w:r>
    </w:p>
    <w:p w14:paraId="7AE6ED87"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lastRenderedPageBreak/>
        <w:t>Формирование инвестиционной политики фирмы (предприятия, организации) предполагает [5, с.218]:</w:t>
      </w:r>
    </w:p>
    <w:p w14:paraId="3D4FA109" w14:textId="77777777" w:rsidR="001F333E" w:rsidRPr="007E1183" w:rsidRDefault="001F333E" w:rsidP="001F333E">
      <w:pPr>
        <w:numPr>
          <w:ilvl w:val="0"/>
          <w:numId w:val="55"/>
        </w:numPr>
        <w:spacing w:after="0" w:line="240" w:lineRule="auto"/>
        <w:ind w:left="0" w:firstLine="709"/>
        <w:jc w:val="both"/>
        <w:rPr>
          <w:rFonts w:ascii="Times New Roman" w:eastAsia="TimesNewRomanPSMT" w:hAnsi="Times New Roman" w:cs="Times New Roman"/>
          <w:sz w:val="24"/>
          <w:szCs w:val="24"/>
        </w:rPr>
      </w:pPr>
      <w:r w:rsidRPr="007E1183">
        <w:rPr>
          <w:rFonts w:ascii="Times New Roman" w:eastAsia="TimesNewRomanPSMT" w:hAnsi="Times New Roman" w:cs="Times New Roman"/>
          <w:sz w:val="24"/>
          <w:szCs w:val="24"/>
        </w:rPr>
        <w:t>определение горизонта выбираемой стратегии развития – краткосрочной, средне- или долгосрочной;</w:t>
      </w:r>
    </w:p>
    <w:p w14:paraId="596F068C" w14:textId="77777777" w:rsidR="001F333E" w:rsidRPr="007E1183" w:rsidRDefault="001F333E" w:rsidP="001F333E">
      <w:pPr>
        <w:numPr>
          <w:ilvl w:val="0"/>
          <w:numId w:val="55"/>
        </w:numPr>
        <w:spacing w:after="0" w:line="240" w:lineRule="auto"/>
        <w:ind w:left="0" w:firstLine="709"/>
        <w:jc w:val="both"/>
        <w:rPr>
          <w:rFonts w:ascii="Times New Roman" w:eastAsia="TimesNewRomanPSMT" w:hAnsi="Times New Roman" w:cs="Times New Roman"/>
          <w:sz w:val="24"/>
          <w:szCs w:val="24"/>
        </w:rPr>
      </w:pPr>
      <w:r w:rsidRPr="007E1183">
        <w:rPr>
          <w:rFonts w:ascii="Times New Roman" w:eastAsia="TimesNewRomanPSMT" w:hAnsi="Times New Roman" w:cs="Times New Roman"/>
          <w:sz w:val="24"/>
          <w:szCs w:val="24"/>
        </w:rPr>
        <w:t>выбор направления развития - отраслевой или межотраслевой;</w:t>
      </w:r>
    </w:p>
    <w:p w14:paraId="0AC87B6B" w14:textId="77777777" w:rsidR="001F333E" w:rsidRPr="007E1183" w:rsidRDefault="001F333E" w:rsidP="001F333E">
      <w:pPr>
        <w:numPr>
          <w:ilvl w:val="0"/>
          <w:numId w:val="55"/>
        </w:numPr>
        <w:spacing w:after="0" w:line="240" w:lineRule="auto"/>
        <w:ind w:left="0" w:firstLine="709"/>
        <w:jc w:val="both"/>
        <w:rPr>
          <w:rFonts w:ascii="Times New Roman" w:eastAsia="TimesNewRomanPSMT" w:hAnsi="Times New Roman" w:cs="Times New Roman"/>
          <w:sz w:val="24"/>
          <w:szCs w:val="24"/>
        </w:rPr>
      </w:pPr>
      <w:r w:rsidRPr="007E1183">
        <w:rPr>
          <w:rFonts w:ascii="Times New Roman" w:eastAsia="TimesNewRomanPSMT" w:hAnsi="Times New Roman" w:cs="Times New Roman"/>
          <w:sz w:val="24"/>
          <w:szCs w:val="24"/>
        </w:rPr>
        <w:t>территориальный выбор деятельности - ориентация на местный рынок, региональный, общероссийский или международный;</w:t>
      </w:r>
    </w:p>
    <w:p w14:paraId="400E14F3" w14:textId="77777777" w:rsidR="001F333E" w:rsidRPr="007E1183" w:rsidRDefault="001F333E" w:rsidP="001F333E">
      <w:pPr>
        <w:numPr>
          <w:ilvl w:val="0"/>
          <w:numId w:val="55"/>
        </w:numPr>
        <w:spacing w:after="0" w:line="240" w:lineRule="auto"/>
        <w:ind w:left="0" w:firstLine="709"/>
        <w:jc w:val="both"/>
        <w:rPr>
          <w:rFonts w:ascii="Times New Roman" w:eastAsia="TimesNewRomanPSMT" w:hAnsi="Times New Roman" w:cs="Times New Roman"/>
          <w:sz w:val="24"/>
          <w:szCs w:val="24"/>
        </w:rPr>
      </w:pPr>
      <w:r w:rsidRPr="007E1183">
        <w:rPr>
          <w:rFonts w:ascii="Times New Roman" w:eastAsia="TimesNewRomanPSMT" w:hAnsi="Times New Roman" w:cs="Times New Roman"/>
          <w:sz w:val="24"/>
          <w:szCs w:val="24"/>
        </w:rPr>
        <w:t>определение источников финансирования инвестиционной политики – определение потребностей в ресурсах, возможности финансирования за счет собственных ресурсов и заемных средств, оптимизация соотношения между ними, определение источников финансирования. Иными словами, выбор инвестиционного портфеля предприятия, организации;</w:t>
      </w:r>
    </w:p>
    <w:p w14:paraId="41AD19CE" w14:textId="77777777" w:rsidR="001F333E" w:rsidRPr="007E1183" w:rsidRDefault="001F333E" w:rsidP="001F333E">
      <w:pPr>
        <w:numPr>
          <w:ilvl w:val="0"/>
          <w:numId w:val="55"/>
        </w:numPr>
        <w:spacing w:after="0" w:line="240" w:lineRule="auto"/>
        <w:ind w:left="0" w:firstLine="709"/>
        <w:jc w:val="both"/>
        <w:rPr>
          <w:rFonts w:ascii="Times New Roman" w:eastAsia="TimesNewRomanPSMT" w:hAnsi="Times New Roman" w:cs="Times New Roman"/>
          <w:sz w:val="24"/>
          <w:szCs w:val="24"/>
        </w:rPr>
      </w:pPr>
      <w:r w:rsidRPr="007E1183">
        <w:rPr>
          <w:rFonts w:ascii="Times New Roman" w:eastAsia="TimesNewRomanPSMT" w:hAnsi="Times New Roman" w:cs="Times New Roman"/>
          <w:sz w:val="24"/>
          <w:szCs w:val="24"/>
        </w:rPr>
        <w:t>создание системы управления инвестиционной политикой – это может быть формирование специального органа управления инвестиционной политикой, или закрепление функций управления за действующими структурными подразделениями;</w:t>
      </w:r>
    </w:p>
    <w:p w14:paraId="788CA0E2" w14:textId="77777777" w:rsidR="001F333E" w:rsidRPr="007E1183" w:rsidRDefault="001F333E" w:rsidP="001F333E">
      <w:pPr>
        <w:numPr>
          <w:ilvl w:val="0"/>
          <w:numId w:val="55"/>
        </w:numPr>
        <w:spacing w:after="0" w:line="240" w:lineRule="auto"/>
        <w:ind w:left="0" w:firstLine="709"/>
        <w:jc w:val="both"/>
        <w:rPr>
          <w:rFonts w:ascii="Times New Roman" w:eastAsia="TimesNewRomanPSMT" w:hAnsi="Times New Roman" w:cs="Times New Roman"/>
          <w:sz w:val="24"/>
          <w:szCs w:val="24"/>
        </w:rPr>
      </w:pPr>
      <w:r w:rsidRPr="007E1183">
        <w:rPr>
          <w:rFonts w:ascii="Times New Roman" w:eastAsia="TimesNewRomanPSMT" w:hAnsi="Times New Roman" w:cs="Times New Roman"/>
          <w:sz w:val="24"/>
          <w:szCs w:val="24"/>
        </w:rPr>
        <w:t>проведение мониторинга реализации инвестиционной политики – периодическое определение экономической эффективности реализуемых инвестиционных проектов и введение корректирующих поправок в случае отклонения от заданных параметров инвестиционного проекта.</w:t>
      </w:r>
    </w:p>
    <w:p w14:paraId="60D5E2E0"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Таким образом, инвестиционная политика организации неотъемлемая часть финансовой политики организации и разрабатывает оптимальные стратегии инвестирования производства для скорейшего повышения экономического потенциала. Разработка инвестиционной политики затрагивает следующие направления деятельности (рисунок 1.1) [3, с.204].</w:t>
      </w:r>
    </w:p>
    <w:p w14:paraId="699E80D4" w14:textId="77777777" w:rsidR="001F333E" w:rsidRPr="007E1183" w:rsidRDefault="007014C7" w:rsidP="001F333E">
      <w:pPr>
        <w:spacing w:before="20" w:line="240" w:lineRule="auto"/>
        <w:ind w:firstLine="709"/>
        <w:jc w:val="both"/>
        <w:rPr>
          <w:rFonts w:ascii="Times New Roman" w:hAnsi="Times New Roman" w:cs="Times New Roman"/>
          <w:i/>
          <w:sz w:val="24"/>
          <w:szCs w:val="24"/>
        </w:rPr>
      </w:pPr>
      <w:r>
        <w:rPr>
          <w:rFonts w:ascii="Times New Roman" w:hAnsi="Times New Roman" w:cs="Times New Roman"/>
          <w:noProof/>
          <w:sz w:val="24"/>
          <w:szCs w:val="24"/>
          <w:lang w:eastAsia="ru-RU"/>
        </w:rPr>
        <w:pict w14:anchorId="5819FA61">
          <v:rect id="Прямоугольник 119" o:spid="_x0000_s1026" style="position:absolute;left:0;text-align:left;margin-left:78.8pt;margin-top:295.25pt;width:378.05pt;height:15.7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">
            <v:textbox>
              <w:txbxContent>
                <w:p w14:paraId="1442E744" w14:textId="77777777" w:rsidR="007014C7" w:rsidRPr="002A5DFE" w:rsidRDefault="007014C7" w:rsidP="001F333E">
                  <w:pPr>
                    <w:rPr>
                      <w:sz w:val="16"/>
                    </w:rPr>
                  </w:pPr>
                  <w:r w:rsidRPr="002A5DFE">
                    <w:rPr>
                      <w:sz w:val="16"/>
                    </w:rPr>
                    <w:t>Стратегическое планирование инвестиций</w:t>
                  </w:r>
                </w:p>
              </w:txbxContent>
            </v:textbox>
          </v:rect>
        </w:pict>
      </w:r>
      <w:r>
        <w:rPr>
          <w:rFonts w:ascii="Times New Roman" w:hAnsi="Times New Roman" w:cs="Times New Roman"/>
          <w:noProof/>
          <w:sz w:val="24"/>
          <w:szCs w:val="24"/>
          <w:lang w:eastAsia="ru-RU"/>
        </w:rPr>
        <w:pict w14:anchorId="0AB6E201">
          <v:shapetype id="_x0000_t32" coordsize="21600,21600" o:spt="32" o:oned="t" path="m,l21600,21600e" filled="f">
            <v:path arrowok="t" fillok="f" o:connecttype="none"/>
            <o:lock v:ext="edit" shapetype="t"/>
          </v:shapetype>
          <v:shape id="Прямая со стрелкой 118" o:spid="_x0000_s1163" type="#_x0000_t32" style="position:absolute;left:0;text-align:left;margin-left:49.85pt;margin-top:306.4pt;width:29.3pt;height:0;z-index:251727872;visibility:visible;mso-wrap-distance-top:-3e-5mm;mso-wrap-distance-bottom:-3e-5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" strokecolor="black [3040]">
            <v:stroke endarrow="block"/>
            <o:lock v:ext="edit" shapetype="f"/>
          </v:shape>
        </w:pict>
      </w:r>
      <w:r>
        <w:rPr>
          <w:rFonts w:ascii="Times New Roman" w:hAnsi="Times New Roman" w:cs="Times New Roman"/>
          <w:noProof/>
          <w:sz w:val="24"/>
          <w:szCs w:val="24"/>
          <w:lang w:eastAsia="ru-RU"/>
        </w:rPr>
        <w:pict w14:anchorId="7AB39F13">
          <v:line id="Прямая соединительная линия 117" o:spid="_x0000_s1162" style="position:absolute;left:0;text-align:left;flip:x;z-index:251706368;visibility:visible;mso-wrap-distance-left:3.17497mm;mso-wrap-distance-right:3.17497mm;mso-width-relative:margin;mso-height-relative:margin" from="49.6pt,22.4pt" to="49.6pt,3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" strokecolor="black [3040]">
            <o:lock v:ext="edit" shapetype="f"/>
          </v:line>
        </w:pict>
      </w:r>
      <w:r>
        <w:rPr>
          <w:rFonts w:ascii="Times New Roman" w:hAnsi="Times New Roman" w:cs="Times New Roman"/>
          <w:noProof/>
          <w:sz w:val="24"/>
          <w:szCs w:val="24"/>
          <w:lang w:eastAsia="ru-RU"/>
        </w:rPr>
        <w:pict w14:anchorId="730EF24D">
          <v:rect id="Прямоугольник 116" o:spid="_x0000_s1027" style="position:absolute;left:0;text-align:left;margin-left:78.65pt;margin-top:226.05pt;width:378.1pt;height:16.4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">
            <v:textbox>
              <w:txbxContent>
                <w:p w14:paraId="400D64DB" w14:textId="77777777" w:rsidR="007014C7" w:rsidRPr="002A5DFE" w:rsidRDefault="007014C7" w:rsidP="001F333E">
                  <w:pPr>
                    <w:rPr>
                      <w:sz w:val="16"/>
                    </w:rPr>
                  </w:pPr>
                  <w:r w:rsidRPr="002A5DFE">
                    <w:rPr>
                      <w:sz w:val="16"/>
                    </w:rPr>
                    <w:t>Минимизация уровня инвестиционных и связанных рисков</w:t>
                  </w:r>
                </w:p>
              </w:txbxContent>
            </v:textbox>
          </v:rect>
        </w:pict>
      </w:r>
      <w:r>
        <w:rPr>
          <w:rFonts w:ascii="Times New Roman" w:hAnsi="Times New Roman" w:cs="Times New Roman"/>
          <w:noProof/>
          <w:sz w:val="24"/>
          <w:szCs w:val="24"/>
          <w:lang w:eastAsia="ru-RU"/>
        </w:rPr>
        <w:pict w14:anchorId="39920E58">
          <v:rect id="Прямоугольник 115" o:spid="_x0000_s1028" style="position:absolute;left:0;text-align:left;margin-left:78.85pt;margin-top:247.55pt;width:378.05pt;height:17.2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">
            <v:textbox>
              <w:txbxContent>
                <w:p w14:paraId="3527314D" w14:textId="77777777" w:rsidR="007014C7" w:rsidRPr="002A5DFE" w:rsidRDefault="007014C7" w:rsidP="001F333E">
                  <w:pPr>
                    <w:rPr>
                      <w:sz w:val="16"/>
                    </w:rPr>
                  </w:pPr>
                  <w:r w:rsidRPr="002A5DFE">
                    <w:rPr>
                      <w:sz w:val="16"/>
                    </w:rPr>
                    <w:t>Обоснование необходимого объема инвестиционных ресурсов</w:t>
                  </w:r>
                </w:p>
              </w:txbxContent>
            </v:textbox>
          </v:rect>
        </w:pict>
      </w:r>
      <w:r>
        <w:rPr>
          <w:rFonts w:ascii="Times New Roman" w:hAnsi="Times New Roman" w:cs="Times New Roman"/>
          <w:noProof/>
          <w:sz w:val="24"/>
          <w:szCs w:val="24"/>
          <w:lang w:eastAsia="ru-RU"/>
        </w:rPr>
        <w:pict w14:anchorId="125344C5">
          <v:rect id="Прямоугольник 114" o:spid="_x0000_s1029" style="position:absolute;left:0;text-align:left;margin-left:79.15pt;margin-top:271.25pt;width:378.1pt;height:17.2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">
            <v:textbox>
              <w:txbxContent>
                <w:p w14:paraId="6D88609A" w14:textId="77777777" w:rsidR="007014C7" w:rsidRPr="002A5DFE" w:rsidRDefault="007014C7" w:rsidP="001F333E">
                  <w:pPr>
                    <w:rPr>
                      <w:sz w:val="16"/>
                    </w:rPr>
                  </w:pPr>
                  <w:r w:rsidRPr="002A5DFE">
                    <w:rPr>
                      <w:sz w:val="16"/>
                    </w:rPr>
                    <w:t>Управление факторами реализуемости инвестиционных программ</w:t>
                  </w:r>
                </w:p>
              </w:txbxContent>
            </v:textbox>
          </v:rect>
        </w:pict>
      </w:r>
      <w:r>
        <w:rPr>
          <w:rFonts w:ascii="Times New Roman" w:hAnsi="Times New Roman" w:cs="Times New Roman"/>
          <w:noProof/>
          <w:sz w:val="24"/>
          <w:szCs w:val="24"/>
          <w:lang w:eastAsia="ru-RU"/>
        </w:rPr>
        <w:pict w14:anchorId="34405850">
          <v:shape id="Прямая со стрелкой 113" o:spid="_x0000_s1161" type="#_x0000_t32" style="position:absolute;left:0;text-align:left;margin-left:50.7pt;margin-top:280.45pt;width:29.3pt;height:0;z-index:25172684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" strokecolor="black [3040]">
            <v:stroke endarrow="block"/>
            <o:lock v:ext="edit" shapetype="f"/>
          </v:shape>
        </w:pict>
      </w:r>
      <w:r>
        <w:rPr>
          <w:rFonts w:ascii="Times New Roman" w:hAnsi="Times New Roman" w:cs="Times New Roman"/>
          <w:noProof/>
          <w:sz w:val="24"/>
          <w:szCs w:val="24"/>
          <w:lang w:eastAsia="ru-RU"/>
        </w:rPr>
        <w:pict w14:anchorId="7D0C235D">
          <v:shape id="Прямая со стрелкой 112" o:spid="_x0000_s1160" type="#_x0000_t32" style="position:absolute;left:0;text-align:left;margin-left:50.7pt;margin-top:257.9pt;width:29.3pt;height:0;z-index:2517258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" strokecolor="black [3040]">
            <v:stroke endarrow="block"/>
            <o:lock v:ext="edit" shapetype="f"/>
          </v:shape>
        </w:pict>
      </w:r>
      <w:r>
        <w:rPr>
          <w:rFonts w:ascii="Times New Roman" w:hAnsi="Times New Roman" w:cs="Times New Roman"/>
          <w:noProof/>
          <w:sz w:val="24"/>
          <w:szCs w:val="24"/>
          <w:lang w:eastAsia="ru-RU"/>
        </w:rPr>
        <w:pict w14:anchorId="474EA4D8">
          <v:shape id="Прямая со стрелкой 111" o:spid="_x0000_s1159" type="#_x0000_t32" style="position:absolute;left:0;text-align:left;margin-left:49.9pt;margin-top:235.3pt;width:29.3pt;height:0;z-index:25172480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" strokecolor="black [3040]">
            <v:stroke endarrow="block"/>
            <o:lock v:ext="edit" shapetype="f"/>
          </v:shape>
        </w:pict>
      </w:r>
      <w:r>
        <w:rPr>
          <w:rFonts w:ascii="Times New Roman" w:hAnsi="Times New Roman" w:cs="Times New Roman"/>
          <w:noProof/>
          <w:sz w:val="24"/>
          <w:szCs w:val="24"/>
          <w:lang w:eastAsia="ru-RU"/>
        </w:rPr>
        <w:pict w14:anchorId="61BB9C42">
          <v:shape id="Прямая со стрелкой 110" o:spid="_x0000_s1158" type="#_x0000_t32" style="position:absolute;left:0;text-align:left;margin-left:50.4pt;margin-top:212.45pt;width:29.3pt;height:0;z-index:251723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" strokecolor="black [3040]">
            <v:stroke endarrow="block"/>
            <o:lock v:ext="edit" shapetype="f"/>
          </v:shape>
        </w:pict>
      </w:r>
      <w:r>
        <w:rPr>
          <w:rFonts w:ascii="Times New Roman" w:hAnsi="Times New Roman" w:cs="Times New Roman"/>
          <w:noProof/>
          <w:sz w:val="24"/>
          <w:szCs w:val="24"/>
          <w:lang w:eastAsia="ru-RU"/>
        </w:rPr>
        <w:pict w14:anchorId="432E2F9F">
          <v:shape id="Прямая со стрелкой 109" o:spid="_x0000_s1157" type="#_x0000_t32" style="position:absolute;left:0;text-align:left;margin-left:50.75pt;margin-top:185.05pt;width:29.3pt;height:0;z-index:25172275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" strokecolor="black [3040]">
            <v:stroke endarrow="block"/>
            <o:lock v:ext="edit" shapetype="f"/>
          </v:shape>
        </w:pict>
      </w:r>
      <w:r>
        <w:rPr>
          <w:rFonts w:ascii="Times New Roman" w:hAnsi="Times New Roman" w:cs="Times New Roman"/>
          <w:noProof/>
          <w:sz w:val="24"/>
          <w:szCs w:val="24"/>
          <w:lang w:eastAsia="ru-RU"/>
        </w:rPr>
        <w:pict w14:anchorId="42CAE3D8">
          <v:rect id="Прямоугольник 108" o:spid="_x0000_s1030" style="position:absolute;left:0;text-align:left;margin-left:80.1pt;margin-top:203.2pt;width:378.1pt;height:16.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">
            <v:textbox>
              <w:txbxContent>
                <w:p w14:paraId="5FFA754D" w14:textId="77777777" w:rsidR="007014C7" w:rsidRPr="002A5DFE" w:rsidRDefault="007014C7" w:rsidP="001F333E">
                  <w:pPr>
                    <w:rPr>
                      <w:sz w:val="16"/>
                    </w:rPr>
                  </w:pPr>
                  <w:r w:rsidRPr="002A5DFE">
                    <w:rPr>
                      <w:sz w:val="16"/>
                    </w:rPr>
                    <w:t>Управление факторами эффективности инвестиций</w:t>
                  </w:r>
                </w:p>
              </w:txbxContent>
            </v:textbox>
          </v:rect>
        </w:pict>
      </w:r>
      <w:r>
        <w:rPr>
          <w:rFonts w:ascii="Times New Roman" w:hAnsi="Times New Roman" w:cs="Times New Roman"/>
          <w:noProof/>
          <w:sz w:val="24"/>
          <w:szCs w:val="24"/>
          <w:lang w:eastAsia="ru-RU"/>
        </w:rPr>
        <w:pict w14:anchorId="6844421F">
          <v:rect id="Прямоугольник 107" o:spid="_x0000_s1031" style="position:absolute;left:0;text-align:left;margin-left:79.7pt;margin-top:170.6pt;width:378.1pt;height:26.9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">
            <v:textbox>
              <w:txbxContent>
                <w:p w14:paraId="74934A46" w14:textId="77777777" w:rsidR="007014C7" w:rsidRPr="002A5DFE" w:rsidRDefault="007014C7" w:rsidP="001F333E">
                  <w:pPr>
                    <w:rPr>
                      <w:sz w:val="16"/>
                    </w:rPr>
                  </w:pPr>
                  <w:r w:rsidRPr="002A5DFE">
                    <w:rPr>
                      <w:sz w:val="16"/>
                    </w:rPr>
                    <w:t>Анализ соответствия объектов инвестирования стратегическим направлениям инвестиционной деятельности</w:t>
                  </w:r>
                </w:p>
              </w:txbxContent>
            </v:textbox>
          </v:rect>
        </w:pict>
      </w:r>
      <w:r>
        <w:rPr>
          <w:rFonts w:ascii="Times New Roman" w:hAnsi="Times New Roman" w:cs="Times New Roman"/>
          <w:noProof/>
          <w:sz w:val="24"/>
          <w:szCs w:val="24"/>
          <w:lang w:eastAsia="ru-RU"/>
        </w:rPr>
        <w:pict w14:anchorId="0A0EF2A3">
          <v:rect id="Прямоугольник 106" o:spid="_x0000_s1032" style="position:absolute;left:0;text-align:left;margin-left:78.8pt;margin-top:135.4pt;width:378.05pt;height:29.9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">
            <v:textbox>
              <w:txbxContent>
                <w:p w14:paraId="533008C2" w14:textId="77777777" w:rsidR="007014C7" w:rsidRPr="002A5DFE" w:rsidRDefault="007014C7" w:rsidP="001F333E">
                  <w:pPr>
                    <w:rPr>
                      <w:sz w:val="16"/>
                    </w:rPr>
                  </w:pPr>
                  <w:r w:rsidRPr="002A5DFE">
                    <w:rPr>
                      <w:sz w:val="16"/>
                    </w:rPr>
                    <w:t>Исследование внешней среды и конъюнктуры инвестиционного рынка и их учет при формировании инвестиционной стратегии</w:t>
                  </w:r>
                </w:p>
              </w:txbxContent>
            </v:textbox>
          </v:rect>
        </w:pict>
      </w:r>
      <w:r>
        <w:rPr>
          <w:rFonts w:ascii="Times New Roman" w:hAnsi="Times New Roman" w:cs="Times New Roman"/>
          <w:noProof/>
          <w:sz w:val="24"/>
          <w:szCs w:val="24"/>
          <w:lang w:eastAsia="ru-RU"/>
        </w:rPr>
        <w:pict w14:anchorId="73C54FB7">
          <v:shape id="Прямая со стрелкой 105" o:spid="_x0000_s1156" type="#_x0000_t32" style="position:absolute;left:0;text-align:left;margin-left:50.4pt;margin-top:150.5pt;width:29.3pt;height:0;z-index:25171558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" strokecolor="black [3040]">
            <v:stroke endarrow="block"/>
            <o:lock v:ext="edit" shapetype="f"/>
          </v:shape>
        </w:pict>
      </w:r>
      <w:r>
        <w:rPr>
          <w:rFonts w:ascii="Times New Roman" w:hAnsi="Times New Roman" w:cs="Times New Roman"/>
          <w:noProof/>
          <w:sz w:val="24"/>
          <w:szCs w:val="24"/>
          <w:lang w:eastAsia="ru-RU"/>
        </w:rPr>
        <w:pict w14:anchorId="531DD6E9">
          <v:shape id="Прямая со стрелкой 104" o:spid="_x0000_s1155" type="#_x0000_t32" style="position:absolute;left:0;text-align:left;margin-left:50.4pt;margin-top:118.6pt;width:29.3pt;height:0;z-index:25170739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" strokecolor="black [3040]">
            <v:stroke endarrow="block"/>
            <o:lock v:ext="edit" shapetype="f"/>
          </v:shape>
        </w:pict>
      </w:r>
      <w:r>
        <w:rPr>
          <w:rFonts w:ascii="Times New Roman" w:hAnsi="Times New Roman" w:cs="Times New Roman"/>
          <w:noProof/>
          <w:sz w:val="24"/>
          <w:szCs w:val="24"/>
          <w:lang w:eastAsia="ru-RU"/>
        </w:rPr>
        <w:pict w14:anchorId="7594EC76">
          <v:rect id="Прямоугольник 103" o:spid="_x0000_s1033" style="position:absolute;left:0;text-align:left;margin-left:80.05pt;margin-top:110.3pt;width:378.1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">
            <v:textbox>
              <w:txbxContent>
                <w:p w14:paraId="0026A8D1" w14:textId="77777777" w:rsidR="007014C7" w:rsidRPr="002A5DFE" w:rsidRDefault="007014C7" w:rsidP="001F333E">
                  <w:pPr>
                    <w:rPr>
                      <w:sz w:val="16"/>
                    </w:rPr>
                  </w:pPr>
                  <w:r w:rsidRPr="002A5DFE">
                    <w:rPr>
                      <w:sz w:val="16"/>
                    </w:rPr>
                    <w:t>Обоснование принципов механизмов эффективной реализации инвестиционной деятельности</w:t>
                  </w:r>
                </w:p>
              </w:txbxContent>
            </v:textbox>
          </v:rect>
        </w:pict>
      </w:r>
      <w:r>
        <w:rPr>
          <w:rFonts w:ascii="Times New Roman" w:hAnsi="Times New Roman" w:cs="Times New Roman"/>
          <w:noProof/>
          <w:sz w:val="24"/>
          <w:szCs w:val="24"/>
          <w:lang w:eastAsia="ru-RU"/>
        </w:rPr>
        <w:pict w14:anchorId="0B1FEC6E">
          <v:shape id="Прямая со стрелкой 102" o:spid="_x0000_s1154" type="#_x0000_t32" style="position:absolute;left:0;text-align:left;margin-left:49.5pt;margin-top:95.15pt;width:29.3pt;height:0;z-index:2517104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" strokecolor="black [3040]">
            <v:stroke endarrow="block"/>
            <o:lock v:ext="edit" shapetype="f"/>
          </v:shape>
        </w:pict>
      </w:r>
      <w:r>
        <w:rPr>
          <w:rFonts w:ascii="Times New Roman" w:hAnsi="Times New Roman" w:cs="Times New Roman"/>
          <w:noProof/>
          <w:sz w:val="24"/>
          <w:szCs w:val="24"/>
          <w:lang w:eastAsia="ru-RU"/>
        </w:rPr>
        <w:pict w14:anchorId="3756CCBC">
          <v:rect id="Прямоугольник 101" o:spid="_x0000_s1034" style="position:absolute;left:0;text-align:left;margin-left:78.9pt;margin-top:87.25pt;width:378.1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">
            <v:textbox>
              <w:txbxContent>
                <w:p w14:paraId="78F73069" w14:textId="77777777" w:rsidR="007014C7" w:rsidRPr="002A5DFE" w:rsidRDefault="007014C7" w:rsidP="001F333E">
                  <w:pPr>
                    <w:rPr>
                      <w:sz w:val="16"/>
                    </w:rPr>
                  </w:pPr>
                  <w:r w:rsidRPr="002A5DFE">
                    <w:rPr>
                      <w:sz w:val="16"/>
                    </w:rPr>
                    <w:t>Обоснование принципов механизмов эффективной реализации инвестиционной деятельности</w:t>
                  </w:r>
                </w:p>
              </w:txbxContent>
            </v:textbox>
          </v:rect>
        </w:pict>
      </w:r>
      <w:r>
        <w:rPr>
          <w:rFonts w:ascii="Times New Roman" w:hAnsi="Times New Roman" w:cs="Times New Roman"/>
          <w:noProof/>
          <w:sz w:val="24"/>
          <w:szCs w:val="24"/>
          <w:lang w:eastAsia="ru-RU"/>
        </w:rPr>
        <w:pict w14:anchorId="41FA9CA7">
          <v:rect id="Прямоугольник 100" o:spid="_x0000_s1035" style="position:absolute;left:0;text-align:left;margin-left:79.75pt;margin-top:33.25pt;width:378.4pt;height:26.75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" fillcolor="white [3201]" strokecolor="black [3213]" strokeweight="2pt">
            <v:path arrowok="t"/>
            <v:textbox>
              <w:txbxContent>
                <w:p w14:paraId="179F1E08" w14:textId="77777777" w:rsidR="007014C7" w:rsidRPr="002A5DFE" w:rsidRDefault="007014C7" w:rsidP="001F333E">
                  <w:pPr>
                    <w:rPr>
                      <w:sz w:val="16"/>
                    </w:rPr>
                  </w:pPr>
                  <w:r w:rsidRPr="002A5DFE">
                    <w:rPr>
                      <w:sz w:val="16"/>
                    </w:rPr>
                    <w:t>Формирование направлений, отвечающих стратегии экономического и финансового развития предприятия</w:t>
                  </w:r>
                </w:p>
                <w:p w14:paraId="5DAB6C7B" w14:textId="77777777" w:rsidR="007014C7" w:rsidRDefault="007014C7" w:rsidP="001F333E">
                  <w:pPr>
                    <w:jc w:val="center"/>
                  </w:pPr>
                </w:p>
              </w:txbxContent>
            </v:textbox>
          </v:rect>
        </w:pict>
      </w:r>
      <w:r>
        <w:rPr>
          <w:rFonts w:ascii="Times New Roman" w:hAnsi="Times New Roman" w:cs="Times New Roman"/>
          <w:noProof/>
          <w:sz w:val="24"/>
          <w:szCs w:val="24"/>
          <w:lang w:eastAsia="ru-RU"/>
        </w:rPr>
        <w:pict w14:anchorId="61605BF7">
          <v:rect id="Прямоугольник 99" o:spid="_x0000_s1036" style="position:absolute;left:0;text-align:left;margin-left:78.7pt;margin-top:65.25pt;width:378.1pt;height:16.4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">
            <v:textbox>
              <w:txbxContent>
                <w:p w14:paraId="1D234689" w14:textId="77777777" w:rsidR="007014C7" w:rsidRPr="002A5DFE" w:rsidRDefault="007014C7" w:rsidP="001F333E">
                  <w:pPr>
                    <w:rPr>
                      <w:sz w:val="16"/>
                    </w:rPr>
                  </w:pPr>
                  <w:r w:rsidRPr="002A5DFE">
                    <w:rPr>
                      <w:sz w:val="16"/>
                    </w:rPr>
                    <w:t>Определение критериев инвестиционной деятельности предприятия и установление их приоритетов</w:t>
                  </w:r>
                </w:p>
              </w:txbxContent>
            </v:textbox>
          </v:rect>
        </w:pict>
      </w:r>
      <w:r>
        <w:rPr>
          <w:rFonts w:ascii="Times New Roman" w:hAnsi="Times New Roman" w:cs="Times New Roman"/>
          <w:noProof/>
          <w:sz w:val="24"/>
          <w:szCs w:val="24"/>
          <w:lang w:eastAsia="ru-RU"/>
        </w:rPr>
        <w:pict w14:anchorId="4D7E8629">
          <v:rect id="Прямоугольник 98" o:spid="_x0000_s1037" style="position:absolute;left:0;text-align:left;margin-left:49.65pt;margin-top:9pt;width:426.15pt;height:20.1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" fillcolor="white [3201]" strokecolor="black [3213]" strokeweight="2pt">
            <v:path arrowok="t"/>
            <v:textbox>
              <w:txbxContent>
                <w:p w14:paraId="2A19B497" w14:textId="77777777" w:rsidR="007014C7" w:rsidRDefault="007014C7" w:rsidP="001F333E">
                  <w:pPr>
                    <w:jc w:val="center"/>
                  </w:pPr>
                  <w:r>
                    <w:t>Основные этапы формирования инвестиционной политики</w:t>
                  </w:r>
                </w:p>
              </w:txbxContent>
            </v:textbox>
          </v:rect>
        </w:pict>
      </w:r>
      <w:r>
        <w:rPr>
          <w:rFonts w:ascii="Times New Roman" w:hAnsi="Times New Roman" w:cs="Times New Roman"/>
          <w:noProof/>
          <w:sz w:val="24"/>
          <w:szCs w:val="24"/>
          <w:lang w:eastAsia="ru-RU"/>
        </w:rPr>
        <w:pict w14:anchorId="2EB06F0B">
          <v:shape id="Прямая со стрелкой 97" o:spid="_x0000_s1153" type="#_x0000_t32" style="position:absolute;left:0;text-align:left;margin-left:49.85pt;margin-top:42.7pt;width:29.3pt;height:0;z-index:251708416;visibility:visible;mso-wrap-distance-top:-3e-5mm;mso-wrap-distance-bottom:-3e-5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" strokecolor="black [3040]">
            <v:stroke endarrow="block"/>
            <o:lock v:ext="edit" shapetype="f"/>
          </v:shape>
        </w:pict>
      </w:r>
      <w:r>
        <w:rPr>
          <w:rFonts w:ascii="Times New Roman" w:hAnsi="Times New Roman" w:cs="Times New Roman"/>
          <w:noProof/>
          <w:sz w:val="24"/>
          <w:szCs w:val="24"/>
          <w:lang w:eastAsia="ru-RU"/>
        </w:rPr>
        <w:pict w14:anchorId="6EE13F46">
          <v:shape id="Прямая со стрелкой 96" o:spid="_x0000_s1152" type="#_x0000_t32" style="position:absolute;left:0;text-align:left;margin-left:49.9pt;margin-top:72.85pt;width:29.3pt;height:0;z-index:25170944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" strokecolor="black [3040]">
            <v:stroke endarrow="block"/>
            <o:lock v:ext="edit" shapetype="f"/>
          </v:shape>
        </w:pict>
      </w:r>
      <w:r>
        <w:rPr>
          <w:rFonts w:ascii="Times New Roman" w:hAnsi="Times New Roman" w:cs="Times New Roman"/>
          <w:noProof/>
          <w:sz w:val="24"/>
          <w:szCs w:val="24"/>
          <w:lang w:eastAsia="ru-RU"/>
        </w:rPr>
      </w:r>
      <w:r>
        <w:rPr>
          <w:rFonts w:ascii="Times New Roman" w:hAnsi="Times New Roman" w:cs="Times New Roman"/>
          <w:noProof/>
          <w:sz w:val="24"/>
          <w:szCs w:val="24"/>
          <w:lang w:eastAsia="ru-RU"/>
        </w:rPr>
        <w:pict w14:anchorId="6EE68216">
          <v:rect id="Прямоугольник 95" o:spid="_x0000_s1237" style="width:448.5pt;height:321pt;visibility:visible;mso-left-percent:-10001;mso-top-percent:-10001;mso-position-horizontal:absolute;mso-position-horizontal-relative:char;mso-position-vertical:absolute;mso-position-vertical-relative:line;mso-left-percent:-10001;mso-top-percent:-10001;v-text-anchor:middle" fillcolor="white [3201]" stroked="f" strokeweight="2pt">
            <v:path arrowok="t"/>
            <w10:wrap type="none"/>
            <w10:anchorlock/>
          </v:rect>
        </w:pict>
      </w:r>
    </w:p>
    <w:p w14:paraId="3132C0B6" w14:textId="77777777" w:rsidR="001F333E" w:rsidRPr="007E1183" w:rsidRDefault="001F333E" w:rsidP="001F333E">
      <w:pPr>
        <w:spacing w:after="0" w:line="240" w:lineRule="auto"/>
        <w:ind w:firstLine="709"/>
        <w:jc w:val="center"/>
        <w:rPr>
          <w:rFonts w:ascii="Times New Roman" w:hAnsi="Times New Roman" w:cs="Times New Roman"/>
          <w:sz w:val="24"/>
          <w:szCs w:val="24"/>
        </w:rPr>
      </w:pPr>
      <w:r w:rsidRPr="007E1183">
        <w:rPr>
          <w:rFonts w:ascii="Times New Roman" w:hAnsi="Times New Roman" w:cs="Times New Roman"/>
          <w:sz w:val="24"/>
          <w:szCs w:val="24"/>
        </w:rPr>
        <w:t>Рисунок 1 - Основные этапы формирования инвестиционной политики предприятия</w:t>
      </w:r>
    </w:p>
    <w:p w14:paraId="02EB378F" w14:textId="77777777" w:rsidR="001F333E" w:rsidRPr="007E1183" w:rsidRDefault="001F333E" w:rsidP="001F333E">
      <w:pPr>
        <w:spacing w:after="0" w:line="240" w:lineRule="auto"/>
        <w:ind w:firstLine="709"/>
        <w:jc w:val="center"/>
        <w:rPr>
          <w:rFonts w:ascii="Times New Roman" w:hAnsi="Times New Roman" w:cs="Times New Roman"/>
          <w:sz w:val="24"/>
          <w:szCs w:val="24"/>
        </w:rPr>
      </w:pPr>
    </w:p>
    <w:p w14:paraId="69520E88"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 xml:space="preserve">Рассмотренный на рисунке 1. цикл реализации принципов инвестиционной политики является единым для всех уровней формирования инвестиционной политики: </w:t>
      </w:r>
      <w:r w:rsidRPr="007E1183">
        <w:rPr>
          <w:rFonts w:ascii="Times New Roman" w:hAnsi="Times New Roman" w:cs="Times New Roman"/>
          <w:sz w:val="24"/>
          <w:szCs w:val="24"/>
        </w:rPr>
        <w:lastRenderedPageBreak/>
        <w:t>национального, регионального (субъектов Федерации, федеральных округов), отраслей, предприятий.</w:t>
      </w:r>
    </w:p>
    <w:p w14:paraId="75438652"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Обще полагающими этапами реализации инвестиционной политики могут быть: формирование общих целей социально-экономического развития; разработка приоритетных целей в инвестиционной сфере; разработка механизма реализации инвестиционной политики.</w:t>
      </w:r>
    </w:p>
    <w:p w14:paraId="52ADE58E" w14:textId="77777777" w:rsidR="001F333E" w:rsidRPr="007E1183" w:rsidRDefault="001F333E" w:rsidP="001F333E">
      <w:pPr>
        <w:spacing w:after="0" w:line="240" w:lineRule="auto"/>
        <w:ind w:firstLine="709"/>
        <w:jc w:val="both"/>
        <w:rPr>
          <w:rFonts w:ascii="Times New Roman" w:hAnsi="Times New Roman" w:cs="Times New Roman"/>
          <w:i/>
          <w:sz w:val="24"/>
          <w:szCs w:val="24"/>
        </w:rPr>
      </w:pPr>
      <w:r w:rsidRPr="007E1183">
        <w:rPr>
          <w:rFonts w:ascii="Times New Roman" w:hAnsi="Times New Roman" w:cs="Times New Roman"/>
          <w:sz w:val="24"/>
          <w:szCs w:val="24"/>
        </w:rPr>
        <w:t>Процедура формирования инвестиционной политики и механизм ее реализации представлены на рисунке 2 [1, с.6].</w:t>
      </w:r>
      <w:r w:rsidRPr="007E1183">
        <w:rPr>
          <w:rFonts w:ascii="Times New Roman" w:hAnsi="Times New Roman" w:cs="Times New Roman"/>
          <w:i/>
          <w:sz w:val="24"/>
          <w:szCs w:val="24"/>
        </w:rPr>
        <w:t xml:space="preserve"> </w:t>
      </w:r>
    </w:p>
    <w:p w14:paraId="61FC5DDE" w14:textId="77777777" w:rsidR="001F333E" w:rsidRPr="007E1183" w:rsidRDefault="007014C7" w:rsidP="001F333E">
      <w:pPr>
        <w:spacing w:after="0" w:line="24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63321D31">
          <v:rect id="Прямоугольник 94" o:spid="_x0000_s1038" style="position:absolute;left:0;text-align:left;margin-left:164.55pt;margin-top:59.25pt;width:28.5pt;height:124.5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" fillcolor="white [3201]" strokecolor="black [3200]" strokeweight="2pt">
            <v:path arrowok="t"/>
            <v:textbox style="layout-flow:vertical;mso-layout-flow-alt:bottom-to-top">
              <w:txbxContent>
                <w:p w14:paraId="431D51D9" w14:textId="77777777" w:rsidR="007014C7" w:rsidRPr="00803066" w:rsidRDefault="007014C7" w:rsidP="001F333E">
                  <w:pPr>
                    <w:jc w:val="center"/>
                    <w:rPr>
                      <w:sz w:val="18"/>
                      <w:szCs w:val="18"/>
                    </w:rPr>
                  </w:pPr>
                  <w:r w:rsidRPr="00803066">
                    <w:rPr>
                      <w:sz w:val="18"/>
                      <w:szCs w:val="18"/>
                    </w:rPr>
                    <w:t>Инвестиционная стратегия</w:t>
                  </w:r>
                </w:p>
              </w:txbxContent>
            </v:textbox>
          </v:rect>
        </w:pict>
      </w:r>
      <w:r>
        <w:rPr>
          <w:rFonts w:ascii="Times New Roman" w:hAnsi="Times New Roman" w:cs="Times New Roman"/>
          <w:noProof/>
          <w:sz w:val="24"/>
          <w:szCs w:val="24"/>
          <w:lang w:eastAsia="ru-RU"/>
        </w:rPr>
        <w:pict w14:anchorId="04DF91DC">
          <v:rect id="Прямоугольник 93" o:spid="_x0000_s1039" style="position:absolute;left:0;text-align:left;margin-left:192.3pt;margin-top:59.25pt;width:138pt;height:18.75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" fillcolor="white [3201]" strokecolor="black [3200]" strokeweight="2pt">
            <v:path arrowok="t"/>
            <v:textbox>
              <w:txbxContent>
                <w:p w14:paraId="26CFB14A" w14:textId="77777777" w:rsidR="007014C7" w:rsidRPr="00803066" w:rsidRDefault="007014C7" w:rsidP="001F333E">
                  <w:pPr>
                    <w:rPr>
                      <w:sz w:val="18"/>
                    </w:rPr>
                  </w:pPr>
                  <w:r w:rsidRPr="00803066">
                    <w:rPr>
                      <w:sz w:val="18"/>
                    </w:rPr>
                    <w:t>Оценка результатов анализа</w:t>
                  </w:r>
                </w:p>
              </w:txbxContent>
            </v:textbox>
          </v:rect>
        </w:pict>
      </w:r>
      <w:r>
        <w:rPr>
          <w:rFonts w:ascii="Times New Roman" w:hAnsi="Times New Roman" w:cs="Times New Roman"/>
          <w:noProof/>
          <w:sz w:val="24"/>
          <w:szCs w:val="24"/>
          <w:lang w:eastAsia="ru-RU"/>
        </w:rPr>
        <w:pict w14:anchorId="3F95275E">
          <v:rect id="Прямоугольник 92" o:spid="_x0000_s1040" style="position:absolute;left:0;text-align:left;margin-left:192.3pt;margin-top:166.5pt;width:138pt;height:17.25pt;z-index:2516951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" fillcolor="white [3201]" strokecolor="black [3200]" strokeweight="2pt">
            <v:path arrowok="t"/>
            <v:textbox>
              <w:txbxContent>
                <w:p w14:paraId="38896188" w14:textId="77777777" w:rsidR="007014C7" w:rsidRPr="00061C10" w:rsidRDefault="007014C7" w:rsidP="001F333E">
                  <w:pPr>
                    <w:rPr>
                      <w:sz w:val="18"/>
                    </w:rPr>
                  </w:pPr>
                  <w:r w:rsidRPr="00061C10">
                    <w:rPr>
                      <w:sz w:val="18"/>
                    </w:rPr>
                    <w:t>Меры по разработке стратегий</w:t>
                  </w:r>
                </w:p>
              </w:txbxContent>
            </v:textbox>
            <w10:wrap anchorx="margin"/>
          </v:rect>
        </w:pict>
      </w:r>
      <w:r>
        <w:rPr>
          <w:rFonts w:ascii="Times New Roman" w:hAnsi="Times New Roman" w:cs="Times New Roman"/>
          <w:noProof/>
          <w:sz w:val="24"/>
          <w:szCs w:val="24"/>
          <w:lang w:eastAsia="ru-RU"/>
        </w:rPr>
        <w:pict w14:anchorId="61D15812">
          <v:rect id="Прямоугольник 91" o:spid="_x0000_s1041" style="position:absolute;left:0;text-align:left;margin-left:191.55pt;margin-top:94.5pt;width:138pt;height:18.75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" fillcolor="white [3201]" strokecolor="black [3200]" strokeweight="2pt">
            <v:path arrowok="t"/>
            <v:textbox>
              <w:txbxContent>
                <w:p w14:paraId="1A9A7DF7" w14:textId="77777777" w:rsidR="007014C7" w:rsidRPr="00803066" w:rsidRDefault="007014C7" w:rsidP="001F333E">
                  <w:pPr>
                    <w:jc w:val="center"/>
                    <w:rPr>
                      <w:sz w:val="18"/>
                    </w:rPr>
                  </w:pPr>
                  <w:r w:rsidRPr="00803066">
                    <w:rPr>
                      <w:sz w:val="18"/>
                    </w:rPr>
                    <w:t>Определение целей</w:t>
                  </w:r>
                </w:p>
              </w:txbxContent>
            </v:textbox>
          </v:rect>
        </w:pict>
      </w:r>
      <w:r>
        <w:rPr>
          <w:rFonts w:ascii="Times New Roman" w:hAnsi="Times New Roman" w:cs="Times New Roman"/>
          <w:noProof/>
          <w:sz w:val="24"/>
          <w:szCs w:val="24"/>
          <w:lang w:eastAsia="ru-RU"/>
        </w:rPr>
        <w:pict w14:anchorId="7E1723B6">
          <v:rect id="Прямоугольник 90" o:spid="_x0000_s1042" style="position:absolute;left:0;text-align:left;margin-left:192.3pt;margin-top:132.75pt;width:138pt;height:17.25pt;z-index:2516940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" fillcolor="white [3201]" strokecolor="black [3200]" strokeweight="2pt">
            <v:path arrowok="t"/>
            <v:textbox>
              <w:txbxContent>
                <w:p w14:paraId="3BE3B769" w14:textId="77777777" w:rsidR="007014C7" w:rsidRPr="00061C10" w:rsidRDefault="007014C7" w:rsidP="001F333E">
                  <w:pPr>
                    <w:jc w:val="center"/>
                    <w:rPr>
                      <w:sz w:val="18"/>
                    </w:rPr>
                  </w:pPr>
                  <w:r w:rsidRPr="00061C10">
                    <w:rPr>
                      <w:sz w:val="18"/>
                    </w:rPr>
                    <w:t>Установление приоритетов</w:t>
                  </w:r>
                </w:p>
              </w:txbxContent>
            </v:textbox>
          </v:rect>
        </w:pict>
      </w:r>
      <w:r>
        <w:rPr>
          <w:rFonts w:ascii="Times New Roman" w:hAnsi="Times New Roman" w:cs="Times New Roman"/>
          <w:noProof/>
          <w:sz w:val="24"/>
          <w:szCs w:val="24"/>
          <w:lang w:eastAsia="ru-RU"/>
        </w:rPr>
        <w:pict w14:anchorId="6242CB5B">
          <v:rect id="Прямоугольник 89" o:spid="_x0000_s1043" style="position:absolute;left:0;text-align:left;margin-left:384.3pt;margin-top:.75pt;width:75pt;height:224.25pt;z-index:251697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" fillcolor="white [3201]" strokecolor="black [3200]" strokeweight="2pt">
            <v:path arrowok="t"/>
            <v:textbox>
              <w:txbxContent>
                <w:p w14:paraId="31EC6E14" w14:textId="77777777" w:rsidR="007014C7" w:rsidRPr="00061C10" w:rsidRDefault="007014C7" w:rsidP="001F333E">
                  <w:pPr>
                    <w:jc w:val="center"/>
                  </w:pPr>
                  <w:r>
                    <w:t>Механизм реализации инвестиционной политики</w:t>
                  </w:r>
                </w:p>
              </w:txbxContent>
            </v:textbox>
          </v:rect>
        </w:pict>
      </w:r>
      <w:r>
        <w:rPr>
          <w:rFonts w:ascii="Times New Roman" w:hAnsi="Times New Roman" w:cs="Times New Roman"/>
          <w:noProof/>
          <w:sz w:val="24"/>
          <w:szCs w:val="24"/>
          <w:lang w:eastAsia="ru-RU"/>
        </w:rPr>
        <w:pict w14:anchorId="3E531E01">
          <v:shape id="Прямая со стрелкой 88" o:spid="_x0000_s1150" type="#_x0000_t32" style="position:absolute;left:0;text-align:left;margin-left:345.3pt;margin-top:97.05pt;width:39pt;height:0;z-index:251703296;visibility:visible;mso-wrap-distance-top:-3e-5mm;mso-wrap-distance-bottom:-3e-5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" strokecolor="black [3040]">
            <v:stroke endarrow="block"/>
            <o:lock v:ext="edit" shapetype="f"/>
          </v:shape>
        </w:pict>
      </w:r>
      <w:r>
        <w:rPr>
          <w:rFonts w:ascii="Times New Roman" w:hAnsi="Times New Roman" w:cs="Times New Roman"/>
          <w:noProof/>
          <w:sz w:val="24"/>
          <w:szCs w:val="24"/>
          <w:lang w:eastAsia="ru-RU"/>
        </w:rPr>
        <w:pict w14:anchorId="62A76CDB">
          <v:rect id="Прямоугольник 87" o:spid="_x0000_s1044" style="position:absolute;left:0;text-align:left;margin-left:195.25pt;margin-top:196.8pt;width:117.75pt;height:21pt;z-index:251693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" fillcolor="white [3201]" strokecolor="black [3200]" strokeweight="2pt">
            <v:path arrowok="t"/>
            <v:textbox>
              <w:txbxContent>
                <w:p w14:paraId="3B691FD2" w14:textId="77777777" w:rsidR="007014C7" w:rsidRDefault="007014C7" w:rsidP="001F333E">
                  <w:pPr>
                    <w:jc w:val="center"/>
                  </w:pPr>
                  <w:r>
                    <w:t>Проекты</w:t>
                  </w:r>
                </w:p>
              </w:txbxContent>
            </v:textbox>
          </v:rect>
        </w:pict>
      </w:r>
      <w:r>
        <w:rPr>
          <w:rFonts w:ascii="Times New Roman" w:hAnsi="Times New Roman" w:cs="Times New Roman"/>
          <w:noProof/>
          <w:sz w:val="24"/>
          <w:szCs w:val="24"/>
          <w:lang w:eastAsia="ru-RU"/>
        </w:rPr>
        <w:pict w14:anchorId="104EFC32">
          <v:shape id="Прямая со стрелкой 86" o:spid="_x0000_s1149" type="#_x0000_t32" style="position:absolute;left:0;text-align:left;margin-left:0;margin-top:182.9pt;width:0;height:12.75pt;z-index:251702272;visibility:visible;mso-wrap-distance-left:3.17497mm;mso-wrap-distance-right:3.17497mm;mso-position-horizontal:center;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" strokecolor="black [3040]">
            <v:stroke endarrow="block"/>
            <o:lock v:ext="edit" shapetype="f"/>
            <w10:wrap anchorx="margin"/>
          </v:shape>
        </w:pict>
      </w:r>
      <w:r>
        <w:rPr>
          <w:rFonts w:ascii="Times New Roman" w:hAnsi="Times New Roman" w:cs="Times New Roman"/>
          <w:noProof/>
          <w:sz w:val="24"/>
          <w:szCs w:val="24"/>
          <w:lang w:eastAsia="ru-RU"/>
        </w:rPr>
        <w:pict w14:anchorId="5E0B39BC">
          <v:rect id="Прямоугольник 85" o:spid="_x0000_s1045" style="position:absolute;left:0;text-align:left;margin-left:87.3pt;margin-top:.75pt;width:76.5pt;height:222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" fillcolor="white [3201]" strokecolor="black [3200]" strokeweight="2pt">
            <v:path arrowok="t"/>
            <v:textbox style="layout-flow:vertical;mso-layout-flow-alt:bottom-to-top">
              <w:txbxContent>
                <w:p w14:paraId="2F2B70AF" w14:textId="77777777" w:rsidR="007014C7" w:rsidRPr="00803066" w:rsidRDefault="007014C7" w:rsidP="001F333E">
                  <w:pPr>
                    <w:jc w:val="center"/>
                    <w:rPr>
                      <w:sz w:val="24"/>
                    </w:rPr>
                  </w:pPr>
                  <w:r w:rsidRPr="00803066">
                    <w:rPr>
                      <w:sz w:val="24"/>
                    </w:rPr>
                    <w:t>Инвестиционная политика</w:t>
                  </w:r>
                </w:p>
              </w:txbxContent>
            </v:textbox>
          </v:rect>
        </w:pict>
      </w:r>
      <w:r>
        <w:rPr>
          <w:rFonts w:ascii="Times New Roman" w:hAnsi="Times New Roman" w:cs="Times New Roman"/>
          <w:noProof/>
          <w:sz w:val="24"/>
          <w:szCs w:val="24"/>
          <w:lang w:eastAsia="ru-RU"/>
        </w:rPr>
        <w:pict w14:anchorId="3CC389C6">
          <v:rect id="Прямоугольник 84" o:spid="_x0000_s1046" style="position:absolute;left:0;text-align:left;margin-left:163.8pt;margin-top:.75pt;width:181.5pt;height:222pt;z-index:25168896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" fillcolor="white [3201]" strokecolor="black [3200]" strokeweight="2pt">
            <v:path arrowok="t"/>
            <v:textbox>
              <w:txbxContent>
                <w:p w14:paraId="30F8886A" w14:textId="77777777" w:rsidR="007014C7" w:rsidRPr="00061C10" w:rsidRDefault="007014C7" w:rsidP="001F333E">
                  <w:pPr>
                    <w:rPr>
                      <w:b/>
                    </w:rPr>
                  </w:pPr>
                  <w:r w:rsidRPr="00061C10">
                    <w:rPr>
                      <w:b/>
                    </w:rPr>
                    <w:t>Инвестиционная программа</w:t>
                  </w:r>
                </w:p>
              </w:txbxContent>
            </v:textbox>
            <w10:wrap anchorx="margin"/>
          </v:rect>
        </w:pict>
      </w:r>
      <w:r>
        <w:rPr>
          <w:rFonts w:ascii="Times New Roman" w:hAnsi="Times New Roman" w:cs="Times New Roman"/>
          <w:noProof/>
          <w:sz w:val="24"/>
          <w:szCs w:val="24"/>
          <w:lang w:eastAsia="ru-RU"/>
        </w:rPr>
        <w:pict w14:anchorId="57D085C8">
          <v:shape id="Прямая со стрелкой 83" o:spid="_x0000_s1148" type="#_x0000_t32" style="position:absolute;left:0;text-align:left;margin-left:0;margin-top:149.9pt;width:0;height:16.5pt;z-index:251699200;visibility:visible;mso-wrap-distance-left:3.17497mm;mso-wrap-distance-right:3.17497mm;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" strokecolor="black [3040]">
            <v:stroke endarrow="block"/>
            <o:lock v:ext="edit" shapetype="f"/>
            <w10:wrap anchorx="margin"/>
          </v:shape>
        </w:pict>
      </w:r>
      <w:r>
        <w:rPr>
          <w:rFonts w:ascii="Times New Roman" w:hAnsi="Times New Roman" w:cs="Times New Roman"/>
          <w:noProof/>
          <w:sz w:val="24"/>
          <w:szCs w:val="24"/>
          <w:lang w:eastAsia="ru-RU"/>
        </w:rPr>
        <w:pict w14:anchorId="6F67A26C">
          <v:shape id="Прямая со стрелкой 82" o:spid="_x0000_s1147" type="#_x0000_t32" style="position:absolute;left:0;text-align:left;margin-left:0;margin-top:113.9pt;width:.75pt;height:18pt;flip:x;z-index:251698176;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" strokecolor="black [3040]">
            <v:stroke endarrow="block"/>
            <o:lock v:ext="edit" shapetype="f"/>
            <w10:wrap anchorx="margin"/>
          </v:shape>
        </w:pict>
      </w:r>
      <w:r>
        <w:rPr>
          <w:rFonts w:ascii="Times New Roman" w:hAnsi="Times New Roman" w:cs="Times New Roman"/>
          <w:noProof/>
          <w:sz w:val="24"/>
          <w:szCs w:val="24"/>
          <w:lang w:eastAsia="ru-RU"/>
        </w:rPr>
        <w:pict w14:anchorId="10AC8A8E">
          <v:shape id="Прямая со стрелкой 81" o:spid="_x0000_s1146" type="#_x0000_t32" style="position:absolute;left:0;text-align:left;margin-left:0;margin-top:78.65pt;width:.75pt;height:16.5pt;flip:x;z-index:251701248;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" strokecolor="black [3040]">
            <v:stroke endarrow="block"/>
            <o:lock v:ext="edit" shapetype="f"/>
            <w10:wrap anchorx="margin"/>
          </v:shape>
        </w:pict>
      </w:r>
      <w:r>
        <w:rPr>
          <w:rFonts w:ascii="Times New Roman" w:hAnsi="Times New Roman" w:cs="Times New Roman"/>
          <w:noProof/>
          <w:sz w:val="24"/>
          <w:szCs w:val="24"/>
          <w:lang w:eastAsia="ru-RU"/>
        </w:rPr>
        <w:pict w14:anchorId="54F24967">
          <v:shape id="Прямая со стрелкой 80" o:spid="_x0000_s1145" type="#_x0000_t32" style="position:absolute;left:0;text-align:left;margin-left:241.8pt;margin-top:50.15pt;width:.75pt;height:9pt;flip:x;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" strokecolor="black [3040]">
            <v:stroke endarrow="block"/>
            <o:lock v:ext="edit" shapetype="f"/>
          </v:shape>
        </w:pict>
      </w:r>
      <w:r>
        <w:rPr>
          <w:rFonts w:ascii="Times New Roman" w:hAnsi="Times New Roman" w:cs="Times New Roman"/>
          <w:noProof/>
          <w:sz w:val="24"/>
          <w:szCs w:val="24"/>
          <w:lang w:eastAsia="ru-RU"/>
        </w:rPr>
        <w:pict w14:anchorId="19F6AEFA">
          <v:rect id="Прямоугольник 79" o:spid="_x0000_s1047" style="position:absolute;left:0;text-align:left;margin-left:164.55pt;margin-top:18.3pt;width:167.25pt;height:30pt;z-index:2516899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" fillcolor="white [3201]" strokecolor="black [3200]" strokeweight="2pt">
            <v:path arrowok="t"/>
            <v:textbox>
              <w:txbxContent>
                <w:p w14:paraId="6878931E" w14:textId="77777777" w:rsidR="007014C7" w:rsidRPr="00061C10" w:rsidRDefault="007014C7" w:rsidP="001F333E">
                  <w:pPr>
                    <w:rPr>
                      <w:sz w:val="18"/>
                      <w:szCs w:val="14"/>
                    </w:rPr>
                  </w:pPr>
                  <w:r w:rsidRPr="00061C10">
                    <w:rPr>
                      <w:sz w:val="18"/>
                      <w:szCs w:val="14"/>
                    </w:rPr>
                    <w:t>Анализ социально-экономической ситуации</w:t>
                  </w:r>
                </w:p>
              </w:txbxContent>
            </v:textbox>
            <w10:wrap anchorx="margin"/>
          </v:rect>
        </w:pict>
      </w:r>
      <w:r>
        <w:rPr>
          <w:rFonts w:ascii="Times New Roman" w:hAnsi="Times New Roman" w:cs="Times New Roman"/>
          <w:noProof/>
          <w:sz w:val="24"/>
          <w:szCs w:val="24"/>
          <w:lang w:eastAsia="ru-RU"/>
        </w:rPr>
      </w:r>
      <w:r>
        <w:rPr>
          <w:rFonts w:ascii="Times New Roman" w:hAnsi="Times New Roman" w:cs="Times New Roman"/>
          <w:noProof/>
          <w:sz w:val="24"/>
          <w:szCs w:val="24"/>
          <w:lang w:eastAsia="ru-RU"/>
        </w:rPr>
        <w:pict w14:anchorId="66C3DE05">
          <v:rect id="Прямоугольник 78" o:spid="_x0000_s1236" style="width:438pt;height:257.25pt;visibility:visible;mso-left-percent:-10001;mso-top-percent:-10001;mso-position-horizontal:absolute;mso-position-horizontal-relative:char;mso-position-vertical:absolute;mso-position-vertical-relative:line;mso-left-percent:-10001;mso-top-percent:-10001;v-text-anchor:middle" fillcolor="white [3212]" strokecolor="white [3212]" strokeweight="2pt">
            <v:path arrowok="t"/>
            <w10:wrap type="none"/>
            <w10:anchorlock/>
          </v:rect>
        </w:pict>
      </w:r>
      <w:r w:rsidR="001F333E" w:rsidRPr="007E1183">
        <w:rPr>
          <w:rFonts w:ascii="Times New Roman" w:hAnsi="Times New Roman" w:cs="Times New Roman"/>
          <w:sz w:val="24"/>
          <w:szCs w:val="24"/>
        </w:rPr>
        <w:t>Рисунок 2 - Процедура формирования инвестиционной политики предприятия</w:t>
      </w:r>
    </w:p>
    <w:p w14:paraId="6A05A809" w14:textId="77777777" w:rsidR="001F333E" w:rsidRPr="007E1183" w:rsidRDefault="001F333E" w:rsidP="001F333E">
      <w:pPr>
        <w:spacing w:after="0" w:line="240" w:lineRule="auto"/>
        <w:ind w:firstLine="709"/>
        <w:jc w:val="center"/>
        <w:rPr>
          <w:rFonts w:ascii="Times New Roman" w:hAnsi="Times New Roman" w:cs="Times New Roman"/>
          <w:sz w:val="24"/>
          <w:szCs w:val="24"/>
        </w:rPr>
      </w:pPr>
    </w:p>
    <w:p w14:paraId="1E15F03E"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С учетом общих принципов менеджмента в основе инвестиционной политики лежит стратегия, разработка которой предполагает анализ социально-экономического положения объекта (страны, федерального округа, субъекта Федерации, отрасли, предприятия) в зависимости от уровня, для которого эта политика разрабатывается анализ инвестиционной деятельности предприятия (как правило, за прошедший период или несколько лет). Благодаря такому анализу можно оценить инвестиционную деятельность предприятия, узнать его потенциал и выяснить целесообразность дальнейших вложений в какие-либо проекты. Для проведения такого анализа необходимо собрать такие данные, как объёмы финансовых вложений, динамика активов, величина собственного капитала и объём реализованной продукции. Важно при проведении такого анализа учитывать влияние на отраслевую принадлежность предприятия и инвестиционных проектов, на экономическую ситуацию в регионах.</w:t>
      </w:r>
    </w:p>
    <w:p w14:paraId="61F0E078"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На втором этапе разработки инвестиционной политики предприятия происходит исследование и учёт всех условий инвестиционной среды и структура инвестиционного рынка. Здесь определяются и правовые условия, которые действуют в инвестиционной сфере; происходит анализ структуры инвестиционного рынка, основных факторов, которые оказывают влияние на него; делается прогноз на то, в какой именно сфере предприятию лучше всего осуществлять свою инвестиционную деятельность. Все указанные действия можно провести с помощью общепринятых методов (стратегический, технический и фундаментальный анализы).</w:t>
      </w:r>
    </w:p>
    <w:p w14:paraId="52F2571C"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 xml:space="preserve">На следующем этапе учитываются стратегические цели развития предприятия, которые будут обеспечивать его намеченную инвестиционную деятельность. На данном </w:t>
      </w:r>
      <w:r w:rsidRPr="007E1183">
        <w:rPr>
          <w:rFonts w:ascii="Times New Roman" w:hAnsi="Times New Roman" w:cs="Times New Roman"/>
          <w:sz w:val="24"/>
          <w:szCs w:val="24"/>
        </w:rPr>
        <w:lastRenderedPageBreak/>
        <w:t>этапе следует рассматривать предприятие как единый комплекс, брать во внимание все его потребности, возможности и слабые места.</w:t>
      </w:r>
    </w:p>
    <w:p w14:paraId="37DA3A33"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Выбор типа инвестиционной политики. Данный выбор следует обосновать, разделить его по целям вложения капитала, опираясь на существующие предпочтения и возникающие риски. Именно на данном этапе формирования инвестиционной политики предприятия происходит оценка инвестиций: соотношение их доходности и рисков. Анализ инвестиций в разрезе конкретного предприятия базируется на общей философии финансового управления организации. На данном этапе предприятие уже может выбрать тип инвестиционной политики: консервативную (минимальные риски – основная цель политика), умеренную (среднерыночные темпы риска и доходности), агрессивную (максимальный доход без учёта существующих рисков).</w:t>
      </w:r>
    </w:p>
    <w:p w14:paraId="64E438BA"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Этап формирования инвестиционной политики предприятия, с учётом основных направлений потоков инвестиций. Именно данный этап определяет, какие объёмы финансовых ресурсов могут быть потрачены при реализации инвестиционных проектов. Необходимо оптимизировать соотношение реального и финансового инвестирования, и делать это стоит с учётом целого ряда объективных внешних и внутренних факторов, которые оказывают непосредственное влияние на предприятие [2, с.65].</w:t>
      </w:r>
    </w:p>
    <w:p w14:paraId="6E42757B"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Формирование инвестиционной политики предприятия в отраслевом разрезе. Именно данный этап является одним из самых сложных, ведь ошибки в нём практически не допустимы. Выбрав не ту отраслевую направленность, можно повысить риски проектов в разы и потерять весь капитал компании. Прогнозирование инвестиционной деятельности является приоритетным направлением политики предприятия.</w:t>
      </w:r>
    </w:p>
    <w:p w14:paraId="4FD56EEC"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Процесс формирования инвестиционной политики предприятия в разрезе региональной принадлежности. На данном этапе важно учитывать, прежде всего, масштабы предприятия, которое собирается заниматься инвестиционной деятельностью. Так, большинство мелких фирм, либо организаций средних размеров, предпочитают инвестировать в проекты, которые территориально расположены в одном с ними регионе. Это позволяет провести более глубокий анализ проекта, снижает риски. При наличии у предприятия большого инвестиционного портфеля, у него появляется возможность действовать в любой точке страны и даже мира.</w:t>
      </w:r>
    </w:p>
    <w:p w14:paraId="2E045633"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Поэтому и столь важна при формировании инвестиционной политики предприятия изучение потенциалов регионов.</w:t>
      </w:r>
    </w:p>
    <w:p w14:paraId="145FB28D"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Заключительным этапом формирования инвестиционной политики предприятия является взаимоувязка основных направлений её инвестиционной деятельности. Для того чтобы предприятие функционировало правильно, необходимо создавать такие цели, которые не противоречили бы друг другу во всех направлениях его деятельности. Также и при разработке инвестиционной политики необходимо учитывать и объём реализации предприятия, их сроки, финансовые результаты, слабые стороны и прочее.</w:t>
      </w:r>
    </w:p>
    <w:p w14:paraId="769F1379"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Таким образом, для того, чтобы составить правильную и эффективную инвестиционную политику на предприятии, необходимо пройти все вышеперечисленные этапы, основываясь на особенностях региона, финансовом состоянии и целях предприятия.</w:t>
      </w:r>
    </w:p>
    <w:p w14:paraId="446C5ADF" w14:textId="77777777" w:rsidR="001F333E" w:rsidRPr="007E1183" w:rsidRDefault="001F333E" w:rsidP="001F333E">
      <w:pPr>
        <w:spacing w:after="0" w:line="240" w:lineRule="auto"/>
        <w:ind w:firstLine="709"/>
        <w:jc w:val="both"/>
        <w:rPr>
          <w:rFonts w:ascii="Times New Roman" w:hAnsi="Times New Roman" w:cs="Times New Roman"/>
          <w:sz w:val="24"/>
          <w:szCs w:val="24"/>
        </w:rPr>
      </w:pPr>
      <w:r w:rsidRPr="007E1183">
        <w:rPr>
          <w:rFonts w:ascii="Times New Roman" w:hAnsi="Times New Roman" w:cs="Times New Roman"/>
          <w:sz w:val="24"/>
          <w:szCs w:val="24"/>
        </w:rPr>
        <w:t>Исходя, из вышесказанного, мы можем сделать вывод, что инвестиционная политика предприятия есть не что иное, как сложная, взаимообусловленная и взаимосвязанная совокупность видов деятельности предприятия, обращенная на перспективное развитие, извлечение прибыли и других выгодных эффектов в итоге совершения инвестиционных вложений. По всем направлениям реализации инвестиционной деятельности и адекватно изменяющимся условиям хозяйствования, эффективная инвестиционная политика предприятия должна быть сбалансированной и продуманной.</w:t>
      </w:r>
    </w:p>
    <w:p w14:paraId="7790EBFF" w14:textId="77777777" w:rsidR="001F333E" w:rsidRPr="007E1183" w:rsidRDefault="001F333E" w:rsidP="001F333E">
      <w:pPr>
        <w:spacing w:after="0" w:line="240" w:lineRule="auto"/>
        <w:rPr>
          <w:rFonts w:ascii="Times New Roman" w:hAnsi="Times New Roman" w:cs="Times New Roman"/>
          <w:b/>
          <w:sz w:val="24"/>
          <w:szCs w:val="24"/>
        </w:rPr>
      </w:pPr>
      <w:r w:rsidRPr="007E1183">
        <w:rPr>
          <w:rFonts w:ascii="Times New Roman" w:hAnsi="Times New Roman" w:cs="Times New Roman"/>
          <w:b/>
          <w:sz w:val="24"/>
          <w:szCs w:val="24"/>
        </w:rPr>
        <w:t>__________________________________________________________________________</w:t>
      </w:r>
    </w:p>
    <w:p w14:paraId="0E68ADD3" w14:textId="77777777" w:rsidR="001F333E" w:rsidRPr="007E1183" w:rsidRDefault="001F333E" w:rsidP="001F333E">
      <w:pPr>
        <w:numPr>
          <w:ilvl w:val="0"/>
          <w:numId w:val="56"/>
        </w:numPr>
        <w:spacing w:after="0" w:line="240" w:lineRule="auto"/>
        <w:ind w:left="0" w:firstLine="397"/>
        <w:jc w:val="both"/>
        <w:rPr>
          <w:rFonts w:ascii="Times New Roman" w:eastAsia="Times New Roman" w:hAnsi="Times New Roman" w:cs="Times New Roman"/>
          <w:sz w:val="24"/>
          <w:szCs w:val="24"/>
          <w:lang w:eastAsia="ru-RU"/>
        </w:rPr>
      </w:pPr>
      <w:r w:rsidRPr="007E1183">
        <w:rPr>
          <w:rFonts w:ascii="Times New Roman" w:eastAsia="Times New Roman" w:hAnsi="Times New Roman" w:cs="Times New Roman"/>
          <w:sz w:val="24"/>
          <w:szCs w:val="24"/>
          <w:lang w:eastAsia="ru-RU"/>
        </w:rPr>
        <w:t>Голубятникова М.В. Состояние и проблемы обеспечения продовольственной безопасности России в современных геополитических условиях / М.В. Голубятникова, А.Х. Курбанов // Региональные агросистемы: экономика и социология. – 2015. – № 1. – С. 6.</w:t>
      </w:r>
    </w:p>
    <w:p w14:paraId="3410C194" w14:textId="77777777" w:rsidR="001F333E" w:rsidRPr="007E1183" w:rsidRDefault="001F333E" w:rsidP="001F333E">
      <w:pPr>
        <w:numPr>
          <w:ilvl w:val="0"/>
          <w:numId w:val="56"/>
        </w:numPr>
        <w:spacing w:after="0" w:line="240" w:lineRule="auto"/>
        <w:ind w:left="0" w:firstLine="397"/>
        <w:jc w:val="both"/>
        <w:rPr>
          <w:rFonts w:ascii="Times New Roman" w:eastAsia="Times New Roman" w:hAnsi="Times New Roman" w:cs="Times New Roman"/>
          <w:sz w:val="24"/>
          <w:szCs w:val="24"/>
          <w:lang w:eastAsia="ru-RU"/>
        </w:rPr>
      </w:pPr>
      <w:r w:rsidRPr="007E1183">
        <w:rPr>
          <w:rFonts w:ascii="Times New Roman" w:eastAsia="Times New Roman" w:hAnsi="Times New Roman" w:cs="Times New Roman"/>
          <w:sz w:val="24"/>
          <w:szCs w:val="24"/>
          <w:lang w:eastAsia="ru-RU"/>
        </w:rPr>
        <w:lastRenderedPageBreak/>
        <w:t>Дамбаева Е.Ж. Инновационная составляющая инвестиционной политики предприятий в топливно-энергетическом комплексе России / Е.Ж. Дамбаева // Вопросы экономики и права. - 2016. - №8. - С.65-67</w:t>
      </w:r>
    </w:p>
    <w:p w14:paraId="3A9327FE" w14:textId="77777777" w:rsidR="001F333E" w:rsidRPr="007E1183" w:rsidRDefault="001F333E" w:rsidP="001F333E">
      <w:pPr>
        <w:numPr>
          <w:ilvl w:val="0"/>
          <w:numId w:val="56"/>
        </w:numPr>
        <w:spacing w:after="0" w:line="240" w:lineRule="auto"/>
        <w:ind w:left="0" w:firstLine="397"/>
        <w:jc w:val="both"/>
        <w:rPr>
          <w:rFonts w:ascii="Times New Roman" w:eastAsia="Times New Roman" w:hAnsi="Times New Roman" w:cs="Times New Roman"/>
          <w:sz w:val="24"/>
          <w:szCs w:val="24"/>
          <w:lang w:eastAsia="ru-RU"/>
        </w:rPr>
      </w:pPr>
      <w:r w:rsidRPr="007E1183">
        <w:rPr>
          <w:rFonts w:ascii="Times New Roman" w:eastAsia="Times New Roman" w:hAnsi="Times New Roman" w:cs="Times New Roman"/>
          <w:sz w:val="24"/>
          <w:szCs w:val="24"/>
          <w:lang w:eastAsia="ru-RU"/>
        </w:rPr>
        <w:t xml:space="preserve">Суворова А.П. Совершенствование теоретико-методических основ управления инвестиционной политикой организации / А.П. Суворова // Вестник МОСИ. – 2014. – № 1. – С. 204–211. </w:t>
      </w:r>
    </w:p>
    <w:p w14:paraId="50B1603E" w14:textId="77777777" w:rsidR="001F333E" w:rsidRPr="007E1183" w:rsidRDefault="001F333E" w:rsidP="001F333E">
      <w:pPr>
        <w:numPr>
          <w:ilvl w:val="0"/>
          <w:numId w:val="56"/>
        </w:numPr>
        <w:spacing w:after="0" w:line="240" w:lineRule="auto"/>
        <w:ind w:left="0" w:firstLine="397"/>
        <w:jc w:val="both"/>
        <w:rPr>
          <w:rFonts w:ascii="Times New Roman" w:eastAsia="Times New Roman" w:hAnsi="Times New Roman" w:cs="Times New Roman"/>
          <w:sz w:val="24"/>
          <w:szCs w:val="24"/>
          <w:lang w:eastAsia="ru-RU"/>
        </w:rPr>
      </w:pPr>
      <w:r w:rsidRPr="007E1183">
        <w:rPr>
          <w:rFonts w:ascii="Times New Roman" w:eastAsia="Times New Roman" w:hAnsi="Times New Roman" w:cs="Times New Roman"/>
          <w:sz w:val="24"/>
          <w:szCs w:val="24"/>
          <w:lang w:eastAsia="ru-RU"/>
        </w:rPr>
        <w:t>Тарарина Е.С. Инвестиционная политика промышленных предприятий и фондовый рынок / Е.С. Тарарина // Экономическая наука современной России. - 2015. - № 4. - С.88-94</w:t>
      </w:r>
    </w:p>
    <w:p w14:paraId="62DF72A3" w14:textId="77777777" w:rsidR="001F333E" w:rsidRPr="007E1183" w:rsidRDefault="001F333E" w:rsidP="001F333E">
      <w:pPr>
        <w:numPr>
          <w:ilvl w:val="0"/>
          <w:numId w:val="56"/>
        </w:numPr>
        <w:spacing w:after="0" w:line="240" w:lineRule="auto"/>
        <w:ind w:left="0" w:firstLine="397"/>
        <w:jc w:val="both"/>
        <w:rPr>
          <w:rFonts w:ascii="Times New Roman" w:eastAsia="Times New Roman" w:hAnsi="Times New Roman" w:cs="Times New Roman"/>
          <w:sz w:val="24"/>
          <w:szCs w:val="24"/>
          <w:lang w:eastAsia="ru-RU"/>
        </w:rPr>
      </w:pPr>
      <w:r w:rsidRPr="007E1183">
        <w:rPr>
          <w:rFonts w:ascii="Times New Roman" w:eastAsia="Times New Roman" w:hAnsi="Times New Roman" w:cs="Times New Roman"/>
          <w:sz w:val="24"/>
          <w:szCs w:val="24"/>
          <w:lang w:eastAsia="ru-RU"/>
        </w:rPr>
        <w:t>Шуляк П. Н. Финансы предприятий: Учебник / П.Н. Шуляк. – М.: Издательско-торговая корпорация «Дашков и Ко», 2015. – 624 с.</w:t>
      </w:r>
    </w:p>
    <w:p w14:paraId="5A39BBE3" w14:textId="77777777" w:rsidR="001F333E" w:rsidRPr="007E1183" w:rsidRDefault="001F333E" w:rsidP="00C23563">
      <w:pPr>
        <w:spacing w:line="240" w:lineRule="auto"/>
        <w:jc w:val="both"/>
        <w:rPr>
          <w:rFonts w:ascii="Times New Roman" w:eastAsia="Calibri" w:hAnsi="Times New Roman" w:cs="Times New Roman"/>
          <w:b/>
          <w:bCs/>
          <w:sz w:val="24"/>
          <w:szCs w:val="24"/>
        </w:rPr>
      </w:pPr>
    </w:p>
    <w:p w14:paraId="5D52AD91" w14:textId="77777777" w:rsidR="00103976" w:rsidRPr="006D6F5D" w:rsidRDefault="00103976" w:rsidP="00103976">
      <w:pPr>
        <w:spacing w:line="240" w:lineRule="auto"/>
        <w:rPr>
          <w:rFonts w:ascii="Times New Roman" w:hAnsi="Times New Roman" w:cs="Times New Roman"/>
          <w:b/>
          <w:sz w:val="24"/>
          <w:szCs w:val="24"/>
        </w:rPr>
      </w:pPr>
      <w:r w:rsidRPr="006D6F5D">
        <w:rPr>
          <w:rFonts w:ascii="Times New Roman" w:hAnsi="Times New Roman" w:cs="Times New Roman"/>
          <w:b/>
          <w:sz w:val="24"/>
          <w:szCs w:val="24"/>
        </w:rPr>
        <w:t>Рубрика: Экономика и управление народным хозяйством (по отраслям и сферам деятельности)</w:t>
      </w:r>
    </w:p>
    <w:p w14:paraId="36CBBCA6" w14:textId="77777777" w:rsidR="00103976" w:rsidRPr="001E01E0" w:rsidRDefault="00103976" w:rsidP="00103976">
      <w:pPr>
        <w:spacing w:line="240" w:lineRule="auto"/>
        <w:rPr>
          <w:rFonts w:ascii="Times New Roman" w:hAnsi="Times New Roman" w:cs="Times New Roman"/>
          <w:sz w:val="24"/>
          <w:szCs w:val="24"/>
        </w:rPr>
      </w:pPr>
      <w:r w:rsidRPr="001E01E0">
        <w:rPr>
          <w:rFonts w:ascii="Times New Roman" w:hAnsi="Times New Roman" w:cs="Times New Roman"/>
          <w:sz w:val="24"/>
          <w:szCs w:val="24"/>
        </w:rPr>
        <w:t>УДК: 339.9</w:t>
      </w:r>
    </w:p>
    <w:p w14:paraId="50233D57" w14:textId="77777777" w:rsidR="00103976" w:rsidRPr="001E01E0" w:rsidRDefault="00103976" w:rsidP="00103976">
      <w:pPr>
        <w:spacing w:line="240" w:lineRule="auto"/>
        <w:jc w:val="center"/>
        <w:rPr>
          <w:rFonts w:ascii="Times New Roman" w:hAnsi="Times New Roman" w:cs="Times New Roman"/>
          <w:b/>
          <w:sz w:val="24"/>
          <w:szCs w:val="24"/>
        </w:rPr>
      </w:pPr>
      <w:r w:rsidRPr="001E01E0">
        <w:rPr>
          <w:rFonts w:ascii="Times New Roman" w:hAnsi="Times New Roman" w:cs="Times New Roman"/>
          <w:b/>
          <w:caps/>
          <w:sz w:val="24"/>
          <w:szCs w:val="24"/>
        </w:rPr>
        <w:t>ЭКОНОМИЧЕСКий рост СТРАН БРИКС в период глобальных Трансформаций</w:t>
      </w:r>
    </w:p>
    <w:p w14:paraId="5890F6AC" w14:textId="77777777" w:rsidR="00103976" w:rsidRPr="001973E4" w:rsidRDefault="00103976" w:rsidP="001973E4">
      <w:pPr>
        <w:spacing w:after="0" w:line="240" w:lineRule="auto"/>
        <w:jc w:val="center"/>
        <w:rPr>
          <w:rFonts w:ascii="Times New Roman" w:hAnsi="Times New Roman" w:cs="Times New Roman"/>
          <w:b/>
          <w:sz w:val="24"/>
          <w:szCs w:val="24"/>
        </w:rPr>
      </w:pPr>
      <w:r w:rsidRPr="001973E4">
        <w:rPr>
          <w:rFonts w:ascii="Times New Roman" w:hAnsi="Times New Roman" w:cs="Times New Roman"/>
          <w:b/>
          <w:sz w:val="24"/>
          <w:szCs w:val="24"/>
        </w:rPr>
        <w:t xml:space="preserve"> Астраханцева Анисья Валерьевна</w:t>
      </w:r>
    </w:p>
    <w:p w14:paraId="71416CD1" w14:textId="77777777" w:rsidR="00103976" w:rsidRPr="001973E4" w:rsidRDefault="00103976" w:rsidP="001973E4">
      <w:pPr>
        <w:spacing w:line="240" w:lineRule="auto"/>
        <w:jc w:val="center"/>
        <w:rPr>
          <w:rFonts w:ascii="Times New Roman" w:hAnsi="Times New Roman" w:cs="Times New Roman"/>
          <w:sz w:val="24"/>
          <w:szCs w:val="24"/>
        </w:rPr>
      </w:pPr>
      <w:r w:rsidRPr="001973E4">
        <w:rPr>
          <w:rFonts w:ascii="Times New Roman" w:hAnsi="Times New Roman" w:cs="Times New Roman"/>
          <w:sz w:val="24"/>
          <w:szCs w:val="24"/>
        </w:rPr>
        <w:t>Магистрант, 2 курс, кафедра экономики</w:t>
      </w:r>
    </w:p>
    <w:p w14:paraId="05910679" w14:textId="77777777" w:rsidR="00103976" w:rsidRPr="001E01E0" w:rsidRDefault="00103976" w:rsidP="001973E4">
      <w:pPr>
        <w:spacing w:line="240" w:lineRule="auto"/>
        <w:jc w:val="center"/>
        <w:rPr>
          <w:rFonts w:ascii="Times New Roman" w:hAnsi="Times New Roman" w:cs="Times New Roman"/>
          <w:i/>
          <w:sz w:val="24"/>
          <w:szCs w:val="24"/>
        </w:rPr>
      </w:pPr>
      <w:r w:rsidRPr="001E01E0">
        <w:rPr>
          <w:rFonts w:ascii="Times New Roman" w:hAnsi="Times New Roman" w:cs="Times New Roman"/>
          <w:i/>
          <w:sz w:val="24"/>
          <w:szCs w:val="24"/>
        </w:rPr>
        <w:t>Владивостокский государственный университет экономики и сервиса</w:t>
      </w:r>
    </w:p>
    <w:p w14:paraId="0594C7C0" w14:textId="77777777" w:rsidR="00103976" w:rsidRPr="001E01E0" w:rsidRDefault="00103976" w:rsidP="00103976">
      <w:pPr>
        <w:spacing w:line="240" w:lineRule="auto"/>
        <w:jc w:val="center"/>
        <w:rPr>
          <w:rFonts w:ascii="Times New Roman" w:hAnsi="Times New Roman" w:cs="Times New Roman"/>
          <w:i/>
          <w:sz w:val="24"/>
          <w:szCs w:val="24"/>
        </w:rPr>
      </w:pPr>
      <w:r w:rsidRPr="001E01E0">
        <w:rPr>
          <w:rFonts w:ascii="Times New Roman" w:hAnsi="Times New Roman" w:cs="Times New Roman"/>
          <w:i/>
          <w:sz w:val="24"/>
          <w:szCs w:val="24"/>
        </w:rPr>
        <w:t>ул. Гоголя, 41, г. Владивосток, Приморский край, Россия, 690014</w:t>
      </w:r>
    </w:p>
    <w:p w14:paraId="1E09BC35" w14:textId="77777777" w:rsidR="006D6F5D" w:rsidRDefault="00E96D36" w:rsidP="006D6F5D">
      <w:pPr>
        <w:tabs>
          <w:tab w:val="left" w:pos="709"/>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00103976" w:rsidRPr="001E01E0">
        <w:rPr>
          <w:rFonts w:ascii="Times New Roman" w:hAnsi="Times New Roman" w:cs="Times New Roman"/>
          <w:sz w:val="24"/>
          <w:szCs w:val="24"/>
        </w:rPr>
        <w:t>Статья посвящена анализу перспектив экономического роста группы стран БРИКС. Особое внимание в статье уделено рассмотрению возможностей этой группы стран стать доминирующей силой в мировом экономическом пространстве. В статье наглядно иллюстрируется изменение мировых лидеров по объемам производимого ВВП в течение последних трех десятилетий и сформирован прогноз относительно расположения стран БРИКС в мировом рейтинге производимого ВВП по состоянию до 2050 года. Выявлены факторы, которые в будущем будут являться существенным толчком для развития стран БРИКС.</w:t>
      </w:r>
    </w:p>
    <w:p w14:paraId="0A743933" w14:textId="77777777" w:rsidR="00103976" w:rsidRPr="001E01E0" w:rsidRDefault="006D6F5D" w:rsidP="006D6F5D">
      <w:pPr>
        <w:tabs>
          <w:tab w:val="left" w:pos="709"/>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00103976" w:rsidRPr="001E01E0">
        <w:rPr>
          <w:rFonts w:ascii="Times New Roman" w:hAnsi="Times New Roman" w:cs="Times New Roman"/>
          <w:b/>
          <w:sz w:val="24"/>
          <w:szCs w:val="24"/>
        </w:rPr>
        <w:t>Ключевые слова</w:t>
      </w:r>
      <w:r w:rsidR="00103976" w:rsidRPr="001E01E0">
        <w:rPr>
          <w:rFonts w:ascii="Times New Roman" w:hAnsi="Times New Roman" w:cs="Times New Roman"/>
          <w:sz w:val="24"/>
          <w:szCs w:val="24"/>
        </w:rPr>
        <w:t>: БРИКС, ВВП, экономический рост, трансформация, глобализация.</w:t>
      </w:r>
    </w:p>
    <w:p w14:paraId="41C8F396" w14:textId="77777777" w:rsidR="00103976" w:rsidRPr="001E01E0" w:rsidRDefault="00103976" w:rsidP="00103976">
      <w:pPr>
        <w:spacing w:line="240" w:lineRule="auto"/>
        <w:jc w:val="center"/>
        <w:rPr>
          <w:rFonts w:ascii="Times New Roman" w:hAnsi="Times New Roman" w:cs="Times New Roman"/>
          <w:b/>
          <w:color w:val="000000"/>
          <w:sz w:val="24"/>
          <w:szCs w:val="24"/>
          <w:shd w:val="clear" w:color="auto" w:fill="FFFFFF"/>
        </w:rPr>
      </w:pPr>
    </w:p>
    <w:p w14:paraId="0E7EBE74" w14:textId="77777777" w:rsidR="00103976" w:rsidRPr="001E01E0" w:rsidRDefault="00103976" w:rsidP="00103976">
      <w:pPr>
        <w:spacing w:line="240" w:lineRule="auto"/>
        <w:jc w:val="center"/>
        <w:rPr>
          <w:rFonts w:ascii="Times New Roman" w:hAnsi="Times New Roman" w:cs="Times New Roman"/>
          <w:b/>
          <w:color w:val="000000"/>
          <w:sz w:val="24"/>
          <w:szCs w:val="24"/>
          <w:shd w:val="clear" w:color="auto" w:fill="FFFFFF"/>
          <w:lang w:val="en-US"/>
        </w:rPr>
      </w:pPr>
      <w:r w:rsidRPr="001E01E0">
        <w:rPr>
          <w:rFonts w:ascii="Times New Roman" w:hAnsi="Times New Roman" w:cs="Times New Roman"/>
          <w:b/>
          <w:color w:val="000000"/>
          <w:sz w:val="24"/>
          <w:szCs w:val="24"/>
          <w:shd w:val="clear" w:color="auto" w:fill="FFFFFF"/>
          <w:lang w:val="en-US"/>
        </w:rPr>
        <w:t>ECONOMIC GROWTH OF BRICS COUNTRIES IN THE PERIOD OF GLOBAL TRANSFORMATIONS</w:t>
      </w:r>
    </w:p>
    <w:p w14:paraId="48114615" w14:textId="77777777" w:rsidR="006D6F5D" w:rsidRPr="006D6F5D" w:rsidRDefault="00103976" w:rsidP="006D6F5D">
      <w:pPr>
        <w:spacing w:after="0" w:line="240" w:lineRule="auto"/>
        <w:ind w:firstLine="708"/>
        <w:jc w:val="both"/>
        <w:rPr>
          <w:rFonts w:ascii="Times New Roman" w:hAnsi="Times New Roman" w:cs="Times New Roman"/>
          <w:sz w:val="24"/>
          <w:szCs w:val="24"/>
          <w:lang w:val="en-US"/>
        </w:rPr>
      </w:pPr>
      <w:r w:rsidRPr="001E01E0">
        <w:rPr>
          <w:rFonts w:ascii="Times New Roman" w:hAnsi="Times New Roman" w:cs="Times New Roman"/>
          <w:sz w:val="24"/>
          <w:szCs w:val="24"/>
          <w:lang w:val="en-US"/>
        </w:rPr>
        <w:t>The article is devoted to the analysis of the prospects for economic growth of a group of BRICS countries. Particular attention is paid to the consideration of the possibilities of this group of countries to become the dominant force in the world economic space. The article clearly illustrates the change in the world leaders in terms of the volume of GDP produced over the past three decades, and a forecast is made about the location of the BRICS countries in the world ranking of GDP produced as of 2050. Factors that in the future will be a significant impetus for the development of the BRICS countries are revealed.</w:t>
      </w:r>
    </w:p>
    <w:p w14:paraId="44DA986C" w14:textId="77777777" w:rsidR="00103976" w:rsidRPr="001E01E0" w:rsidRDefault="00103976" w:rsidP="006D6F5D">
      <w:pPr>
        <w:spacing w:after="0" w:line="240" w:lineRule="auto"/>
        <w:ind w:firstLine="708"/>
        <w:jc w:val="both"/>
        <w:rPr>
          <w:rFonts w:ascii="Times New Roman" w:hAnsi="Times New Roman" w:cs="Times New Roman"/>
          <w:sz w:val="24"/>
          <w:szCs w:val="24"/>
          <w:lang w:val="en-US"/>
        </w:rPr>
      </w:pPr>
      <w:r w:rsidRPr="001E01E0">
        <w:rPr>
          <w:rFonts w:ascii="Times New Roman" w:hAnsi="Times New Roman" w:cs="Times New Roman"/>
          <w:b/>
          <w:sz w:val="24"/>
          <w:szCs w:val="24"/>
          <w:lang w:val="en-US"/>
        </w:rPr>
        <w:t>Key words</w:t>
      </w:r>
      <w:r w:rsidRPr="001E01E0">
        <w:rPr>
          <w:rFonts w:ascii="Times New Roman" w:hAnsi="Times New Roman" w:cs="Times New Roman"/>
          <w:sz w:val="24"/>
          <w:szCs w:val="24"/>
          <w:lang w:val="en-US"/>
        </w:rPr>
        <w:t>: BRICS, GDP, economic growth, transformation, globalization.</w:t>
      </w:r>
    </w:p>
    <w:p w14:paraId="72A3D3EC" w14:textId="77777777" w:rsidR="001973E4" w:rsidRDefault="001973E4" w:rsidP="001973E4">
      <w:pPr>
        <w:widowControl w:val="0"/>
        <w:spacing w:line="240" w:lineRule="auto"/>
        <w:jc w:val="both"/>
        <w:rPr>
          <w:rFonts w:ascii="Times New Roman" w:hAnsi="Times New Roman" w:cs="Times New Roman"/>
          <w:b/>
          <w:sz w:val="24"/>
          <w:szCs w:val="24"/>
          <w:lang w:val="en-US"/>
        </w:rPr>
      </w:pPr>
    </w:p>
    <w:p w14:paraId="677275E9" w14:textId="77777777" w:rsidR="00103976" w:rsidRPr="001E01E0" w:rsidRDefault="00103976" w:rsidP="001973E4">
      <w:pPr>
        <w:widowControl w:val="0"/>
        <w:spacing w:line="240" w:lineRule="auto"/>
        <w:ind w:firstLine="708"/>
        <w:jc w:val="both"/>
        <w:rPr>
          <w:rFonts w:ascii="Times New Roman" w:hAnsi="Times New Roman" w:cs="Times New Roman"/>
          <w:sz w:val="24"/>
          <w:szCs w:val="24"/>
        </w:rPr>
      </w:pPr>
      <w:r w:rsidRPr="001E01E0">
        <w:rPr>
          <w:rFonts w:ascii="Times New Roman" w:hAnsi="Times New Roman" w:cs="Times New Roman"/>
          <w:b/>
          <w:sz w:val="24"/>
          <w:szCs w:val="24"/>
        </w:rPr>
        <w:t xml:space="preserve">Постановка проблемы и ее связь с важными научными и практическими проблемами. </w:t>
      </w:r>
      <w:r w:rsidRPr="001E01E0">
        <w:rPr>
          <w:rFonts w:ascii="Times New Roman" w:hAnsi="Times New Roman" w:cs="Times New Roman"/>
          <w:sz w:val="24"/>
          <w:szCs w:val="24"/>
        </w:rPr>
        <w:t xml:space="preserve">Мировой экономический кризис 2008 года значительно повлиял на скорость роста экономик всех стран мира. Темпы и стратегия развития стран БРИКС также претерпели существенных изменений, что вызвало необходимость определить сегодняшнее </w:t>
      </w:r>
      <w:r w:rsidRPr="001E01E0">
        <w:rPr>
          <w:rFonts w:ascii="Times New Roman" w:hAnsi="Times New Roman" w:cs="Times New Roman"/>
          <w:sz w:val="24"/>
          <w:szCs w:val="24"/>
        </w:rPr>
        <w:lastRenderedPageBreak/>
        <w:t>состояние этих экономик и определить, насколько данная группировка придерживается курса на мировое первенство в мощности экономического развития.</w:t>
      </w:r>
    </w:p>
    <w:p w14:paraId="627C0FD5" w14:textId="77777777" w:rsidR="00103976" w:rsidRPr="001E01E0" w:rsidRDefault="00103976" w:rsidP="0082342D">
      <w:pPr>
        <w:widowControl w:val="0"/>
        <w:spacing w:line="240" w:lineRule="auto"/>
        <w:ind w:firstLine="709"/>
        <w:jc w:val="both"/>
        <w:rPr>
          <w:rFonts w:ascii="Times New Roman" w:hAnsi="Times New Roman" w:cs="Times New Roman"/>
          <w:sz w:val="24"/>
          <w:szCs w:val="24"/>
        </w:rPr>
      </w:pPr>
      <w:r w:rsidRPr="001E01E0">
        <w:rPr>
          <w:rFonts w:ascii="Times New Roman" w:hAnsi="Times New Roman" w:cs="Times New Roman"/>
          <w:b/>
          <w:sz w:val="24"/>
          <w:szCs w:val="24"/>
        </w:rPr>
        <w:t>Анализ исследований и публикаций, в которых отображается решение данной проблемы.</w:t>
      </w:r>
      <w:r w:rsidRPr="001E01E0">
        <w:rPr>
          <w:rFonts w:ascii="Times New Roman" w:hAnsi="Times New Roman" w:cs="Times New Roman"/>
          <w:color w:val="FF0000"/>
          <w:sz w:val="24"/>
          <w:szCs w:val="24"/>
        </w:rPr>
        <w:t xml:space="preserve"> </w:t>
      </w:r>
      <w:r w:rsidRPr="001E01E0">
        <w:rPr>
          <w:rFonts w:ascii="Times New Roman" w:hAnsi="Times New Roman" w:cs="Times New Roman"/>
          <w:sz w:val="24"/>
          <w:szCs w:val="24"/>
        </w:rPr>
        <w:t>Изучение вопроса формирования структуры БРИКС началось только в XXI веке. Впервые определение аббревиатуры было выдвинуто американским аналитиком компании Голдман Сакс О’Нейлом в 2001 г. Развитие экономик стран БРИКС и сегодня является одним из главных направлений исследований компании Голдман Сакс [1]. Проблема изучается и обсуждается многими учеными и аналитиками стран Европы, США, создаются специальные группы для исследования целевого назначения и стратегий группировки в образовательных учреждениях стран БРИКС. Анализ и перспективы союза БРИКС в формате ведущего группировки в формировании мироустройства исследуются российскими деятелями науки и политики Никоновым В. А., Толорая Г. Д., Давыдовым В.Н., Луковым В. Б. и др. Основой для исследования политики и стратегий БРИКС является декларации саммитов БРИКС.</w:t>
      </w:r>
    </w:p>
    <w:p w14:paraId="17E06375" w14:textId="77777777" w:rsidR="00103976" w:rsidRPr="001E01E0" w:rsidRDefault="00103976" w:rsidP="0082342D">
      <w:pPr>
        <w:widowControl w:val="0"/>
        <w:spacing w:line="240" w:lineRule="auto"/>
        <w:ind w:firstLine="709"/>
        <w:jc w:val="both"/>
        <w:rPr>
          <w:rFonts w:ascii="Times New Roman" w:hAnsi="Times New Roman" w:cs="Times New Roman"/>
          <w:sz w:val="24"/>
          <w:szCs w:val="24"/>
        </w:rPr>
      </w:pPr>
      <w:r w:rsidRPr="001E01E0">
        <w:rPr>
          <w:rFonts w:ascii="Times New Roman" w:hAnsi="Times New Roman" w:cs="Times New Roman"/>
          <w:b/>
          <w:sz w:val="24"/>
          <w:szCs w:val="24"/>
        </w:rPr>
        <w:t>Цель</w:t>
      </w:r>
      <w:r w:rsidRPr="001E01E0">
        <w:rPr>
          <w:rFonts w:ascii="Times New Roman" w:hAnsi="Times New Roman" w:cs="Times New Roman"/>
          <w:sz w:val="24"/>
          <w:szCs w:val="24"/>
        </w:rPr>
        <w:t xml:space="preserve"> статьи состоит в исследовании сегодняшнего положения стран БРИКС и анализ возможности опережение группой БРИКС группы стран G7 по совокупной экономическим показателям. Для получения результатов использованы </w:t>
      </w:r>
      <w:r w:rsidRPr="001E01E0">
        <w:rPr>
          <w:rFonts w:ascii="Times New Roman" w:hAnsi="Times New Roman" w:cs="Times New Roman"/>
          <w:b/>
          <w:sz w:val="24"/>
          <w:szCs w:val="24"/>
        </w:rPr>
        <w:t>методы исследования</w:t>
      </w:r>
      <w:r w:rsidRPr="001E01E0">
        <w:rPr>
          <w:rFonts w:ascii="Times New Roman" w:hAnsi="Times New Roman" w:cs="Times New Roman"/>
          <w:sz w:val="24"/>
          <w:szCs w:val="24"/>
        </w:rPr>
        <w:t xml:space="preserve">: теоретического анализа и обобщения; индукции и дедукции; анализа и синтеза.  </w:t>
      </w:r>
    </w:p>
    <w:p w14:paraId="30154833" w14:textId="77777777" w:rsidR="00103976" w:rsidRPr="001E01E0" w:rsidRDefault="00103976" w:rsidP="0082342D">
      <w:pPr>
        <w:widowControl w:val="0"/>
        <w:spacing w:line="240" w:lineRule="auto"/>
        <w:ind w:firstLine="709"/>
        <w:jc w:val="both"/>
        <w:rPr>
          <w:rFonts w:ascii="Times New Roman" w:hAnsi="Times New Roman" w:cs="Times New Roman"/>
          <w:sz w:val="24"/>
          <w:szCs w:val="24"/>
        </w:rPr>
      </w:pPr>
      <w:r w:rsidRPr="001E01E0">
        <w:rPr>
          <w:rFonts w:ascii="Times New Roman" w:hAnsi="Times New Roman" w:cs="Times New Roman"/>
          <w:b/>
          <w:sz w:val="24"/>
          <w:szCs w:val="24"/>
        </w:rPr>
        <w:t xml:space="preserve">Изложение основного материала исследования. </w:t>
      </w:r>
      <w:r w:rsidRPr="001E01E0">
        <w:rPr>
          <w:rFonts w:ascii="Times New Roman" w:hAnsi="Times New Roman" w:cs="Times New Roman"/>
          <w:sz w:val="24"/>
          <w:szCs w:val="24"/>
        </w:rPr>
        <w:t xml:space="preserve">В настоящее время мировая экономика проходит через очередной этап глубокой перестройки существующих взаимосвязей, сложившихся в ней в течение долгих десятилетий. Одним из полюсов новой модели мирового экономического развития становятся страны БРИКС, причем как каждая в одиночку, так и в качестве единого целого, довольно специфического объединения глобальной значимости. </w:t>
      </w:r>
    </w:p>
    <w:p w14:paraId="4917A5F0" w14:textId="77777777" w:rsidR="00103976" w:rsidRPr="001E01E0" w:rsidRDefault="00103976" w:rsidP="0082342D">
      <w:pPr>
        <w:widowControl w:val="0"/>
        <w:spacing w:line="240" w:lineRule="auto"/>
        <w:ind w:firstLine="709"/>
        <w:jc w:val="both"/>
        <w:rPr>
          <w:rFonts w:ascii="Times New Roman" w:hAnsi="Times New Roman" w:cs="Times New Roman"/>
          <w:sz w:val="24"/>
          <w:szCs w:val="24"/>
        </w:rPr>
      </w:pPr>
      <w:r w:rsidRPr="001E01E0">
        <w:rPr>
          <w:rFonts w:ascii="Times New Roman" w:hAnsi="Times New Roman" w:cs="Times New Roman"/>
          <w:sz w:val="24"/>
          <w:szCs w:val="24"/>
        </w:rPr>
        <w:t>Страны БРИКС, как яркие представители развивающихся стран, сохраняют стабильные темпы рост и развития, и теперь уже они способствуют выводу мировой экономики из глубины кризиса. Данные страны обладают значительными природными богатствами, а их трудовые ресурсы постоянно растут; в структуре мирового хозяйства их отличает масштабность решаемых ими экономических задач, емкий рыночный потенциал, а также ряд других преимуществ. Объемы торговли, как внутренней, так и международной в странах БРИКС растут сравнительно высокими темпами, а валютные запасы превращают их в ведущих держателей ценных бумаг и источник оздоровления национальной экономики. Современные тенденции развития мирового хозяйства, среди которых выделяются экономический подъем и рост политического влияния развивающихся стран, свидетельствуют, что трансформация мирового порядка имеет тенденцию к многополярности. Об этом свидетельствует и расширение сферы влияния региональных, некоммерческих организаций и многонациональных корпораций.</w:t>
      </w:r>
    </w:p>
    <w:p w14:paraId="2ABB4BB6" w14:textId="77777777" w:rsidR="00103976" w:rsidRPr="001E01E0" w:rsidRDefault="00103976" w:rsidP="0082342D">
      <w:pPr>
        <w:widowControl w:val="0"/>
        <w:spacing w:line="240" w:lineRule="auto"/>
        <w:ind w:firstLine="709"/>
        <w:jc w:val="both"/>
        <w:rPr>
          <w:rFonts w:ascii="Times New Roman" w:hAnsi="Times New Roman" w:cs="Times New Roman"/>
          <w:sz w:val="24"/>
          <w:szCs w:val="24"/>
        </w:rPr>
      </w:pPr>
      <w:r w:rsidRPr="001E01E0">
        <w:rPr>
          <w:rFonts w:ascii="Times New Roman" w:hAnsi="Times New Roman" w:cs="Times New Roman"/>
          <w:sz w:val="24"/>
          <w:szCs w:val="24"/>
        </w:rPr>
        <w:t>Кроме того, мировые аналитики прогнозируют дальнейшее укрепление позиций в рамках объединения БРИКС.</w:t>
      </w:r>
    </w:p>
    <w:p w14:paraId="11F54B02" w14:textId="77777777" w:rsidR="00103976" w:rsidRPr="001E01E0" w:rsidRDefault="00103976" w:rsidP="00E96D36">
      <w:pPr>
        <w:spacing w:line="240" w:lineRule="auto"/>
        <w:ind w:firstLine="709"/>
        <w:jc w:val="both"/>
        <w:rPr>
          <w:rFonts w:ascii="Times New Roman" w:hAnsi="Times New Roman" w:cs="Times New Roman"/>
          <w:sz w:val="24"/>
          <w:szCs w:val="24"/>
        </w:rPr>
      </w:pPr>
      <w:r w:rsidRPr="001E01E0">
        <w:rPr>
          <w:rFonts w:ascii="Times New Roman" w:hAnsi="Times New Roman" w:cs="Times New Roman"/>
          <w:sz w:val="24"/>
          <w:szCs w:val="24"/>
        </w:rPr>
        <w:t>Согласно исследованиям, развивающиеся страны, во главе со странами БРИКС производят около четверти глобального ВВП. Все развитые экономики - около 63%, а остальные страны мира - 12%. К 2050 совокупный ВВП «экономик роста» возрастет на 2100%, а их доля в мировом валовом продукте возрастет до 46%, в то время, как доля развитых экономик уменьшится до 31% (рис.1).</w:t>
      </w:r>
    </w:p>
    <w:p w14:paraId="0D0B940D" w14:textId="77777777" w:rsidR="00103976" w:rsidRPr="001E01E0" w:rsidRDefault="00103976" w:rsidP="00103976">
      <w:pPr>
        <w:spacing w:line="240" w:lineRule="auto"/>
        <w:ind w:firstLine="709"/>
        <w:rPr>
          <w:rFonts w:ascii="Times New Roman" w:hAnsi="Times New Roman" w:cs="Times New Roman"/>
          <w:b/>
          <w:sz w:val="24"/>
          <w:szCs w:val="24"/>
        </w:rPr>
      </w:pPr>
    </w:p>
    <w:p w14:paraId="0E27B00A" w14:textId="77777777" w:rsidR="00103976" w:rsidRPr="001E01E0" w:rsidRDefault="00103976" w:rsidP="00103976">
      <w:pPr>
        <w:spacing w:line="240" w:lineRule="auto"/>
        <w:rPr>
          <w:rFonts w:ascii="Times New Roman" w:hAnsi="Times New Roman" w:cs="Times New Roman"/>
          <w:b/>
          <w:sz w:val="24"/>
          <w:szCs w:val="24"/>
        </w:rPr>
      </w:pPr>
      <w:r w:rsidRPr="001E01E0">
        <w:rPr>
          <w:rFonts w:ascii="Times New Roman" w:hAnsi="Times New Roman" w:cs="Times New Roman"/>
          <w:noProof/>
          <w:sz w:val="24"/>
          <w:szCs w:val="24"/>
          <w:lang w:eastAsia="ru-RU"/>
        </w:rPr>
        <w:lastRenderedPageBreak/>
        <w:drawing>
          <wp:inline distT="0" distB="0" distL="0" distR="0" wp14:anchorId="2127D842" wp14:editId="07777777">
            <wp:extent cx="6138545" cy="2385695"/>
            <wp:effectExtent l="19050" t="0" r="0" b="0"/>
            <wp:docPr id="2"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9" cstate="print"/>
                    <a:srcRect/>
                    <a:stretch>
                      <a:fillRect/>
                    </a:stretch>
                  </pic:blipFill>
                  <pic:spPr bwMode="auto">
                    <a:xfrm>
                      <a:off x="0" y="0"/>
                      <a:ext cx="6138545" cy="2385695"/>
                    </a:xfrm>
                    <a:prstGeom prst="rect">
                      <a:avLst/>
                    </a:prstGeom>
                    <a:noFill/>
                    <a:ln w="9525">
                      <a:noFill/>
                      <a:miter lim="800000"/>
                      <a:headEnd/>
                      <a:tailEnd/>
                    </a:ln>
                  </pic:spPr>
                </pic:pic>
              </a:graphicData>
            </a:graphic>
          </wp:inline>
        </w:drawing>
      </w:r>
    </w:p>
    <w:p w14:paraId="60061E4C" w14:textId="77777777" w:rsidR="00103976" w:rsidRPr="001E01E0" w:rsidRDefault="00103976" w:rsidP="00103976">
      <w:pPr>
        <w:spacing w:line="240" w:lineRule="auto"/>
        <w:ind w:firstLine="709"/>
        <w:rPr>
          <w:rFonts w:ascii="Times New Roman" w:hAnsi="Times New Roman" w:cs="Times New Roman"/>
          <w:b/>
          <w:sz w:val="24"/>
          <w:szCs w:val="24"/>
        </w:rPr>
      </w:pPr>
    </w:p>
    <w:p w14:paraId="57152FBD" w14:textId="77777777" w:rsidR="00103976" w:rsidRPr="001E01E0" w:rsidRDefault="00103976" w:rsidP="00103976">
      <w:pPr>
        <w:spacing w:line="240" w:lineRule="auto"/>
        <w:ind w:firstLine="709"/>
        <w:jc w:val="center"/>
        <w:rPr>
          <w:rFonts w:ascii="Times New Roman" w:hAnsi="Times New Roman" w:cs="Times New Roman"/>
          <w:sz w:val="24"/>
          <w:szCs w:val="24"/>
        </w:rPr>
      </w:pPr>
      <w:r w:rsidRPr="001E01E0">
        <w:rPr>
          <w:rFonts w:ascii="Times New Roman" w:hAnsi="Times New Roman" w:cs="Times New Roman"/>
          <w:sz w:val="24"/>
          <w:szCs w:val="24"/>
        </w:rPr>
        <w:t>Рисунок 1 – Доля стран в мировом валовом продукте, %</w:t>
      </w:r>
    </w:p>
    <w:p w14:paraId="3E221A99" w14:textId="77777777" w:rsidR="00103976" w:rsidRPr="001E01E0" w:rsidRDefault="00103976" w:rsidP="00103976">
      <w:pPr>
        <w:spacing w:line="240" w:lineRule="auto"/>
        <w:rPr>
          <w:rFonts w:ascii="Times New Roman" w:hAnsi="Times New Roman" w:cs="Times New Roman"/>
          <w:sz w:val="24"/>
          <w:szCs w:val="24"/>
        </w:rPr>
      </w:pPr>
      <w:r w:rsidRPr="001E01E0">
        <w:rPr>
          <w:rFonts w:ascii="Times New Roman" w:hAnsi="Times New Roman" w:cs="Times New Roman"/>
          <w:sz w:val="24"/>
          <w:szCs w:val="24"/>
        </w:rPr>
        <w:t>Источник [2]</w:t>
      </w:r>
    </w:p>
    <w:p w14:paraId="2C707B21" w14:textId="77777777" w:rsidR="00103976" w:rsidRPr="001E01E0" w:rsidRDefault="00103976" w:rsidP="00E96D36">
      <w:pPr>
        <w:spacing w:line="240" w:lineRule="auto"/>
        <w:ind w:firstLine="708"/>
        <w:jc w:val="both"/>
        <w:rPr>
          <w:rFonts w:ascii="Times New Roman" w:hAnsi="Times New Roman" w:cs="Times New Roman"/>
          <w:sz w:val="24"/>
          <w:szCs w:val="24"/>
        </w:rPr>
      </w:pPr>
      <w:r w:rsidRPr="001E01E0">
        <w:rPr>
          <w:rFonts w:ascii="Times New Roman" w:hAnsi="Times New Roman" w:cs="Times New Roman"/>
          <w:sz w:val="24"/>
          <w:szCs w:val="24"/>
        </w:rPr>
        <w:t>Первым исследованием на пути к данному прогноза стала статья, опубликованная в 2003г. экспертами отдела глобальных экономических исследований банка «Goldman Sachs» под названием «Мечтая вместе с БРИКС-странами. Путь в 2050 г.» [3]. Исследователи сопоставили потенциал роста стран БРИК с экономической мощностью стран «Большой шестерки» (США, Японии, Германии, Великобритании, Франции и Италии) и спрогнозировали, что к 2050 г. страны БРИКС станут лидерами в глобальной экономике по величине совокупного ВВП (табл. 1).</w:t>
      </w:r>
    </w:p>
    <w:p w14:paraId="3F640F1C" w14:textId="77777777" w:rsidR="00103976" w:rsidRPr="001E01E0" w:rsidRDefault="00103976" w:rsidP="00E96D36">
      <w:pPr>
        <w:pStyle w:val="af6"/>
        <w:ind w:firstLine="0"/>
        <w:jc w:val="center"/>
        <w:rPr>
          <w:sz w:val="24"/>
        </w:rPr>
      </w:pPr>
      <w:r w:rsidRPr="001E01E0">
        <w:rPr>
          <w:sz w:val="24"/>
        </w:rPr>
        <w:t>Таблица 1. Топ-20 лидеров национальных экономик по объему ВВП, 1980-2050 гг.</w:t>
      </w:r>
    </w:p>
    <w:p w14:paraId="44EAFD9C" w14:textId="77777777" w:rsidR="00103976" w:rsidRPr="001E01E0" w:rsidRDefault="00103976" w:rsidP="00103976">
      <w:pPr>
        <w:pStyle w:val="af6"/>
        <w:ind w:left="283"/>
        <w:rPr>
          <w:sz w:val="24"/>
        </w:rPr>
      </w:pPr>
    </w:p>
    <w:tbl>
      <w:tblPr>
        <w:tblStyle w:val="NormalTable0"/>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8"/>
        <w:gridCol w:w="2110"/>
        <w:gridCol w:w="1856"/>
        <w:gridCol w:w="1855"/>
        <w:gridCol w:w="1856"/>
      </w:tblGrid>
      <w:tr w:rsidR="00103976" w:rsidRPr="001E01E0" w14:paraId="21F83867" w14:textId="77777777" w:rsidTr="00212D0F">
        <w:trPr>
          <w:trHeight w:val="368"/>
        </w:trPr>
        <w:tc>
          <w:tcPr>
            <w:tcW w:w="1218" w:type="dxa"/>
          </w:tcPr>
          <w:p w14:paraId="27607C5F" w14:textId="77777777" w:rsidR="00103976" w:rsidRPr="001E01E0" w:rsidRDefault="00103976" w:rsidP="00212D0F">
            <w:pPr>
              <w:pStyle w:val="TableParagraph"/>
              <w:spacing w:line="240" w:lineRule="auto"/>
              <w:rPr>
                <w:b/>
                <w:sz w:val="24"/>
                <w:szCs w:val="24"/>
                <w:lang w:val="ru-RU"/>
              </w:rPr>
            </w:pPr>
            <w:r w:rsidRPr="001E01E0">
              <w:rPr>
                <w:b/>
                <w:sz w:val="24"/>
                <w:szCs w:val="24"/>
                <w:lang w:val="ru-RU"/>
              </w:rPr>
              <w:t>Место в рейтинг</w:t>
            </w:r>
          </w:p>
        </w:tc>
        <w:tc>
          <w:tcPr>
            <w:tcW w:w="2110" w:type="dxa"/>
          </w:tcPr>
          <w:p w14:paraId="7EC7D52F" w14:textId="77777777" w:rsidR="00103976" w:rsidRPr="001E01E0" w:rsidRDefault="00103976" w:rsidP="00212D0F">
            <w:pPr>
              <w:pStyle w:val="TableParagraph"/>
              <w:spacing w:line="240" w:lineRule="auto"/>
              <w:rPr>
                <w:b/>
                <w:sz w:val="24"/>
                <w:szCs w:val="24"/>
                <w:lang w:val="ru-RU"/>
              </w:rPr>
            </w:pPr>
            <w:r w:rsidRPr="001E01E0">
              <w:rPr>
                <w:b/>
                <w:sz w:val="24"/>
                <w:szCs w:val="24"/>
              </w:rPr>
              <w:t>1980</w:t>
            </w:r>
            <w:r w:rsidRPr="001E01E0">
              <w:rPr>
                <w:b/>
                <w:sz w:val="24"/>
                <w:szCs w:val="24"/>
                <w:lang w:val="ru-RU"/>
              </w:rPr>
              <w:t>г.</w:t>
            </w:r>
          </w:p>
        </w:tc>
        <w:tc>
          <w:tcPr>
            <w:tcW w:w="1856" w:type="dxa"/>
          </w:tcPr>
          <w:p w14:paraId="4D78A87A" w14:textId="77777777" w:rsidR="00103976" w:rsidRPr="001E01E0" w:rsidRDefault="00103976" w:rsidP="00212D0F">
            <w:pPr>
              <w:pStyle w:val="TableParagraph"/>
              <w:spacing w:line="240" w:lineRule="auto"/>
              <w:rPr>
                <w:b/>
                <w:sz w:val="24"/>
                <w:szCs w:val="24"/>
                <w:lang w:val="ru-RU"/>
              </w:rPr>
            </w:pPr>
            <w:r w:rsidRPr="001E01E0">
              <w:rPr>
                <w:b/>
                <w:sz w:val="24"/>
                <w:szCs w:val="24"/>
              </w:rPr>
              <w:t>2000</w:t>
            </w:r>
            <w:r w:rsidRPr="001E01E0">
              <w:rPr>
                <w:b/>
                <w:sz w:val="24"/>
                <w:szCs w:val="24"/>
                <w:lang w:val="ru-RU"/>
              </w:rPr>
              <w:t>г.</w:t>
            </w:r>
          </w:p>
        </w:tc>
        <w:tc>
          <w:tcPr>
            <w:tcW w:w="1855" w:type="dxa"/>
          </w:tcPr>
          <w:p w14:paraId="2C0EADA8" w14:textId="77777777" w:rsidR="00103976" w:rsidRPr="001E01E0" w:rsidRDefault="00103976" w:rsidP="00212D0F">
            <w:pPr>
              <w:pStyle w:val="TableParagraph"/>
              <w:spacing w:line="240" w:lineRule="auto"/>
              <w:rPr>
                <w:b/>
                <w:sz w:val="24"/>
                <w:szCs w:val="24"/>
                <w:lang w:val="ru-RU"/>
              </w:rPr>
            </w:pPr>
            <w:r w:rsidRPr="001E01E0">
              <w:rPr>
                <w:b/>
                <w:sz w:val="24"/>
                <w:szCs w:val="24"/>
              </w:rPr>
              <w:t>2010</w:t>
            </w:r>
            <w:r w:rsidRPr="001E01E0">
              <w:rPr>
                <w:b/>
                <w:sz w:val="24"/>
                <w:szCs w:val="24"/>
                <w:lang w:val="ru-RU"/>
              </w:rPr>
              <w:t>г.</w:t>
            </w:r>
          </w:p>
        </w:tc>
        <w:tc>
          <w:tcPr>
            <w:tcW w:w="1856" w:type="dxa"/>
          </w:tcPr>
          <w:p w14:paraId="4C229D0A" w14:textId="77777777" w:rsidR="00103976" w:rsidRPr="001E01E0" w:rsidRDefault="00103976" w:rsidP="00212D0F">
            <w:pPr>
              <w:pStyle w:val="TableParagraph"/>
              <w:spacing w:line="240" w:lineRule="auto"/>
              <w:rPr>
                <w:b/>
                <w:sz w:val="24"/>
                <w:szCs w:val="24"/>
                <w:lang w:val="ru-RU"/>
              </w:rPr>
            </w:pPr>
            <w:r w:rsidRPr="001E01E0">
              <w:rPr>
                <w:b/>
                <w:sz w:val="24"/>
                <w:szCs w:val="24"/>
              </w:rPr>
              <w:t>2050</w:t>
            </w:r>
            <w:r w:rsidRPr="001E01E0">
              <w:rPr>
                <w:b/>
                <w:sz w:val="24"/>
                <w:szCs w:val="24"/>
                <w:lang w:val="ru-RU"/>
              </w:rPr>
              <w:t>г.</w:t>
            </w:r>
          </w:p>
        </w:tc>
      </w:tr>
      <w:tr w:rsidR="00103976" w:rsidRPr="001E01E0" w14:paraId="3166684B" w14:textId="77777777" w:rsidTr="00212D0F">
        <w:trPr>
          <w:trHeight w:val="183"/>
        </w:trPr>
        <w:tc>
          <w:tcPr>
            <w:tcW w:w="1218" w:type="dxa"/>
          </w:tcPr>
          <w:p w14:paraId="649841BE" w14:textId="77777777" w:rsidR="00103976" w:rsidRPr="001E01E0" w:rsidRDefault="00103976" w:rsidP="00212D0F">
            <w:pPr>
              <w:pStyle w:val="TableParagraph"/>
              <w:spacing w:line="240" w:lineRule="auto"/>
              <w:rPr>
                <w:sz w:val="24"/>
                <w:szCs w:val="24"/>
              </w:rPr>
            </w:pPr>
            <w:r w:rsidRPr="001E01E0">
              <w:rPr>
                <w:w w:val="99"/>
                <w:sz w:val="24"/>
                <w:szCs w:val="24"/>
              </w:rPr>
              <w:t>1</w:t>
            </w:r>
          </w:p>
        </w:tc>
        <w:tc>
          <w:tcPr>
            <w:tcW w:w="2110" w:type="dxa"/>
          </w:tcPr>
          <w:p w14:paraId="327D5C1E" w14:textId="77777777" w:rsidR="00103976" w:rsidRPr="001E01E0" w:rsidRDefault="00103976" w:rsidP="00212D0F">
            <w:pPr>
              <w:pStyle w:val="TableParagraph"/>
              <w:spacing w:line="240" w:lineRule="auto"/>
              <w:rPr>
                <w:sz w:val="24"/>
                <w:szCs w:val="24"/>
                <w:lang w:val="ru-RU"/>
              </w:rPr>
            </w:pPr>
            <w:r w:rsidRPr="001E01E0">
              <w:rPr>
                <w:sz w:val="24"/>
                <w:szCs w:val="24"/>
                <w:lang w:val="ru-RU"/>
              </w:rPr>
              <w:t>США</w:t>
            </w:r>
          </w:p>
        </w:tc>
        <w:tc>
          <w:tcPr>
            <w:tcW w:w="1856" w:type="dxa"/>
          </w:tcPr>
          <w:p w14:paraId="3495668A" w14:textId="77777777" w:rsidR="00103976" w:rsidRPr="001E01E0" w:rsidRDefault="00103976" w:rsidP="00212D0F">
            <w:pPr>
              <w:pStyle w:val="TableParagraph"/>
              <w:spacing w:line="240" w:lineRule="auto"/>
              <w:rPr>
                <w:sz w:val="24"/>
                <w:szCs w:val="24"/>
                <w:lang w:val="ru-RU"/>
              </w:rPr>
            </w:pPr>
            <w:r w:rsidRPr="001E01E0">
              <w:rPr>
                <w:sz w:val="24"/>
                <w:szCs w:val="24"/>
                <w:lang w:val="ru-RU"/>
              </w:rPr>
              <w:t>США</w:t>
            </w:r>
          </w:p>
        </w:tc>
        <w:tc>
          <w:tcPr>
            <w:tcW w:w="1855" w:type="dxa"/>
          </w:tcPr>
          <w:p w14:paraId="110E92D6" w14:textId="77777777" w:rsidR="00103976" w:rsidRPr="001E01E0" w:rsidRDefault="00103976" w:rsidP="00212D0F">
            <w:pPr>
              <w:pStyle w:val="TableParagraph"/>
              <w:spacing w:line="240" w:lineRule="auto"/>
              <w:rPr>
                <w:sz w:val="24"/>
                <w:szCs w:val="24"/>
                <w:lang w:val="ru-RU"/>
              </w:rPr>
            </w:pPr>
            <w:r w:rsidRPr="001E01E0">
              <w:rPr>
                <w:sz w:val="24"/>
                <w:szCs w:val="24"/>
                <w:lang w:val="ru-RU"/>
              </w:rPr>
              <w:t>США</w:t>
            </w:r>
          </w:p>
        </w:tc>
        <w:tc>
          <w:tcPr>
            <w:tcW w:w="1856" w:type="dxa"/>
            <w:shd w:val="clear" w:color="auto" w:fill="E6E6E6"/>
          </w:tcPr>
          <w:p w14:paraId="7263400E"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Китай</w:t>
            </w:r>
          </w:p>
        </w:tc>
      </w:tr>
      <w:tr w:rsidR="00103976" w:rsidRPr="001E01E0" w14:paraId="7597638A" w14:textId="77777777" w:rsidTr="00212D0F">
        <w:trPr>
          <w:trHeight w:val="183"/>
        </w:trPr>
        <w:tc>
          <w:tcPr>
            <w:tcW w:w="1218" w:type="dxa"/>
          </w:tcPr>
          <w:p w14:paraId="18F999B5" w14:textId="77777777" w:rsidR="00103976" w:rsidRPr="001E01E0" w:rsidRDefault="00103976" w:rsidP="00212D0F">
            <w:pPr>
              <w:pStyle w:val="TableParagraph"/>
              <w:spacing w:line="240" w:lineRule="auto"/>
              <w:rPr>
                <w:sz w:val="24"/>
                <w:szCs w:val="24"/>
              </w:rPr>
            </w:pPr>
            <w:r w:rsidRPr="001E01E0">
              <w:rPr>
                <w:w w:val="99"/>
                <w:sz w:val="24"/>
                <w:szCs w:val="24"/>
              </w:rPr>
              <w:t>2</w:t>
            </w:r>
          </w:p>
        </w:tc>
        <w:tc>
          <w:tcPr>
            <w:tcW w:w="2110" w:type="dxa"/>
          </w:tcPr>
          <w:p w14:paraId="096D5560" w14:textId="77777777" w:rsidR="00103976" w:rsidRPr="001E01E0" w:rsidRDefault="00103976" w:rsidP="00212D0F">
            <w:pPr>
              <w:pStyle w:val="TableParagraph"/>
              <w:spacing w:line="240" w:lineRule="auto"/>
              <w:rPr>
                <w:sz w:val="24"/>
                <w:szCs w:val="24"/>
                <w:lang w:val="ru-RU"/>
              </w:rPr>
            </w:pPr>
            <w:r w:rsidRPr="001E01E0">
              <w:rPr>
                <w:sz w:val="24"/>
                <w:szCs w:val="24"/>
                <w:lang w:val="ru-RU"/>
              </w:rPr>
              <w:t>Япония</w:t>
            </w:r>
          </w:p>
        </w:tc>
        <w:tc>
          <w:tcPr>
            <w:tcW w:w="1856" w:type="dxa"/>
          </w:tcPr>
          <w:p w14:paraId="15FE9FA9" w14:textId="77777777" w:rsidR="00103976" w:rsidRPr="001E01E0" w:rsidRDefault="00103976" w:rsidP="00212D0F">
            <w:pPr>
              <w:pStyle w:val="TableParagraph"/>
              <w:spacing w:line="240" w:lineRule="auto"/>
              <w:rPr>
                <w:sz w:val="24"/>
                <w:szCs w:val="24"/>
                <w:lang w:val="ru-RU"/>
              </w:rPr>
            </w:pPr>
            <w:r w:rsidRPr="001E01E0">
              <w:rPr>
                <w:sz w:val="24"/>
                <w:szCs w:val="24"/>
                <w:lang w:val="ru-RU"/>
              </w:rPr>
              <w:t>Япония</w:t>
            </w:r>
          </w:p>
        </w:tc>
        <w:tc>
          <w:tcPr>
            <w:tcW w:w="1855" w:type="dxa"/>
            <w:shd w:val="clear" w:color="auto" w:fill="E6E6E6"/>
          </w:tcPr>
          <w:p w14:paraId="3ADD121D"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Китай</w:t>
            </w:r>
          </w:p>
        </w:tc>
        <w:tc>
          <w:tcPr>
            <w:tcW w:w="1856" w:type="dxa"/>
          </w:tcPr>
          <w:p w14:paraId="135F062D" w14:textId="77777777" w:rsidR="00103976" w:rsidRPr="001E01E0" w:rsidRDefault="00103976" w:rsidP="00212D0F">
            <w:pPr>
              <w:pStyle w:val="TableParagraph"/>
              <w:spacing w:line="240" w:lineRule="auto"/>
              <w:rPr>
                <w:sz w:val="24"/>
                <w:szCs w:val="24"/>
                <w:lang w:val="ru-RU"/>
              </w:rPr>
            </w:pPr>
            <w:r w:rsidRPr="001E01E0">
              <w:rPr>
                <w:sz w:val="24"/>
                <w:szCs w:val="24"/>
                <w:lang w:val="ru-RU"/>
              </w:rPr>
              <w:t>США</w:t>
            </w:r>
          </w:p>
        </w:tc>
      </w:tr>
      <w:tr w:rsidR="00103976" w:rsidRPr="001E01E0" w14:paraId="73086EB4" w14:textId="77777777" w:rsidTr="00212D0F">
        <w:trPr>
          <w:trHeight w:val="184"/>
        </w:trPr>
        <w:tc>
          <w:tcPr>
            <w:tcW w:w="1218" w:type="dxa"/>
          </w:tcPr>
          <w:p w14:paraId="5FCD5EC4" w14:textId="77777777" w:rsidR="00103976" w:rsidRPr="001E01E0" w:rsidRDefault="00103976" w:rsidP="00212D0F">
            <w:pPr>
              <w:pStyle w:val="TableParagraph"/>
              <w:spacing w:line="240" w:lineRule="auto"/>
              <w:rPr>
                <w:sz w:val="24"/>
                <w:szCs w:val="24"/>
              </w:rPr>
            </w:pPr>
            <w:r w:rsidRPr="001E01E0">
              <w:rPr>
                <w:w w:val="99"/>
                <w:sz w:val="24"/>
                <w:szCs w:val="24"/>
              </w:rPr>
              <w:t>3</w:t>
            </w:r>
          </w:p>
        </w:tc>
        <w:tc>
          <w:tcPr>
            <w:tcW w:w="2110" w:type="dxa"/>
          </w:tcPr>
          <w:p w14:paraId="1DB9C9FE" w14:textId="77777777" w:rsidR="00103976" w:rsidRPr="001E01E0" w:rsidRDefault="00103976" w:rsidP="00212D0F">
            <w:pPr>
              <w:pStyle w:val="TableParagraph"/>
              <w:spacing w:line="240" w:lineRule="auto"/>
              <w:rPr>
                <w:sz w:val="24"/>
                <w:szCs w:val="24"/>
                <w:lang w:val="ru-RU"/>
              </w:rPr>
            </w:pPr>
            <w:r w:rsidRPr="001E01E0">
              <w:rPr>
                <w:sz w:val="24"/>
                <w:szCs w:val="24"/>
                <w:lang w:val="ru-RU"/>
              </w:rPr>
              <w:t>Германия</w:t>
            </w:r>
          </w:p>
        </w:tc>
        <w:tc>
          <w:tcPr>
            <w:tcW w:w="1856" w:type="dxa"/>
          </w:tcPr>
          <w:p w14:paraId="2C0C8919" w14:textId="77777777" w:rsidR="00103976" w:rsidRPr="001E01E0" w:rsidRDefault="00103976" w:rsidP="00212D0F">
            <w:pPr>
              <w:pStyle w:val="TableParagraph"/>
              <w:spacing w:line="240" w:lineRule="auto"/>
              <w:rPr>
                <w:sz w:val="24"/>
                <w:szCs w:val="24"/>
                <w:lang w:val="ru-RU"/>
              </w:rPr>
            </w:pPr>
            <w:r w:rsidRPr="001E01E0">
              <w:rPr>
                <w:sz w:val="24"/>
                <w:szCs w:val="24"/>
                <w:lang w:val="ru-RU"/>
              </w:rPr>
              <w:t>Германия</w:t>
            </w:r>
          </w:p>
        </w:tc>
        <w:tc>
          <w:tcPr>
            <w:tcW w:w="1855" w:type="dxa"/>
          </w:tcPr>
          <w:p w14:paraId="738BAD65" w14:textId="77777777" w:rsidR="00103976" w:rsidRPr="001E01E0" w:rsidRDefault="00103976" w:rsidP="00212D0F">
            <w:pPr>
              <w:pStyle w:val="TableParagraph"/>
              <w:spacing w:line="240" w:lineRule="auto"/>
              <w:rPr>
                <w:sz w:val="24"/>
                <w:szCs w:val="24"/>
                <w:lang w:val="ru-RU"/>
              </w:rPr>
            </w:pPr>
            <w:r w:rsidRPr="001E01E0">
              <w:rPr>
                <w:sz w:val="24"/>
                <w:szCs w:val="24"/>
                <w:lang w:val="ru-RU"/>
              </w:rPr>
              <w:t>Япония</w:t>
            </w:r>
          </w:p>
        </w:tc>
        <w:tc>
          <w:tcPr>
            <w:tcW w:w="1856" w:type="dxa"/>
            <w:shd w:val="clear" w:color="auto" w:fill="E6E6E6"/>
          </w:tcPr>
          <w:p w14:paraId="4394D17E"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Индия</w:t>
            </w:r>
          </w:p>
        </w:tc>
      </w:tr>
      <w:tr w:rsidR="00103976" w:rsidRPr="001E01E0" w14:paraId="0725E6EB" w14:textId="77777777" w:rsidTr="00212D0F">
        <w:trPr>
          <w:trHeight w:val="184"/>
        </w:trPr>
        <w:tc>
          <w:tcPr>
            <w:tcW w:w="1218" w:type="dxa"/>
          </w:tcPr>
          <w:p w14:paraId="2598DEE6" w14:textId="77777777" w:rsidR="00103976" w:rsidRPr="001E01E0" w:rsidRDefault="00103976" w:rsidP="00212D0F">
            <w:pPr>
              <w:pStyle w:val="TableParagraph"/>
              <w:spacing w:line="240" w:lineRule="auto"/>
              <w:rPr>
                <w:sz w:val="24"/>
                <w:szCs w:val="24"/>
              </w:rPr>
            </w:pPr>
            <w:r w:rsidRPr="001E01E0">
              <w:rPr>
                <w:w w:val="99"/>
                <w:sz w:val="24"/>
                <w:szCs w:val="24"/>
              </w:rPr>
              <w:t>4</w:t>
            </w:r>
          </w:p>
        </w:tc>
        <w:tc>
          <w:tcPr>
            <w:tcW w:w="2110" w:type="dxa"/>
          </w:tcPr>
          <w:p w14:paraId="23F3D0F5" w14:textId="77777777" w:rsidR="00103976" w:rsidRPr="001E01E0" w:rsidRDefault="00103976" w:rsidP="00212D0F">
            <w:pPr>
              <w:pStyle w:val="TableParagraph"/>
              <w:spacing w:line="240" w:lineRule="auto"/>
              <w:rPr>
                <w:sz w:val="24"/>
                <w:szCs w:val="24"/>
                <w:lang w:val="ru-RU"/>
              </w:rPr>
            </w:pPr>
            <w:r w:rsidRPr="001E01E0">
              <w:rPr>
                <w:sz w:val="24"/>
                <w:szCs w:val="24"/>
                <w:lang w:val="ru-RU"/>
              </w:rPr>
              <w:t>Франция</w:t>
            </w:r>
          </w:p>
        </w:tc>
        <w:tc>
          <w:tcPr>
            <w:tcW w:w="1856" w:type="dxa"/>
          </w:tcPr>
          <w:p w14:paraId="6A5EC2E8" w14:textId="77777777" w:rsidR="00103976" w:rsidRPr="001E01E0" w:rsidRDefault="00103976" w:rsidP="00212D0F">
            <w:pPr>
              <w:pStyle w:val="TableParagraph"/>
              <w:spacing w:line="240" w:lineRule="auto"/>
              <w:rPr>
                <w:sz w:val="24"/>
                <w:szCs w:val="24"/>
                <w:lang w:val="ru-RU"/>
              </w:rPr>
            </w:pPr>
            <w:r w:rsidRPr="001E01E0">
              <w:rPr>
                <w:sz w:val="24"/>
                <w:szCs w:val="24"/>
                <w:lang w:val="ru-RU"/>
              </w:rPr>
              <w:t>Великобритания</w:t>
            </w:r>
          </w:p>
        </w:tc>
        <w:tc>
          <w:tcPr>
            <w:tcW w:w="1855" w:type="dxa"/>
          </w:tcPr>
          <w:p w14:paraId="198D0566" w14:textId="77777777" w:rsidR="00103976" w:rsidRPr="001E01E0" w:rsidRDefault="00103976" w:rsidP="00212D0F">
            <w:pPr>
              <w:pStyle w:val="TableParagraph"/>
              <w:spacing w:line="240" w:lineRule="auto"/>
              <w:rPr>
                <w:sz w:val="24"/>
                <w:szCs w:val="24"/>
                <w:lang w:val="ru-RU"/>
              </w:rPr>
            </w:pPr>
            <w:r w:rsidRPr="001E01E0">
              <w:rPr>
                <w:sz w:val="24"/>
                <w:szCs w:val="24"/>
                <w:lang w:val="ru-RU"/>
              </w:rPr>
              <w:t>Германия</w:t>
            </w:r>
          </w:p>
        </w:tc>
        <w:tc>
          <w:tcPr>
            <w:tcW w:w="1856" w:type="dxa"/>
            <w:shd w:val="clear" w:color="auto" w:fill="E6E6E6"/>
          </w:tcPr>
          <w:p w14:paraId="5FB9D1D5"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Бразилия</w:t>
            </w:r>
          </w:p>
        </w:tc>
      </w:tr>
      <w:tr w:rsidR="00103976" w:rsidRPr="001E01E0" w14:paraId="730E8998" w14:textId="77777777" w:rsidTr="00212D0F">
        <w:trPr>
          <w:trHeight w:val="183"/>
        </w:trPr>
        <w:tc>
          <w:tcPr>
            <w:tcW w:w="1218" w:type="dxa"/>
          </w:tcPr>
          <w:p w14:paraId="78941E47" w14:textId="77777777" w:rsidR="00103976" w:rsidRPr="001E01E0" w:rsidRDefault="00103976" w:rsidP="00212D0F">
            <w:pPr>
              <w:pStyle w:val="TableParagraph"/>
              <w:spacing w:line="240" w:lineRule="auto"/>
              <w:rPr>
                <w:sz w:val="24"/>
                <w:szCs w:val="24"/>
              </w:rPr>
            </w:pPr>
            <w:r w:rsidRPr="001E01E0">
              <w:rPr>
                <w:w w:val="99"/>
                <w:sz w:val="24"/>
                <w:szCs w:val="24"/>
              </w:rPr>
              <w:t>5</w:t>
            </w:r>
          </w:p>
        </w:tc>
        <w:tc>
          <w:tcPr>
            <w:tcW w:w="2110" w:type="dxa"/>
          </w:tcPr>
          <w:p w14:paraId="39866E9F" w14:textId="77777777" w:rsidR="00103976" w:rsidRPr="001E01E0" w:rsidRDefault="00103976" w:rsidP="00212D0F">
            <w:pPr>
              <w:pStyle w:val="TableParagraph"/>
              <w:spacing w:line="240" w:lineRule="auto"/>
              <w:rPr>
                <w:sz w:val="24"/>
                <w:szCs w:val="24"/>
                <w:lang w:val="ru-RU"/>
              </w:rPr>
            </w:pPr>
            <w:r w:rsidRPr="001E01E0">
              <w:rPr>
                <w:sz w:val="24"/>
                <w:szCs w:val="24"/>
                <w:lang w:val="ru-RU"/>
              </w:rPr>
              <w:t>Великобритания</w:t>
            </w:r>
          </w:p>
        </w:tc>
        <w:tc>
          <w:tcPr>
            <w:tcW w:w="1856" w:type="dxa"/>
          </w:tcPr>
          <w:p w14:paraId="371CC590" w14:textId="77777777" w:rsidR="00103976" w:rsidRPr="001E01E0" w:rsidRDefault="00103976" w:rsidP="00212D0F">
            <w:pPr>
              <w:pStyle w:val="TableParagraph"/>
              <w:spacing w:line="240" w:lineRule="auto"/>
              <w:rPr>
                <w:sz w:val="24"/>
                <w:szCs w:val="24"/>
                <w:lang w:val="ru-RU"/>
              </w:rPr>
            </w:pPr>
            <w:r w:rsidRPr="001E01E0">
              <w:rPr>
                <w:sz w:val="24"/>
                <w:szCs w:val="24"/>
                <w:lang w:val="ru-RU"/>
              </w:rPr>
              <w:t>Франция</w:t>
            </w:r>
          </w:p>
        </w:tc>
        <w:tc>
          <w:tcPr>
            <w:tcW w:w="1855" w:type="dxa"/>
          </w:tcPr>
          <w:p w14:paraId="222F75DC" w14:textId="77777777" w:rsidR="00103976" w:rsidRPr="001E01E0" w:rsidRDefault="00103976" w:rsidP="00212D0F">
            <w:pPr>
              <w:pStyle w:val="TableParagraph"/>
              <w:spacing w:line="240" w:lineRule="auto"/>
              <w:rPr>
                <w:sz w:val="24"/>
                <w:szCs w:val="24"/>
                <w:lang w:val="ru-RU"/>
              </w:rPr>
            </w:pPr>
            <w:r w:rsidRPr="001E01E0">
              <w:rPr>
                <w:sz w:val="24"/>
                <w:szCs w:val="24"/>
                <w:lang w:val="ru-RU"/>
              </w:rPr>
              <w:t>Франция</w:t>
            </w:r>
          </w:p>
        </w:tc>
        <w:tc>
          <w:tcPr>
            <w:tcW w:w="1856" w:type="dxa"/>
            <w:shd w:val="clear" w:color="auto" w:fill="E6E6E6"/>
          </w:tcPr>
          <w:p w14:paraId="7F0BD203"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Россия</w:t>
            </w:r>
          </w:p>
        </w:tc>
      </w:tr>
      <w:tr w:rsidR="00103976" w:rsidRPr="001E01E0" w14:paraId="742D5110" w14:textId="77777777" w:rsidTr="00212D0F">
        <w:trPr>
          <w:trHeight w:val="184"/>
        </w:trPr>
        <w:tc>
          <w:tcPr>
            <w:tcW w:w="1218" w:type="dxa"/>
          </w:tcPr>
          <w:p w14:paraId="29B4EA11" w14:textId="77777777" w:rsidR="00103976" w:rsidRPr="001E01E0" w:rsidRDefault="00103976" w:rsidP="00212D0F">
            <w:pPr>
              <w:pStyle w:val="TableParagraph"/>
              <w:spacing w:line="240" w:lineRule="auto"/>
              <w:rPr>
                <w:sz w:val="24"/>
                <w:szCs w:val="24"/>
              </w:rPr>
            </w:pPr>
            <w:r w:rsidRPr="001E01E0">
              <w:rPr>
                <w:w w:val="99"/>
                <w:sz w:val="24"/>
                <w:szCs w:val="24"/>
              </w:rPr>
              <w:t>6</w:t>
            </w:r>
          </w:p>
        </w:tc>
        <w:tc>
          <w:tcPr>
            <w:tcW w:w="2110" w:type="dxa"/>
          </w:tcPr>
          <w:p w14:paraId="717A0599"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Италия</w:t>
            </w:r>
          </w:p>
        </w:tc>
        <w:tc>
          <w:tcPr>
            <w:tcW w:w="1856" w:type="dxa"/>
            <w:shd w:val="clear" w:color="auto" w:fill="E6E6E6"/>
          </w:tcPr>
          <w:p w14:paraId="74BF8903"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Китай</w:t>
            </w:r>
          </w:p>
        </w:tc>
        <w:tc>
          <w:tcPr>
            <w:tcW w:w="1855" w:type="dxa"/>
          </w:tcPr>
          <w:p w14:paraId="0C8CD333" w14:textId="77777777" w:rsidR="00103976" w:rsidRPr="001E01E0" w:rsidRDefault="00103976" w:rsidP="00212D0F">
            <w:pPr>
              <w:pStyle w:val="TableParagraph"/>
              <w:spacing w:line="240" w:lineRule="auto"/>
              <w:rPr>
                <w:sz w:val="24"/>
                <w:szCs w:val="24"/>
                <w:lang w:val="ru-RU"/>
              </w:rPr>
            </w:pPr>
            <w:r w:rsidRPr="001E01E0">
              <w:rPr>
                <w:sz w:val="24"/>
                <w:szCs w:val="24"/>
                <w:lang w:val="ru-RU"/>
              </w:rPr>
              <w:t>Великобритания</w:t>
            </w:r>
          </w:p>
        </w:tc>
        <w:tc>
          <w:tcPr>
            <w:tcW w:w="1856" w:type="dxa"/>
          </w:tcPr>
          <w:p w14:paraId="1F06F88A" w14:textId="77777777" w:rsidR="00103976" w:rsidRPr="001E01E0" w:rsidRDefault="00103976" w:rsidP="00212D0F">
            <w:pPr>
              <w:pStyle w:val="TableParagraph"/>
              <w:spacing w:line="240" w:lineRule="auto"/>
              <w:rPr>
                <w:sz w:val="24"/>
                <w:szCs w:val="24"/>
                <w:lang w:val="ru-RU"/>
              </w:rPr>
            </w:pPr>
            <w:r w:rsidRPr="001E01E0">
              <w:rPr>
                <w:sz w:val="24"/>
                <w:szCs w:val="24"/>
                <w:lang w:val="ru-RU"/>
              </w:rPr>
              <w:t>Япония</w:t>
            </w:r>
          </w:p>
        </w:tc>
      </w:tr>
      <w:tr w:rsidR="00103976" w:rsidRPr="001E01E0" w14:paraId="6EC126F6" w14:textId="77777777" w:rsidTr="00212D0F">
        <w:trPr>
          <w:trHeight w:val="184"/>
        </w:trPr>
        <w:tc>
          <w:tcPr>
            <w:tcW w:w="1218" w:type="dxa"/>
          </w:tcPr>
          <w:p w14:paraId="75697EEC" w14:textId="77777777" w:rsidR="00103976" w:rsidRPr="001E01E0" w:rsidRDefault="00103976" w:rsidP="00212D0F">
            <w:pPr>
              <w:pStyle w:val="TableParagraph"/>
              <w:spacing w:line="240" w:lineRule="auto"/>
              <w:rPr>
                <w:sz w:val="24"/>
                <w:szCs w:val="24"/>
              </w:rPr>
            </w:pPr>
            <w:r w:rsidRPr="001E01E0">
              <w:rPr>
                <w:w w:val="99"/>
                <w:sz w:val="24"/>
                <w:szCs w:val="24"/>
              </w:rPr>
              <w:t>7</w:t>
            </w:r>
          </w:p>
        </w:tc>
        <w:tc>
          <w:tcPr>
            <w:tcW w:w="2110" w:type="dxa"/>
          </w:tcPr>
          <w:p w14:paraId="40828C5C" w14:textId="77777777" w:rsidR="00103976" w:rsidRPr="001E01E0" w:rsidRDefault="00103976" w:rsidP="00212D0F">
            <w:pPr>
              <w:pStyle w:val="TableParagraph"/>
              <w:spacing w:line="240" w:lineRule="auto"/>
              <w:rPr>
                <w:sz w:val="24"/>
                <w:szCs w:val="24"/>
                <w:lang w:val="ru-RU"/>
              </w:rPr>
            </w:pPr>
            <w:r w:rsidRPr="001E01E0">
              <w:rPr>
                <w:sz w:val="24"/>
                <w:szCs w:val="24"/>
                <w:lang w:val="ru-RU"/>
              </w:rPr>
              <w:t>Канада</w:t>
            </w:r>
          </w:p>
        </w:tc>
        <w:tc>
          <w:tcPr>
            <w:tcW w:w="1856" w:type="dxa"/>
          </w:tcPr>
          <w:p w14:paraId="3B0A211D"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Италия</w:t>
            </w:r>
          </w:p>
        </w:tc>
        <w:tc>
          <w:tcPr>
            <w:tcW w:w="1855" w:type="dxa"/>
            <w:shd w:val="clear" w:color="auto" w:fill="E6E6E6"/>
          </w:tcPr>
          <w:p w14:paraId="6745F476"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Бразилия</w:t>
            </w:r>
          </w:p>
        </w:tc>
        <w:tc>
          <w:tcPr>
            <w:tcW w:w="1856" w:type="dxa"/>
          </w:tcPr>
          <w:p w14:paraId="34F4EF50" w14:textId="77777777" w:rsidR="00103976" w:rsidRPr="001E01E0" w:rsidRDefault="00103976" w:rsidP="00212D0F">
            <w:pPr>
              <w:pStyle w:val="TableParagraph"/>
              <w:spacing w:line="240" w:lineRule="auto"/>
              <w:rPr>
                <w:sz w:val="24"/>
                <w:szCs w:val="24"/>
                <w:lang w:val="ru-RU"/>
              </w:rPr>
            </w:pPr>
            <w:r w:rsidRPr="001E01E0">
              <w:rPr>
                <w:sz w:val="24"/>
                <w:szCs w:val="24"/>
                <w:lang w:val="ru-RU"/>
              </w:rPr>
              <w:t>Мексика</w:t>
            </w:r>
          </w:p>
        </w:tc>
      </w:tr>
      <w:tr w:rsidR="00103976" w:rsidRPr="001E01E0" w14:paraId="328A8B22" w14:textId="77777777" w:rsidTr="00212D0F">
        <w:trPr>
          <w:trHeight w:val="183"/>
        </w:trPr>
        <w:tc>
          <w:tcPr>
            <w:tcW w:w="1218" w:type="dxa"/>
          </w:tcPr>
          <w:p w14:paraId="44B0A208" w14:textId="77777777" w:rsidR="00103976" w:rsidRPr="001E01E0" w:rsidRDefault="00103976" w:rsidP="00212D0F">
            <w:pPr>
              <w:pStyle w:val="TableParagraph"/>
              <w:spacing w:line="240" w:lineRule="auto"/>
              <w:rPr>
                <w:sz w:val="24"/>
                <w:szCs w:val="24"/>
              </w:rPr>
            </w:pPr>
            <w:r w:rsidRPr="001E01E0">
              <w:rPr>
                <w:w w:val="99"/>
                <w:sz w:val="24"/>
                <w:szCs w:val="24"/>
              </w:rPr>
              <w:t>8</w:t>
            </w:r>
          </w:p>
        </w:tc>
        <w:tc>
          <w:tcPr>
            <w:tcW w:w="2110" w:type="dxa"/>
          </w:tcPr>
          <w:p w14:paraId="38C3176C" w14:textId="77777777" w:rsidR="00103976" w:rsidRPr="001E01E0" w:rsidRDefault="00103976" w:rsidP="00212D0F">
            <w:pPr>
              <w:pStyle w:val="TableParagraph"/>
              <w:spacing w:line="240" w:lineRule="auto"/>
              <w:rPr>
                <w:sz w:val="24"/>
                <w:szCs w:val="24"/>
                <w:lang w:val="ru-RU"/>
              </w:rPr>
            </w:pPr>
            <w:r w:rsidRPr="001E01E0">
              <w:rPr>
                <w:sz w:val="24"/>
                <w:szCs w:val="24"/>
                <w:lang w:val="ru-RU"/>
              </w:rPr>
              <w:t>Мексика</w:t>
            </w:r>
          </w:p>
        </w:tc>
        <w:tc>
          <w:tcPr>
            <w:tcW w:w="1856" w:type="dxa"/>
          </w:tcPr>
          <w:p w14:paraId="4252F50C" w14:textId="77777777" w:rsidR="00103976" w:rsidRPr="001E01E0" w:rsidRDefault="00103976" w:rsidP="00212D0F">
            <w:pPr>
              <w:pStyle w:val="TableParagraph"/>
              <w:spacing w:line="240" w:lineRule="auto"/>
              <w:rPr>
                <w:sz w:val="24"/>
                <w:szCs w:val="24"/>
                <w:lang w:val="ru-RU"/>
              </w:rPr>
            </w:pPr>
            <w:r w:rsidRPr="001E01E0">
              <w:rPr>
                <w:sz w:val="24"/>
                <w:szCs w:val="24"/>
                <w:lang w:val="ru-RU"/>
              </w:rPr>
              <w:t>Канада</w:t>
            </w:r>
          </w:p>
        </w:tc>
        <w:tc>
          <w:tcPr>
            <w:tcW w:w="1855" w:type="dxa"/>
          </w:tcPr>
          <w:p w14:paraId="023CDF7C"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Италия</w:t>
            </w:r>
          </w:p>
        </w:tc>
        <w:tc>
          <w:tcPr>
            <w:tcW w:w="1856" w:type="dxa"/>
          </w:tcPr>
          <w:p w14:paraId="0C5AB65A" w14:textId="77777777" w:rsidR="00103976" w:rsidRPr="001E01E0" w:rsidRDefault="00103976" w:rsidP="00212D0F">
            <w:pPr>
              <w:pStyle w:val="TableParagraph"/>
              <w:spacing w:line="240" w:lineRule="auto"/>
              <w:rPr>
                <w:sz w:val="24"/>
                <w:szCs w:val="24"/>
                <w:lang w:val="ru-RU"/>
              </w:rPr>
            </w:pPr>
            <w:r w:rsidRPr="001E01E0">
              <w:rPr>
                <w:sz w:val="24"/>
                <w:szCs w:val="24"/>
                <w:lang w:val="ru-RU"/>
              </w:rPr>
              <w:t>Индонезия</w:t>
            </w:r>
          </w:p>
        </w:tc>
      </w:tr>
      <w:tr w:rsidR="00103976" w:rsidRPr="001E01E0" w14:paraId="1D7863ED" w14:textId="77777777" w:rsidTr="00212D0F">
        <w:trPr>
          <w:trHeight w:val="184"/>
        </w:trPr>
        <w:tc>
          <w:tcPr>
            <w:tcW w:w="1218" w:type="dxa"/>
          </w:tcPr>
          <w:p w14:paraId="2B2B7304" w14:textId="77777777" w:rsidR="00103976" w:rsidRPr="001E01E0" w:rsidRDefault="00103976" w:rsidP="00212D0F">
            <w:pPr>
              <w:pStyle w:val="TableParagraph"/>
              <w:spacing w:line="240" w:lineRule="auto"/>
              <w:rPr>
                <w:sz w:val="24"/>
                <w:szCs w:val="24"/>
              </w:rPr>
            </w:pPr>
            <w:r w:rsidRPr="001E01E0">
              <w:rPr>
                <w:w w:val="99"/>
                <w:sz w:val="24"/>
                <w:szCs w:val="24"/>
              </w:rPr>
              <w:t>9</w:t>
            </w:r>
          </w:p>
        </w:tc>
        <w:tc>
          <w:tcPr>
            <w:tcW w:w="2110" w:type="dxa"/>
          </w:tcPr>
          <w:p w14:paraId="09610A20"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Испания</w:t>
            </w:r>
          </w:p>
        </w:tc>
        <w:tc>
          <w:tcPr>
            <w:tcW w:w="1856" w:type="dxa"/>
          </w:tcPr>
          <w:p w14:paraId="36864D8E" w14:textId="77777777" w:rsidR="00103976" w:rsidRPr="001E01E0" w:rsidRDefault="00103976" w:rsidP="00212D0F">
            <w:pPr>
              <w:pStyle w:val="TableParagraph"/>
              <w:spacing w:line="240" w:lineRule="auto"/>
              <w:rPr>
                <w:sz w:val="24"/>
                <w:szCs w:val="24"/>
                <w:lang w:val="ru-RU"/>
              </w:rPr>
            </w:pPr>
            <w:r w:rsidRPr="001E01E0">
              <w:rPr>
                <w:sz w:val="24"/>
                <w:szCs w:val="24"/>
                <w:lang w:val="ru-RU"/>
              </w:rPr>
              <w:t>Мексика</w:t>
            </w:r>
          </w:p>
        </w:tc>
        <w:tc>
          <w:tcPr>
            <w:tcW w:w="1855" w:type="dxa"/>
          </w:tcPr>
          <w:p w14:paraId="1EEC438A" w14:textId="77777777" w:rsidR="00103976" w:rsidRPr="001E01E0" w:rsidRDefault="00103976" w:rsidP="00212D0F">
            <w:pPr>
              <w:pStyle w:val="TableParagraph"/>
              <w:spacing w:line="240" w:lineRule="auto"/>
              <w:rPr>
                <w:sz w:val="24"/>
                <w:szCs w:val="24"/>
                <w:lang w:val="ru-RU"/>
              </w:rPr>
            </w:pPr>
            <w:r w:rsidRPr="001E01E0">
              <w:rPr>
                <w:sz w:val="24"/>
                <w:szCs w:val="24"/>
                <w:lang w:val="ru-RU"/>
              </w:rPr>
              <w:t>Канада</w:t>
            </w:r>
          </w:p>
        </w:tc>
        <w:tc>
          <w:tcPr>
            <w:tcW w:w="1856" w:type="dxa"/>
          </w:tcPr>
          <w:p w14:paraId="27BDDBDC" w14:textId="77777777" w:rsidR="00103976" w:rsidRPr="001E01E0" w:rsidRDefault="00103976" w:rsidP="00212D0F">
            <w:pPr>
              <w:pStyle w:val="TableParagraph"/>
              <w:spacing w:line="240" w:lineRule="auto"/>
              <w:rPr>
                <w:sz w:val="24"/>
                <w:szCs w:val="24"/>
                <w:lang w:val="ru-RU"/>
              </w:rPr>
            </w:pPr>
            <w:r w:rsidRPr="001E01E0">
              <w:rPr>
                <w:sz w:val="24"/>
                <w:szCs w:val="24"/>
                <w:lang w:val="ru-RU"/>
              </w:rPr>
              <w:t>Великобритания</w:t>
            </w:r>
          </w:p>
        </w:tc>
      </w:tr>
      <w:tr w:rsidR="00103976" w:rsidRPr="001E01E0" w14:paraId="375158E6" w14:textId="77777777" w:rsidTr="00212D0F">
        <w:trPr>
          <w:trHeight w:val="184"/>
        </w:trPr>
        <w:tc>
          <w:tcPr>
            <w:tcW w:w="1218" w:type="dxa"/>
          </w:tcPr>
          <w:p w14:paraId="5D369756" w14:textId="77777777" w:rsidR="00103976" w:rsidRPr="001E01E0" w:rsidRDefault="00103976" w:rsidP="00212D0F">
            <w:pPr>
              <w:pStyle w:val="TableParagraph"/>
              <w:spacing w:line="240" w:lineRule="auto"/>
              <w:rPr>
                <w:sz w:val="24"/>
                <w:szCs w:val="24"/>
              </w:rPr>
            </w:pPr>
            <w:r w:rsidRPr="001E01E0">
              <w:rPr>
                <w:sz w:val="24"/>
                <w:szCs w:val="24"/>
              </w:rPr>
              <w:t>10</w:t>
            </w:r>
          </w:p>
        </w:tc>
        <w:tc>
          <w:tcPr>
            <w:tcW w:w="2110" w:type="dxa"/>
          </w:tcPr>
          <w:p w14:paraId="32C725E5" w14:textId="77777777" w:rsidR="00103976" w:rsidRPr="001E01E0" w:rsidRDefault="00103976" w:rsidP="00212D0F">
            <w:pPr>
              <w:pStyle w:val="TableParagraph"/>
              <w:spacing w:line="240" w:lineRule="auto"/>
              <w:rPr>
                <w:sz w:val="24"/>
                <w:szCs w:val="24"/>
                <w:lang w:val="ru-RU"/>
              </w:rPr>
            </w:pPr>
            <w:r w:rsidRPr="001E01E0">
              <w:rPr>
                <w:sz w:val="24"/>
                <w:szCs w:val="24"/>
                <w:lang w:val="ru-RU"/>
              </w:rPr>
              <w:t>Аргентина</w:t>
            </w:r>
          </w:p>
        </w:tc>
        <w:tc>
          <w:tcPr>
            <w:tcW w:w="1856" w:type="dxa"/>
            <w:shd w:val="clear" w:color="auto" w:fill="E6E6E6"/>
          </w:tcPr>
          <w:p w14:paraId="4335D973"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Бразилия</w:t>
            </w:r>
          </w:p>
        </w:tc>
        <w:tc>
          <w:tcPr>
            <w:tcW w:w="1855" w:type="dxa"/>
            <w:shd w:val="clear" w:color="auto" w:fill="E6E6E6"/>
          </w:tcPr>
          <w:p w14:paraId="769C9FE2"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Индия</w:t>
            </w:r>
          </w:p>
        </w:tc>
        <w:tc>
          <w:tcPr>
            <w:tcW w:w="1856" w:type="dxa"/>
          </w:tcPr>
          <w:p w14:paraId="491EF988" w14:textId="77777777" w:rsidR="00103976" w:rsidRPr="001E01E0" w:rsidRDefault="00103976" w:rsidP="00212D0F">
            <w:pPr>
              <w:pStyle w:val="TableParagraph"/>
              <w:spacing w:line="240" w:lineRule="auto"/>
              <w:rPr>
                <w:sz w:val="24"/>
                <w:szCs w:val="24"/>
                <w:lang w:val="ru-RU"/>
              </w:rPr>
            </w:pPr>
            <w:r w:rsidRPr="001E01E0">
              <w:rPr>
                <w:sz w:val="24"/>
                <w:szCs w:val="24"/>
                <w:lang w:val="ru-RU"/>
              </w:rPr>
              <w:t>Франция</w:t>
            </w:r>
          </w:p>
        </w:tc>
      </w:tr>
      <w:tr w:rsidR="00103976" w:rsidRPr="001E01E0" w14:paraId="024F5A97" w14:textId="77777777" w:rsidTr="00212D0F">
        <w:trPr>
          <w:trHeight w:val="184"/>
        </w:trPr>
        <w:tc>
          <w:tcPr>
            <w:tcW w:w="1218" w:type="dxa"/>
          </w:tcPr>
          <w:p w14:paraId="4737E36C" w14:textId="77777777" w:rsidR="00103976" w:rsidRPr="001E01E0" w:rsidRDefault="00103976" w:rsidP="00212D0F">
            <w:pPr>
              <w:pStyle w:val="TableParagraph"/>
              <w:spacing w:line="240" w:lineRule="auto"/>
              <w:rPr>
                <w:sz w:val="24"/>
                <w:szCs w:val="24"/>
              </w:rPr>
            </w:pPr>
            <w:r w:rsidRPr="001E01E0">
              <w:rPr>
                <w:sz w:val="24"/>
                <w:szCs w:val="24"/>
              </w:rPr>
              <w:t>11</w:t>
            </w:r>
          </w:p>
        </w:tc>
        <w:tc>
          <w:tcPr>
            <w:tcW w:w="2110" w:type="dxa"/>
            <w:shd w:val="clear" w:color="auto" w:fill="E6E6E6"/>
          </w:tcPr>
          <w:p w14:paraId="2FF61831"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Китай</w:t>
            </w:r>
          </w:p>
        </w:tc>
        <w:tc>
          <w:tcPr>
            <w:tcW w:w="1856" w:type="dxa"/>
          </w:tcPr>
          <w:p w14:paraId="3E3A8FF8"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Испания</w:t>
            </w:r>
          </w:p>
        </w:tc>
        <w:tc>
          <w:tcPr>
            <w:tcW w:w="1855" w:type="dxa"/>
            <w:shd w:val="clear" w:color="auto" w:fill="E6E6E6"/>
          </w:tcPr>
          <w:p w14:paraId="6DA38EA9"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Россия</w:t>
            </w:r>
          </w:p>
        </w:tc>
        <w:tc>
          <w:tcPr>
            <w:tcW w:w="1856" w:type="dxa"/>
          </w:tcPr>
          <w:p w14:paraId="07996C69" w14:textId="77777777" w:rsidR="00103976" w:rsidRPr="001E01E0" w:rsidRDefault="00103976" w:rsidP="00212D0F">
            <w:pPr>
              <w:pStyle w:val="TableParagraph"/>
              <w:spacing w:line="240" w:lineRule="auto"/>
              <w:rPr>
                <w:sz w:val="24"/>
                <w:szCs w:val="24"/>
                <w:lang w:val="ru-RU"/>
              </w:rPr>
            </w:pPr>
            <w:r w:rsidRPr="001E01E0">
              <w:rPr>
                <w:sz w:val="24"/>
                <w:szCs w:val="24"/>
                <w:lang w:val="ru-RU"/>
              </w:rPr>
              <w:t>Германия</w:t>
            </w:r>
          </w:p>
        </w:tc>
      </w:tr>
      <w:tr w:rsidR="00103976" w:rsidRPr="001E01E0" w14:paraId="413B707A" w14:textId="77777777" w:rsidTr="00212D0F">
        <w:trPr>
          <w:trHeight w:val="183"/>
        </w:trPr>
        <w:tc>
          <w:tcPr>
            <w:tcW w:w="1218" w:type="dxa"/>
          </w:tcPr>
          <w:p w14:paraId="4B73E586" w14:textId="77777777" w:rsidR="00103976" w:rsidRPr="001E01E0" w:rsidRDefault="00103976" w:rsidP="00212D0F">
            <w:pPr>
              <w:pStyle w:val="TableParagraph"/>
              <w:spacing w:line="240" w:lineRule="auto"/>
              <w:rPr>
                <w:sz w:val="24"/>
                <w:szCs w:val="24"/>
              </w:rPr>
            </w:pPr>
            <w:r w:rsidRPr="001E01E0">
              <w:rPr>
                <w:sz w:val="24"/>
                <w:szCs w:val="24"/>
              </w:rPr>
              <w:t>12</w:t>
            </w:r>
          </w:p>
        </w:tc>
        <w:tc>
          <w:tcPr>
            <w:tcW w:w="2110" w:type="dxa"/>
            <w:shd w:val="clear" w:color="auto" w:fill="E6E6E6"/>
          </w:tcPr>
          <w:p w14:paraId="655B66C6"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Индия</w:t>
            </w:r>
          </w:p>
        </w:tc>
        <w:tc>
          <w:tcPr>
            <w:tcW w:w="1856" w:type="dxa"/>
          </w:tcPr>
          <w:p w14:paraId="5A666AE3" w14:textId="77777777" w:rsidR="00103976" w:rsidRPr="001E01E0" w:rsidRDefault="00103976" w:rsidP="00212D0F">
            <w:pPr>
              <w:pStyle w:val="TableParagraph"/>
              <w:spacing w:line="240" w:lineRule="auto"/>
              <w:rPr>
                <w:sz w:val="24"/>
                <w:szCs w:val="24"/>
                <w:lang w:val="ru-RU"/>
              </w:rPr>
            </w:pPr>
            <w:r w:rsidRPr="001E01E0">
              <w:rPr>
                <w:sz w:val="24"/>
                <w:szCs w:val="24"/>
                <w:lang w:val="ru-RU"/>
              </w:rPr>
              <w:t>Корея</w:t>
            </w:r>
          </w:p>
        </w:tc>
        <w:tc>
          <w:tcPr>
            <w:tcW w:w="1855" w:type="dxa"/>
          </w:tcPr>
          <w:p w14:paraId="0B56306D"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Испания</w:t>
            </w:r>
          </w:p>
        </w:tc>
        <w:tc>
          <w:tcPr>
            <w:tcW w:w="1856" w:type="dxa"/>
          </w:tcPr>
          <w:p w14:paraId="657E06CC" w14:textId="77777777" w:rsidR="00103976" w:rsidRPr="001E01E0" w:rsidRDefault="00103976" w:rsidP="00212D0F">
            <w:pPr>
              <w:pStyle w:val="TableParagraph"/>
              <w:spacing w:line="240" w:lineRule="auto"/>
              <w:rPr>
                <w:sz w:val="24"/>
                <w:szCs w:val="24"/>
                <w:lang w:val="ru-RU"/>
              </w:rPr>
            </w:pPr>
            <w:r w:rsidRPr="001E01E0">
              <w:rPr>
                <w:sz w:val="24"/>
                <w:szCs w:val="24"/>
                <w:lang w:val="ru-RU"/>
              </w:rPr>
              <w:t>Нигерия</w:t>
            </w:r>
          </w:p>
        </w:tc>
      </w:tr>
      <w:tr w:rsidR="00103976" w:rsidRPr="001E01E0" w14:paraId="1B6C206B" w14:textId="77777777" w:rsidTr="00212D0F">
        <w:trPr>
          <w:trHeight w:val="184"/>
        </w:trPr>
        <w:tc>
          <w:tcPr>
            <w:tcW w:w="1218" w:type="dxa"/>
          </w:tcPr>
          <w:p w14:paraId="39F18D26" w14:textId="77777777" w:rsidR="00103976" w:rsidRPr="001E01E0" w:rsidRDefault="00103976" w:rsidP="00212D0F">
            <w:pPr>
              <w:pStyle w:val="TableParagraph"/>
              <w:spacing w:line="240" w:lineRule="auto"/>
              <w:rPr>
                <w:sz w:val="24"/>
                <w:szCs w:val="24"/>
              </w:rPr>
            </w:pPr>
            <w:r w:rsidRPr="001E01E0">
              <w:rPr>
                <w:sz w:val="24"/>
                <w:szCs w:val="24"/>
              </w:rPr>
              <w:t>13</w:t>
            </w:r>
          </w:p>
        </w:tc>
        <w:tc>
          <w:tcPr>
            <w:tcW w:w="2110" w:type="dxa"/>
          </w:tcPr>
          <w:p w14:paraId="159A640A" w14:textId="77777777" w:rsidR="00103976" w:rsidRPr="001E01E0" w:rsidRDefault="00103976" w:rsidP="00212D0F">
            <w:pPr>
              <w:pStyle w:val="TableParagraph"/>
              <w:spacing w:line="240" w:lineRule="auto"/>
              <w:rPr>
                <w:sz w:val="24"/>
                <w:szCs w:val="24"/>
                <w:lang w:val="ru-RU"/>
              </w:rPr>
            </w:pPr>
            <w:r w:rsidRPr="001E01E0">
              <w:rPr>
                <w:sz w:val="24"/>
                <w:szCs w:val="24"/>
                <w:lang w:val="ru-RU"/>
              </w:rPr>
              <w:t>Нидерланды</w:t>
            </w:r>
          </w:p>
        </w:tc>
        <w:tc>
          <w:tcPr>
            <w:tcW w:w="1856" w:type="dxa"/>
            <w:shd w:val="clear" w:color="auto" w:fill="E6E6E6"/>
          </w:tcPr>
          <w:p w14:paraId="55C13902"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Индия</w:t>
            </w:r>
          </w:p>
        </w:tc>
        <w:tc>
          <w:tcPr>
            <w:tcW w:w="1855" w:type="dxa"/>
          </w:tcPr>
          <w:p w14:paraId="4091ED1B" w14:textId="77777777" w:rsidR="00103976" w:rsidRPr="001E01E0" w:rsidRDefault="00103976" w:rsidP="00212D0F">
            <w:pPr>
              <w:pStyle w:val="TableParagraph"/>
              <w:spacing w:line="240" w:lineRule="auto"/>
              <w:rPr>
                <w:sz w:val="24"/>
                <w:szCs w:val="24"/>
                <w:lang w:val="ru-RU"/>
              </w:rPr>
            </w:pPr>
            <w:r w:rsidRPr="001E01E0">
              <w:rPr>
                <w:sz w:val="24"/>
                <w:szCs w:val="24"/>
                <w:lang w:val="ru-RU"/>
              </w:rPr>
              <w:t>Австралия</w:t>
            </w:r>
          </w:p>
        </w:tc>
        <w:tc>
          <w:tcPr>
            <w:tcW w:w="1856" w:type="dxa"/>
          </w:tcPr>
          <w:p w14:paraId="52BCC31C" w14:textId="77777777" w:rsidR="00103976" w:rsidRPr="001E01E0" w:rsidRDefault="00103976" w:rsidP="00212D0F">
            <w:pPr>
              <w:pStyle w:val="TableParagraph"/>
              <w:spacing w:line="240" w:lineRule="auto"/>
              <w:rPr>
                <w:sz w:val="24"/>
                <w:szCs w:val="24"/>
                <w:lang w:val="ru-RU"/>
              </w:rPr>
            </w:pPr>
            <w:r w:rsidRPr="001E01E0">
              <w:rPr>
                <w:sz w:val="24"/>
                <w:szCs w:val="24"/>
                <w:lang w:val="ru-RU"/>
              </w:rPr>
              <w:t>Турция</w:t>
            </w:r>
          </w:p>
        </w:tc>
      </w:tr>
      <w:tr w:rsidR="00103976" w:rsidRPr="001E01E0" w14:paraId="0E92294F" w14:textId="77777777" w:rsidTr="00212D0F">
        <w:trPr>
          <w:trHeight w:val="184"/>
        </w:trPr>
        <w:tc>
          <w:tcPr>
            <w:tcW w:w="1218" w:type="dxa"/>
          </w:tcPr>
          <w:p w14:paraId="4E1E336A" w14:textId="77777777" w:rsidR="00103976" w:rsidRPr="001E01E0" w:rsidRDefault="00103976" w:rsidP="00212D0F">
            <w:pPr>
              <w:pStyle w:val="TableParagraph"/>
              <w:spacing w:line="240" w:lineRule="auto"/>
              <w:rPr>
                <w:sz w:val="24"/>
                <w:szCs w:val="24"/>
              </w:rPr>
            </w:pPr>
            <w:r w:rsidRPr="001E01E0">
              <w:rPr>
                <w:sz w:val="24"/>
                <w:szCs w:val="24"/>
              </w:rPr>
              <w:t>14</w:t>
            </w:r>
          </w:p>
        </w:tc>
        <w:tc>
          <w:tcPr>
            <w:tcW w:w="2110" w:type="dxa"/>
          </w:tcPr>
          <w:p w14:paraId="6B27B816" w14:textId="77777777" w:rsidR="00103976" w:rsidRPr="001E01E0" w:rsidRDefault="00103976" w:rsidP="00212D0F">
            <w:pPr>
              <w:pStyle w:val="TableParagraph"/>
              <w:spacing w:line="240" w:lineRule="auto"/>
              <w:rPr>
                <w:sz w:val="24"/>
                <w:szCs w:val="24"/>
                <w:lang w:val="ru-RU"/>
              </w:rPr>
            </w:pPr>
            <w:r w:rsidRPr="001E01E0">
              <w:rPr>
                <w:sz w:val="24"/>
                <w:szCs w:val="24"/>
                <w:lang w:val="ru-RU"/>
              </w:rPr>
              <w:t>Австралия</w:t>
            </w:r>
          </w:p>
        </w:tc>
        <w:tc>
          <w:tcPr>
            <w:tcW w:w="1856" w:type="dxa"/>
          </w:tcPr>
          <w:p w14:paraId="4DB23271" w14:textId="77777777" w:rsidR="00103976" w:rsidRPr="001E01E0" w:rsidRDefault="00103976" w:rsidP="00212D0F">
            <w:pPr>
              <w:pStyle w:val="TableParagraph"/>
              <w:spacing w:line="240" w:lineRule="auto"/>
              <w:rPr>
                <w:sz w:val="24"/>
                <w:szCs w:val="24"/>
                <w:lang w:val="ru-RU"/>
              </w:rPr>
            </w:pPr>
            <w:r w:rsidRPr="001E01E0">
              <w:rPr>
                <w:sz w:val="24"/>
                <w:szCs w:val="24"/>
                <w:lang w:val="ru-RU"/>
              </w:rPr>
              <w:t>Австралия</w:t>
            </w:r>
          </w:p>
        </w:tc>
        <w:tc>
          <w:tcPr>
            <w:tcW w:w="1855" w:type="dxa"/>
          </w:tcPr>
          <w:p w14:paraId="51B85394" w14:textId="77777777" w:rsidR="00103976" w:rsidRPr="001E01E0" w:rsidRDefault="00103976" w:rsidP="00212D0F">
            <w:pPr>
              <w:pStyle w:val="TableParagraph"/>
              <w:spacing w:line="240" w:lineRule="auto"/>
              <w:rPr>
                <w:sz w:val="24"/>
                <w:szCs w:val="24"/>
                <w:lang w:val="ru-RU"/>
              </w:rPr>
            </w:pPr>
            <w:r w:rsidRPr="001E01E0">
              <w:rPr>
                <w:sz w:val="24"/>
                <w:szCs w:val="24"/>
                <w:lang w:val="ru-RU"/>
              </w:rPr>
              <w:t>Мексика</w:t>
            </w:r>
          </w:p>
        </w:tc>
        <w:tc>
          <w:tcPr>
            <w:tcW w:w="1856" w:type="dxa"/>
          </w:tcPr>
          <w:p w14:paraId="0EBC3CA3" w14:textId="77777777" w:rsidR="00103976" w:rsidRPr="001E01E0" w:rsidRDefault="00103976" w:rsidP="00212D0F">
            <w:pPr>
              <w:pStyle w:val="TableParagraph"/>
              <w:spacing w:line="240" w:lineRule="auto"/>
              <w:rPr>
                <w:sz w:val="24"/>
                <w:szCs w:val="24"/>
                <w:lang w:val="ru-RU"/>
              </w:rPr>
            </w:pPr>
            <w:r w:rsidRPr="001E01E0">
              <w:rPr>
                <w:sz w:val="24"/>
                <w:szCs w:val="24"/>
                <w:lang w:val="ru-RU"/>
              </w:rPr>
              <w:t>Египет</w:t>
            </w:r>
          </w:p>
        </w:tc>
      </w:tr>
      <w:tr w:rsidR="00103976" w:rsidRPr="001E01E0" w14:paraId="4EC6FAF9" w14:textId="77777777" w:rsidTr="00212D0F">
        <w:trPr>
          <w:trHeight w:val="183"/>
        </w:trPr>
        <w:tc>
          <w:tcPr>
            <w:tcW w:w="1218" w:type="dxa"/>
          </w:tcPr>
          <w:p w14:paraId="33CFEC6B" w14:textId="77777777" w:rsidR="00103976" w:rsidRPr="001E01E0" w:rsidRDefault="00103976" w:rsidP="00212D0F">
            <w:pPr>
              <w:pStyle w:val="TableParagraph"/>
              <w:spacing w:line="240" w:lineRule="auto"/>
              <w:rPr>
                <w:sz w:val="24"/>
                <w:szCs w:val="24"/>
              </w:rPr>
            </w:pPr>
            <w:r w:rsidRPr="001E01E0">
              <w:rPr>
                <w:sz w:val="24"/>
                <w:szCs w:val="24"/>
              </w:rPr>
              <w:t>15</w:t>
            </w:r>
          </w:p>
        </w:tc>
        <w:tc>
          <w:tcPr>
            <w:tcW w:w="2110" w:type="dxa"/>
          </w:tcPr>
          <w:p w14:paraId="3354544E" w14:textId="77777777" w:rsidR="00103976" w:rsidRPr="001E01E0" w:rsidRDefault="00103976" w:rsidP="00212D0F">
            <w:pPr>
              <w:pStyle w:val="TableParagraph"/>
              <w:spacing w:line="240" w:lineRule="auto"/>
              <w:rPr>
                <w:sz w:val="24"/>
                <w:szCs w:val="24"/>
                <w:lang w:val="ru-RU"/>
              </w:rPr>
            </w:pPr>
            <w:r w:rsidRPr="001E01E0">
              <w:rPr>
                <w:sz w:val="24"/>
                <w:szCs w:val="24"/>
                <w:lang w:val="ru-RU"/>
              </w:rPr>
              <w:t>Саудовская Аравия</w:t>
            </w:r>
          </w:p>
        </w:tc>
        <w:tc>
          <w:tcPr>
            <w:tcW w:w="1856" w:type="dxa"/>
          </w:tcPr>
          <w:p w14:paraId="067CFD5F" w14:textId="77777777" w:rsidR="00103976" w:rsidRPr="001E01E0" w:rsidRDefault="00103976" w:rsidP="00212D0F">
            <w:pPr>
              <w:pStyle w:val="TableParagraph"/>
              <w:spacing w:line="240" w:lineRule="auto"/>
              <w:rPr>
                <w:sz w:val="24"/>
                <w:szCs w:val="24"/>
                <w:lang w:val="ru-RU"/>
              </w:rPr>
            </w:pPr>
            <w:r w:rsidRPr="001E01E0">
              <w:rPr>
                <w:sz w:val="24"/>
                <w:szCs w:val="24"/>
                <w:lang w:val="ru-RU"/>
              </w:rPr>
              <w:t>Нидерланды</w:t>
            </w:r>
          </w:p>
        </w:tc>
        <w:tc>
          <w:tcPr>
            <w:tcW w:w="1855" w:type="dxa"/>
          </w:tcPr>
          <w:p w14:paraId="3A101B18" w14:textId="77777777" w:rsidR="00103976" w:rsidRPr="001E01E0" w:rsidRDefault="00103976" w:rsidP="00212D0F">
            <w:pPr>
              <w:pStyle w:val="TableParagraph"/>
              <w:spacing w:line="240" w:lineRule="auto"/>
              <w:rPr>
                <w:sz w:val="24"/>
                <w:szCs w:val="24"/>
                <w:lang w:val="ru-RU"/>
              </w:rPr>
            </w:pPr>
            <w:r w:rsidRPr="001E01E0">
              <w:rPr>
                <w:sz w:val="24"/>
                <w:szCs w:val="24"/>
                <w:lang w:val="ru-RU"/>
              </w:rPr>
              <w:t>Корея</w:t>
            </w:r>
          </w:p>
        </w:tc>
        <w:tc>
          <w:tcPr>
            <w:tcW w:w="1856" w:type="dxa"/>
          </w:tcPr>
          <w:p w14:paraId="1DF8F537" w14:textId="77777777" w:rsidR="00103976" w:rsidRPr="001E01E0" w:rsidRDefault="00103976" w:rsidP="00212D0F">
            <w:pPr>
              <w:pStyle w:val="TableParagraph"/>
              <w:spacing w:line="240" w:lineRule="auto"/>
              <w:rPr>
                <w:sz w:val="24"/>
                <w:szCs w:val="24"/>
                <w:lang w:val="ru-RU"/>
              </w:rPr>
            </w:pPr>
            <w:r w:rsidRPr="001E01E0">
              <w:rPr>
                <w:sz w:val="24"/>
                <w:szCs w:val="24"/>
                <w:lang w:val="ru-RU"/>
              </w:rPr>
              <w:t>Канада</w:t>
            </w:r>
          </w:p>
        </w:tc>
      </w:tr>
      <w:tr w:rsidR="00103976" w:rsidRPr="001E01E0" w14:paraId="20BF5865" w14:textId="77777777" w:rsidTr="00212D0F">
        <w:trPr>
          <w:trHeight w:val="184"/>
        </w:trPr>
        <w:tc>
          <w:tcPr>
            <w:tcW w:w="1218" w:type="dxa"/>
          </w:tcPr>
          <w:p w14:paraId="0EB5E791" w14:textId="77777777" w:rsidR="00103976" w:rsidRPr="001E01E0" w:rsidRDefault="00103976" w:rsidP="00212D0F">
            <w:pPr>
              <w:pStyle w:val="TableParagraph"/>
              <w:spacing w:line="240" w:lineRule="auto"/>
              <w:rPr>
                <w:sz w:val="24"/>
                <w:szCs w:val="24"/>
              </w:rPr>
            </w:pPr>
            <w:r w:rsidRPr="001E01E0">
              <w:rPr>
                <w:sz w:val="24"/>
                <w:szCs w:val="24"/>
              </w:rPr>
              <w:t>16</w:t>
            </w:r>
          </w:p>
        </w:tc>
        <w:tc>
          <w:tcPr>
            <w:tcW w:w="2110" w:type="dxa"/>
            <w:shd w:val="clear" w:color="auto" w:fill="E6E6E6"/>
          </w:tcPr>
          <w:p w14:paraId="219873C9"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Бразилия</w:t>
            </w:r>
          </w:p>
        </w:tc>
        <w:tc>
          <w:tcPr>
            <w:tcW w:w="1856" w:type="dxa"/>
          </w:tcPr>
          <w:p w14:paraId="6BF22EAD" w14:textId="77777777" w:rsidR="00103976" w:rsidRPr="001E01E0" w:rsidRDefault="00103976" w:rsidP="00212D0F">
            <w:pPr>
              <w:pStyle w:val="TableParagraph"/>
              <w:spacing w:line="240" w:lineRule="auto"/>
              <w:rPr>
                <w:sz w:val="24"/>
                <w:szCs w:val="24"/>
                <w:lang w:val="ru-RU"/>
              </w:rPr>
            </w:pPr>
            <w:r w:rsidRPr="001E01E0">
              <w:rPr>
                <w:sz w:val="24"/>
                <w:szCs w:val="24"/>
                <w:lang w:val="ru-RU"/>
              </w:rPr>
              <w:t>Аргентина</w:t>
            </w:r>
          </w:p>
        </w:tc>
        <w:tc>
          <w:tcPr>
            <w:tcW w:w="1855" w:type="dxa"/>
          </w:tcPr>
          <w:p w14:paraId="3AFF39A8" w14:textId="77777777" w:rsidR="00103976" w:rsidRPr="001E01E0" w:rsidRDefault="00103976" w:rsidP="00212D0F">
            <w:pPr>
              <w:pStyle w:val="TableParagraph"/>
              <w:spacing w:line="240" w:lineRule="auto"/>
              <w:rPr>
                <w:sz w:val="24"/>
                <w:szCs w:val="24"/>
                <w:lang w:val="ru-RU"/>
              </w:rPr>
            </w:pPr>
            <w:r w:rsidRPr="001E01E0">
              <w:rPr>
                <w:sz w:val="24"/>
                <w:szCs w:val="24"/>
                <w:lang w:val="ru-RU"/>
              </w:rPr>
              <w:t>Нидерланды</w:t>
            </w:r>
          </w:p>
        </w:tc>
        <w:tc>
          <w:tcPr>
            <w:tcW w:w="1856" w:type="dxa"/>
          </w:tcPr>
          <w:p w14:paraId="1CF29355"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Италия</w:t>
            </w:r>
          </w:p>
        </w:tc>
      </w:tr>
      <w:tr w:rsidR="00103976" w:rsidRPr="001E01E0" w14:paraId="65E721C3" w14:textId="77777777" w:rsidTr="00212D0F">
        <w:trPr>
          <w:trHeight w:val="184"/>
        </w:trPr>
        <w:tc>
          <w:tcPr>
            <w:tcW w:w="1218" w:type="dxa"/>
          </w:tcPr>
          <w:p w14:paraId="111B77A1" w14:textId="77777777" w:rsidR="00103976" w:rsidRPr="001E01E0" w:rsidRDefault="00103976" w:rsidP="00212D0F">
            <w:pPr>
              <w:pStyle w:val="TableParagraph"/>
              <w:spacing w:line="240" w:lineRule="auto"/>
              <w:rPr>
                <w:sz w:val="24"/>
                <w:szCs w:val="24"/>
              </w:rPr>
            </w:pPr>
            <w:r w:rsidRPr="001E01E0">
              <w:rPr>
                <w:sz w:val="24"/>
                <w:szCs w:val="24"/>
              </w:rPr>
              <w:t>17</w:t>
            </w:r>
          </w:p>
        </w:tc>
        <w:tc>
          <w:tcPr>
            <w:tcW w:w="2110" w:type="dxa"/>
          </w:tcPr>
          <w:p w14:paraId="3CDD7173" w14:textId="77777777" w:rsidR="00103976" w:rsidRPr="001E01E0" w:rsidRDefault="00103976" w:rsidP="00212D0F">
            <w:pPr>
              <w:pStyle w:val="TableParagraph"/>
              <w:spacing w:line="240" w:lineRule="auto"/>
              <w:rPr>
                <w:sz w:val="24"/>
                <w:szCs w:val="24"/>
                <w:lang w:val="ru-RU"/>
              </w:rPr>
            </w:pPr>
            <w:r w:rsidRPr="001E01E0">
              <w:rPr>
                <w:sz w:val="24"/>
                <w:szCs w:val="24"/>
                <w:lang w:val="ru-RU"/>
              </w:rPr>
              <w:t>Швеция</w:t>
            </w:r>
          </w:p>
        </w:tc>
        <w:tc>
          <w:tcPr>
            <w:tcW w:w="1856" w:type="dxa"/>
          </w:tcPr>
          <w:p w14:paraId="3424BCA0" w14:textId="77777777" w:rsidR="00103976" w:rsidRPr="001E01E0" w:rsidRDefault="00103976" w:rsidP="00212D0F">
            <w:pPr>
              <w:pStyle w:val="TableParagraph"/>
              <w:spacing w:line="240" w:lineRule="auto"/>
              <w:rPr>
                <w:sz w:val="24"/>
                <w:szCs w:val="24"/>
                <w:lang w:val="ru-RU"/>
              </w:rPr>
            </w:pPr>
            <w:r w:rsidRPr="001E01E0">
              <w:rPr>
                <w:sz w:val="24"/>
                <w:szCs w:val="24"/>
                <w:lang w:val="ru-RU"/>
              </w:rPr>
              <w:t>Турция</w:t>
            </w:r>
          </w:p>
        </w:tc>
        <w:tc>
          <w:tcPr>
            <w:tcW w:w="1855" w:type="dxa"/>
          </w:tcPr>
          <w:p w14:paraId="09D73041" w14:textId="77777777" w:rsidR="00103976" w:rsidRPr="001E01E0" w:rsidRDefault="00103976" w:rsidP="00212D0F">
            <w:pPr>
              <w:pStyle w:val="TableParagraph"/>
              <w:spacing w:line="240" w:lineRule="auto"/>
              <w:rPr>
                <w:sz w:val="24"/>
                <w:szCs w:val="24"/>
                <w:lang w:val="ru-RU"/>
              </w:rPr>
            </w:pPr>
            <w:r w:rsidRPr="001E01E0">
              <w:rPr>
                <w:sz w:val="24"/>
                <w:szCs w:val="24"/>
                <w:lang w:val="ru-RU"/>
              </w:rPr>
              <w:t>Турция</w:t>
            </w:r>
          </w:p>
        </w:tc>
        <w:tc>
          <w:tcPr>
            <w:tcW w:w="1856" w:type="dxa"/>
          </w:tcPr>
          <w:p w14:paraId="06E98B24" w14:textId="77777777" w:rsidR="00103976" w:rsidRPr="001E01E0" w:rsidRDefault="00103976" w:rsidP="00212D0F">
            <w:pPr>
              <w:pStyle w:val="TableParagraph"/>
              <w:spacing w:line="240" w:lineRule="auto"/>
              <w:rPr>
                <w:sz w:val="24"/>
                <w:szCs w:val="24"/>
                <w:lang w:val="ru-RU"/>
              </w:rPr>
            </w:pPr>
            <w:r w:rsidRPr="001E01E0">
              <w:rPr>
                <w:sz w:val="24"/>
                <w:szCs w:val="24"/>
                <w:lang w:val="ru-RU"/>
              </w:rPr>
              <w:t>Пакистан</w:t>
            </w:r>
          </w:p>
        </w:tc>
      </w:tr>
      <w:tr w:rsidR="00103976" w:rsidRPr="001E01E0" w14:paraId="384EBF23" w14:textId="77777777" w:rsidTr="00212D0F">
        <w:trPr>
          <w:trHeight w:val="183"/>
        </w:trPr>
        <w:tc>
          <w:tcPr>
            <w:tcW w:w="1218" w:type="dxa"/>
          </w:tcPr>
          <w:p w14:paraId="526D80A2" w14:textId="77777777" w:rsidR="00103976" w:rsidRPr="001E01E0" w:rsidRDefault="00103976" w:rsidP="00212D0F">
            <w:pPr>
              <w:pStyle w:val="TableParagraph"/>
              <w:spacing w:line="240" w:lineRule="auto"/>
              <w:rPr>
                <w:sz w:val="24"/>
                <w:szCs w:val="24"/>
              </w:rPr>
            </w:pPr>
            <w:r w:rsidRPr="001E01E0">
              <w:rPr>
                <w:sz w:val="24"/>
                <w:szCs w:val="24"/>
              </w:rPr>
              <w:t>18</w:t>
            </w:r>
          </w:p>
        </w:tc>
        <w:tc>
          <w:tcPr>
            <w:tcW w:w="2110" w:type="dxa"/>
          </w:tcPr>
          <w:p w14:paraId="2A108C7A" w14:textId="77777777" w:rsidR="00103976" w:rsidRPr="001E01E0" w:rsidRDefault="00103976" w:rsidP="00212D0F">
            <w:pPr>
              <w:pStyle w:val="TableParagraph"/>
              <w:spacing w:line="240" w:lineRule="auto"/>
              <w:rPr>
                <w:sz w:val="24"/>
                <w:szCs w:val="24"/>
                <w:lang w:val="ru-RU"/>
              </w:rPr>
            </w:pPr>
            <w:r w:rsidRPr="001E01E0">
              <w:rPr>
                <w:sz w:val="24"/>
                <w:szCs w:val="24"/>
                <w:lang w:val="ru-RU"/>
              </w:rPr>
              <w:t>Бельгия</w:t>
            </w:r>
          </w:p>
        </w:tc>
        <w:tc>
          <w:tcPr>
            <w:tcW w:w="1856" w:type="dxa"/>
            <w:shd w:val="clear" w:color="auto" w:fill="E6E6E6"/>
          </w:tcPr>
          <w:p w14:paraId="46495C71" w14:textId="77777777" w:rsidR="00103976" w:rsidRPr="001E01E0" w:rsidRDefault="00103976" w:rsidP="00212D0F">
            <w:pPr>
              <w:pStyle w:val="TableParagraph"/>
              <w:spacing w:line="240" w:lineRule="auto"/>
              <w:rPr>
                <w:b/>
                <w:i/>
                <w:sz w:val="24"/>
                <w:szCs w:val="24"/>
                <w:lang w:val="ru-RU"/>
              </w:rPr>
            </w:pPr>
            <w:r w:rsidRPr="001E01E0">
              <w:rPr>
                <w:b/>
                <w:i/>
                <w:sz w:val="24"/>
                <w:szCs w:val="24"/>
                <w:lang w:val="ru-RU"/>
              </w:rPr>
              <w:t>Россия</w:t>
            </w:r>
          </w:p>
        </w:tc>
        <w:tc>
          <w:tcPr>
            <w:tcW w:w="1855" w:type="dxa"/>
          </w:tcPr>
          <w:p w14:paraId="6946C2D9" w14:textId="77777777" w:rsidR="00103976" w:rsidRPr="001E01E0" w:rsidRDefault="00103976" w:rsidP="00212D0F">
            <w:pPr>
              <w:pStyle w:val="TableParagraph"/>
              <w:spacing w:line="240" w:lineRule="auto"/>
              <w:rPr>
                <w:sz w:val="24"/>
                <w:szCs w:val="24"/>
                <w:lang w:val="ru-RU"/>
              </w:rPr>
            </w:pPr>
            <w:r w:rsidRPr="001E01E0">
              <w:rPr>
                <w:sz w:val="24"/>
                <w:szCs w:val="24"/>
                <w:lang w:val="ru-RU"/>
              </w:rPr>
              <w:t>Индонезия</w:t>
            </w:r>
          </w:p>
        </w:tc>
        <w:tc>
          <w:tcPr>
            <w:tcW w:w="1856" w:type="dxa"/>
          </w:tcPr>
          <w:p w14:paraId="27C874C8"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Иран</w:t>
            </w:r>
          </w:p>
        </w:tc>
      </w:tr>
      <w:tr w:rsidR="00103976" w:rsidRPr="001E01E0" w14:paraId="3D459CFE" w14:textId="77777777" w:rsidTr="00212D0F">
        <w:trPr>
          <w:trHeight w:val="184"/>
        </w:trPr>
        <w:tc>
          <w:tcPr>
            <w:tcW w:w="1218" w:type="dxa"/>
          </w:tcPr>
          <w:p w14:paraId="2847A633" w14:textId="77777777" w:rsidR="00103976" w:rsidRPr="001E01E0" w:rsidRDefault="00103976" w:rsidP="00212D0F">
            <w:pPr>
              <w:pStyle w:val="TableParagraph"/>
              <w:spacing w:line="240" w:lineRule="auto"/>
              <w:rPr>
                <w:sz w:val="24"/>
                <w:szCs w:val="24"/>
              </w:rPr>
            </w:pPr>
            <w:r w:rsidRPr="001E01E0">
              <w:rPr>
                <w:sz w:val="24"/>
                <w:szCs w:val="24"/>
              </w:rPr>
              <w:t>19</w:t>
            </w:r>
          </w:p>
        </w:tc>
        <w:tc>
          <w:tcPr>
            <w:tcW w:w="2110" w:type="dxa"/>
          </w:tcPr>
          <w:p w14:paraId="1DF8226A" w14:textId="77777777" w:rsidR="00103976" w:rsidRPr="001E01E0" w:rsidRDefault="00103976" w:rsidP="00212D0F">
            <w:pPr>
              <w:pStyle w:val="TableParagraph"/>
              <w:spacing w:line="240" w:lineRule="auto"/>
              <w:rPr>
                <w:sz w:val="24"/>
                <w:szCs w:val="24"/>
                <w:lang w:val="ru-RU"/>
              </w:rPr>
            </w:pPr>
            <w:r w:rsidRPr="001E01E0">
              <w:rPr>
                <w:sz w:val="24"/>
                <w:szCs w:val="24"/>
                <w:lang w:val="ru-RU"/>
              </w:rPr>
              <w:t>Швейцария</w:t>
            </w:r>
          </w:p>
        </w:tc>
        <w:tc>
          <w:tcPr>
            <w:tcW w:w="1856" w:type="dxa"/>
          </w:tcPr>
          <w:p w14:paraId="643D1274" w14:textId="77777777" w:rsidR="00103976" w:rsidRPr="001E01E0" w:rsidRDefault="00103976" w:rsidP="00212D0F">
            <w:pPr>
              <w:pStyle w:val="TableParagraph"/>
              <w:spacing w:line="240" w:lineRule="auto"/>
              <w:rPr>
                <w:sz w:val="24"/>
                <w:szCs w:val="24"/>
                <w:lang w:val="ru-RU"/>
              </w:rPr>
            </w:pPr>
            <w:r w:rsidRPr="001E01E0">
              <w:rPr>
                <w:sz w:val="24"/>
                <w:szCs w:val="24"/>
                <w:lang w:val="ru-RU"/>
              </w:rPr>
              <w:t>Швейцария</w:t>
            </w:r>
          </w:p>
        </w:tc>
        <w:tc>
          <w:tcPr>
            <w:tcW w:w="1855" w:type="dxa"/>
          </w:tcPr>
          <w:p w14:paraId="45B3E700" w14:textId="77777777" w:rsidR="00103976" w:rsidRPr="001E01E0" w:rsidRDefault="00103976" w:rsidP="00212D0F">
            <w:pPr>
              <w:pStyle w:val="TableParagraph"/>
              <w:spacing w:line="240" w:lineRule="auto"/>
              <w:rPr>
                <w:sz w:val="24"/>
                <w:szCs w:val="24"/>
                <w:lang w:val="ru-RU"/>
              </w:rPr>
            </w:pPr>
            <w:r w:rsidRPr="001E01E0">
              <w:rPr>
                <w:sz w:val="24"/>
                <w:szCs w:val="24"/>
                <w:lang w:val="ru-RU"/>
              </w:rPr>
              <w:t>Швейцария</w:t>
            </w:r>
          </w:p>
        </w:tc>
        <w:tc>
          <w:tcPr>
            <w:tcW w:w="1856" w:type="dxa"/>
          </w:tcPr>
          <w:p w14:paraId="12BDDC9E" w14:textId="77777777" w:rsidR="00103976" w:rsidRPr="001E01E0" w:rsidRDefault="00103976" w:rsidP="00212D0F">
            <w:pPr>
              <w:pStyle w:val="TableParagraph"/>
              <w:spacing w:line="240" w:lineRule="auto"/>
              <w:rPr>
                <w:sz w:val="24"/>
                <w:szCs w:val="24"/>
                <w:lang w:val="ru-RU"/>
              </w:rPr>
            </w:pPr>
            <w:r w:rsidRPr="001E01E0">
              <w:rPr>
                <w:sz w:val="24"/>
                <w:szCs w:val="24"/>
                <w:lang w:val="ru-RU"/>
              </w:rPr>
              <w:t>Филиппины</w:t>
            </w:r>
          </w:p>
        </w:tc>
      </w:tr>
      <w:tr w:rsidR="00103976" w:rsidRPr="001E01E0" w14:paraId="2C31D6C5" w14:textId="77777777" w:rsidTr="00212D0F">
        <w:trPr>
          <w:trHeight w:val="184"/>
        </w:trPr>
        <w:tc>
          <w:tcPr>
            <w:tcW w:w="1218" w:type="dxa"/>
          </w:tcPr>
          <w:p w14:paraId="5007C906" w14:textId="77777777" w:rsidR="00103976" w:rsidRPr="001E01E0" w:rsidRDefault="00103976" w:rsidP="00212D0F">
            <w:pPr>
              <w:pStyle w:val="TableParagraph"/>
              <w:spacing w:line="240" w:lineRule="auto"/>
              <w:rPr>
                <w:sz w:val="24"/>
                <w:szCs w:val="24"/>
              </w:rPr>
            </w:pPr>
            <w:r w:rsidRPr="001E01E0">
              <w:rPr>
                <w:sz w:val="24"/>
                <w:szCs w:val="24"/>
              </w:rPr>
              <w:lastRenderedPageBreak/>
              <w:t>20</w:t>
            </w:r>
          </w:p>
        </w:tc>
        <w:tc>
          <w:tcPr>
            <w:tcW w:w="2110" w:type="dxa"/>
          </w:tcPr>
          <w:p w14:paraId="0DE952EB" w14:textId="77777777" w:rsidR="00103976" w:rsidRPr="001E01E0" w:rsidRDefault="00103976" w:rsidP="00212D0F">
            <w:pPr>
              <w:pStyle w:val="TableParagraph"/>
              <w:spacing w:line="240" w:lineRule="auto"/>
              <w:rPr>
                <w:sz w:val="24"/>
                <w:szCs w:val="24"/>
                <w:lang w:val="ru-RU"/>
              </w:rPr>
            </w:pPr>
            <w:r w:rsidRPr="001E01E0">
              <w:rPr>
                <w:sz w:val="24"/>
                <w:szCs w:val="24"/>
                <w:lang w:val="ru-RU"/>
              </w:rPr>
              <w:t>Индонезия</w:t>
            </w:r>
          </w:p>
        </w:tc>
        <w:tc>
          <w:tcPr>
            <w:tcW w:w="1856" w:type="dxa"/>
          </w:tcPr>
          <w:p w14:paraId="77345EF9" w14:textId="77777777" w:rsidR="00103976" w:rsidRPr="001E01E0" w:rsidRDefault="00103976" w:rsidP="00212D0F">
            <w:pPr>
              <w:pStyle w:val="TableParagraph"/>
              <w:spacing w:line="240" w:lineRule="auto"/>
              <w:rPr>
                <w:sz w:val="24"/>
                <w:szCs w:val="24"/>
                <w:lang w:val="ru-RU"/>
              </w:rPr>
            </w:pPr>
            <w:r w:rsidRPr="001E01E0">
              <w:rPr>
                <w:sz w:val="24"/>
                <w:szCs w:val="24"/>
                <w:lang w:val="ru-RU"/>
              </w:rPr>
              <w:t>Швеция</w:t>
            </w:r>
          </w:p>
        </w:tc>
        <w:tc>
          <w:tcPr>
            <w:tcW w:w="1855" w:type="dxa"/>
          </w:tcPr>
          <w:p w14:paraId="18239A5B" w14:textId="77777777" w:rsidR="00103976" w:rsidRPr="001E01E0" w:rsidRDefault="00103976" w:rsidP="00212D0F">
            <w:pPr>
              <w:pStyle w:val="TableParagraph"/>
              <w:spacing w:line="240" w:lineRule="auto"/>
              <w:rPr>
                <w:sz w:val="24"/>
                <w:szCs w:val="24"/>
                <w:lang w:val="ru-RU"/>
              </w:rPr>
            </w:pPr>
            <w:r w:rsidRPr="001E01E0">
              <w:rPr>
                <w:sz w:val="24"/>
                <w:szCs w:val="24"/>
                <w:lang w:val="ru-RU"/>
              </w:rPr>
              <w:t>Польша</w:t>
            </w:r>
          </w:p>
        </w:tc>
        <w:tc>
          <w:tcPr>
            <w:tcW w:w="1856" w:type="dxa"/>
          </w:tcPr>
          <w:p w14:paraId="3EA6B1E0" w14:textId="77777777" w:rsidR="00103976" w:rsidRPr="001E01E0" w:rsidRDefault="00103976" w:rsidP="00212D0F">
            <w:pPr>
              <w:pStyle w:val="TableParagraph"/>
              <w:spacing w:line="240" w:lineRule="auto"/>
              <w:rPr>
                <w:sz w:val="24"/>
                <w:szCs w:val="24"/>
                <w:lang w:val="ru-RU"/>
              </w:rPr>
            </w:pPr>
            <w:r w:rsidRPr="001E01E0">
              <w:rPr>
                <w:sz w:val="24"/>
                <w:szCs w:val="24"/>
                <w:lang w:val="ru-RU"/>
              </w:rPr>
              <w:t>Испания</w:t>
            </w:r>
          </w:p>
        </w:tc>
      </w:tr>
    </w:tbl>
    <w:p w14:paraId="0506DEA2" w14:textId="77777777" w:rsidR="00103976" w:rsidRPr="001E01E0" w:rsidRDefault="00103976" w:rsidP="00103976">
      <w:pPr>
        <w:pStyle w:val="af6"/>
        <w:rPr>
          <w:sz w:val="24"/>
        </w:rPr>
      </w:pPr>
      <w:r w:rsidRPr="001E01E0">
        <w:rPr>
          <w:sz w:val="24"/>
        </w:rPr>
        <w:t>Источник: [3,4]</w:t>
      </w:r>
    </w:p>
    <w:p w14:paraId="4B94D5A5" w14:textId="77777777" w:rsidR="00103976" w:rsidRPr="001E01E0" w:rsidRDefault="00103976" w:rsidP="00103976">
      <w:pPr>
        <w:pStyle w:val="af6"/>
        <w:ind w:firstLine="709"/>
        <w:rPr>
          <w:sz w:val="24"/>
        </w:rPr>
      </w:pPr>
    </w:p>
    <w:p w14:paraId="42300CF6" w14:textId="77777777" w:rsidR="00103976" w:rsidRPr="001E01E0" w:rsidRDefault="00103976" w:rsidP="00E96D36">
      <w:pPr>
        <w:pStyle w:val="af6"/>
        <w:ind w:firstLine="709"/>
        <w:rPr>
          <w:sz w:val="24"/>
        </w:rPr>
      </w:pPr>
      <w:r w:rsidRPr="001E01E0">
        <w:rPr>
          <w:sz w:val="24"/>
        </w:rPr>
        <w:t>Страны БРИКС демонстрируют модель развития многополярного мира. За каждым ее участником - «свой» регион на четырех континентах, своя экономическая модель, собственная стратегия развития. Расширение БРИКС за счет присоединения Южной Африки стало не только количественным, но и качественным изменением группы крупнейших государств. Однако будущее группировки во многом зависит от того, насколько крепкими и диверсифицированными окажутся взаимоотношения внутри самой БРИКС, от уровня развития и динамики двусторонних отношений между странами-членами.</w:t>
      </w:r>
    </w:p>
    <w:p w14:paraId="220CDEF3" w14:textId="77777777" w:rsidR="00103976" w:rsidRPr="001E01E0" w:rsidRDefault="00103976" w:rsidP="00E96D36">
      <w:pPr>
        <w:pStyle w:val="af6"/>
        <w:ind w:firstLine="709"/>
        <w:rPr>
          <w:sz w:val="24"/>
        </w:rPr>
      </w:pPr>
      <w:r w:rsidRPr="001E01E0">
        <w:rPr>
          <w:sz w:val="24"/>
        </w:rPr>
        <w:t>С присоединением к БРИК Южной Африки и образованием БРИКС, интерес к этой группе в мире ощутимо возрос. Стало очевидным, что речь идет не о конъюнктурном сближение больших и влиятельных, хотя и очень разных развивающихся стран, а о стратегическом поворот в развитии всей системы современных международных отношений. Начинают формироваться объединения крупнейших государств, играющих роль локомотива мирового торгово-экономического развития и способных серьезно, в долгосрочном плане, повлиять на процесс глобального регулирования [5].</w:t>
      </w:r>
    </w:p>
    <w:p w14:paraId="0F899FAF" w14:textId="77777777" w:rsidR="00103976" w:rsidRPr="001E01E0" w:rsidRDefault="00103976" w:rsidP="00E96D36">
      <w:pPr>
        <w:pStyle w:val="af6"/>
        <w:ind w:firstLine="709"/>
        <w:rPr>
          <w:sz w:val="24"/>
        </w:rPr>
      </w:pPr>
      <w:r w:rsidRPr="001E01E0">
        <w:rPr>
          <w:sz w:val="24"/>
        </w:rPr>
        <w:t>Перспективы дальнейшего повышения роли и влияния БРИКС на международной арене не в последнюю очередь зависят от уровня развития и динамики двусторонних отношений между членами группировки, от экономического и политико-дипломатического наполнения взаимодействия между ними. Крайне важно проанализировать, как сейчас развиваются (и могут развиваться в ближайшем будущем) отношения между Бразилией и Индией, Китаем и Россией, Южной Африкой и Индией, Бразилией и Россией и т.д.</w:t>
      </w:r>
    </w:p>
    <w:p w14:paraId="6DDB97D7" w14:textId="77777777" w:rsidR="00103976" w:rsidRPr="001E01E0" w:rsidRDefault="00103976" w:rsidP="00E96D36">
      <w:pPr>
        <w:pStyle w:val="af6"/>
        <w:ind w:firstLine="709"/>
        <w:rPr>
          <w:sz w:val="24"/>
        </w:rPr>
      </w:pPr>
      <w:r w:rsidRPr="001E01E0">
        <w:rPr>
          <w:sz w:val="24"/>
        </w:rPr>
        <w:t>При анализе указанных тенденции следует принимать во внимание следующие факторы:</w:t>
      </w:r>
    </w:p>
    <w:p w14:paraId="22E2E673" w14:textId="77777777" w:rsidR="00103976" w:rsidRPr="001E01E0" w:rsidRDefault="00103976" w:rsidP="00E96D36">
      <w:pPr>
        <w:pStyle w:val="af6"/>
        <w:ind w:firstLine="709"/>
        <w:rPr>
          <w:sz w:val="24"/>
        </w:rPr>
      </w:pPr>
      <w:r w:rsidRPr="001E01E0">
        <w:rPr>
          <w:sz w:val="24"/>
        </w:rPr>
        <w:t>- Бразилия, ЮАР и Россия имеют значительный ресурсный потенциал, особенно в энергоносителях;</w:t>
      </w:r>
    </w:p>
    <w:p w14:paraId="7EE5341D" w14:textId="77777777" w:rsidR="00103976" w:rsidRPr="001E01E0" w:rsidRDefault="00103976" w:rsidP="00E96D36">
      <w:pPr>
        <w:pStyle w:val="af6"/>
        <w:ind w:firstLine="709"/>
        <w:rPr>
          <w:sz w:val="24"/>
        </w:rPr>
      </w:pPr>
      <w:r w:rsidRPr="001E01E0">
        <w:rPr>
          <w:sz w:val="24"/>
        </w:rPr>
        <w:t>- в целом в мировой экономике имеет место тенденция к увеличению спроса на энергоносители, в частности со стороны Индии и Китая, что приводит к постепенному росту мировых цен на эти ресурсы и стимулирует экономический рост Бразилии, ЮАР и России;</w:t>
      </w:r>
    </w:p>
    <w:p w14:paraId="7451D54E" w14:textId="77777777" w:rsidR="00103976" w:rsidRPr="001E01E0" w:rsidRDefault="00103976" w:rsidP="00E96D36">
      <w:pPr>
        <w:pStyle w:val="af6"/>
        <w:ind w:firstLine="709"/>
        <w:rPr>
          <w:sz w:val="24"/>
        </w:rPr>
      </w:pPr>
      <w:r w:rsidRPr="001E01E0">
        <w:rPr>
          <w:sz w:val="24"/>
        </w:rPr>
        <w:t>- с момента начала деятельности действующих правительств Бразилии и России можно отметить проведение более грамотной экономической политики.</w:t>
      </w:r>
    </w:p>
    <w:p w14:paraId="7B60DF27" w14:textId="77777777" w:rsidR="00103976" w:rsidRPr="001E01E0" w:rsidRDefault="00103976" w:rsidP="00E96D36">
      <w:pPr>
        <w:pStyle w:val="af6"/>
        <w:ind w:firstLine="709"/>
        <w:rPr>
          <w:sz w:val="24"/>
        </w:rPr>
      </w:pPr>
      <w:r w:rsidRPr="001E01E0">
        <w:rPr>
          <w:sz w:val="24"/>
        </w:rPr>
        <w:t>В свою очередь, Индия и Китай включаются банком «Goldman Sachs» в группировку стран БРИКС по следующим критериям:</w:t>
      </w:r>
    </w:p>
    <w:p w14:paraId="4F998D44" w14:textId="77777777" w:rsidR="00103976" w:rsidRPr="001E01E0" w:rsidRDefault="00103976" w:rsidP="00E96D36">
      <w:pPr>
        <w:pStyle w:val="af6"/>
        <w:ind w:firstLine="709"/>
        <w:rPr>
          <w:sz w:val="24"/>
        </w:rPr>
      </w:pPr>
      <w:r w:rsidRPr="001E01E0">
        <w:rPr>
          <w:sz w:val="24"/>
        </w:rPr>
        <w:t>- обе страны имеют наибольшее в мире населения (40% мировой популяции), следовательно, они обладают огромным потенциалом рабочей силы;</w:t>
      </w:r>
    </w:p>
    <w:p w14:paraId="4BFB5050" w14:textId="77777777" w:rsidR="00103976" w:rsidRPr="001E01E0" w:rsidRDefault="00103976" w:rsidP="00E96D36">
      <w:pPr>
        <w:pStyle w:val="af6"/>
        <w:ind w:firstLine="709"/>
        <w:rPr>
          <w:sz w:val="24"/>
        </w:rPr>
      </w:pPr>
      <w:r w:rsidRPr="001E01E0">
        <w:rPr>
          <w:sz w:val="24"/>
        </w:rPr>
        <w:t>- Индия и Китай - лидеры глобального рынка аутсорсинга (Индия является одним из ведущих мировых поставщиков программного обеспечения и фармацевтических препаратов);</w:t>
      </w:r>
    </w:p>
    <w:p w14:paraId="32DFE99B" w14:textId="77777777" w:rsidR="00103976" w:rsidRPr="001E01E0" w:rsidRDefault="00103976" w:rsidP="00E96D36">
      <w:pPr>
        <w:pStyle w:val="af6"/>
        <w:ind w:firstLine="709"/>
        <w:rPr>
          <w:sz w:val="24"/>
        </w:rPr>
      </w:pPr>
      <w:r w:rsidRPr="001E01E0">
        <w:rPr>
          <w:sz w:val="24"/>
        </w:rPr>
        <w:t>- стабильно высокие темпы экономического роста в течение последних двадцати лет [6].</w:t>
      </w:r>
    </w:p>
    <w:p w14:paraId="72888293" w14:textId="77777777" w:rsidR="00103976" w:rsidRPr="001E01E0" w:rsidRDefault="00103976" w:rsidP="00E96D36">
      <w:pPr>
        <w:pStyle w:val="af6"/>
        <w:ind w:firstLine="709"/>
        <w:rPr>
          <w:sz w:val="24"/>
        </w:rPr>
      </w:pPr>
      <w:r w:rsidRPr="001E01E0">
        <w:rPr>
          <w:sz w:val="24"/>
        </w:rPr>
        <w:t xml:space="preserve">Для национальных экономик развивающихся стран БРИКС высокие темпы роста ВВП очень важны в процессе уменьшения их отставание по уровню ВВП на душу населения от развитых государств. Чем выше темпы роста ВВП стран БРИКС, тем быстрее увеличивается их благосостояние и покупательная способность, что формирует спрос на продукцию, производимую национальными компаниями данных государств. Интенсивный спрос, в свою очередь, стимулирует развитие корпораций стран БРИКС. В долгосрочной перспективе </w:t>
      </w:r>
      <w:r w:rsidRPr="001E01E0">
        <w:rPr>
          <w:sz w:val="24"/>
        </w:rPr>
        <w:lastRenderedPageBreak/>
        <w:t>развитие спроса и повышение его уровня на рынках стран БРИКС будут способствовать совершенствованию рыночной политики компаний этих государств, для реализации которой они станут применять эффективные рыночные стратегии. И чем качественнее эти рыночные стратегии разработаны на уровне национальных рынков стран БРИКС, тем больше шансов у их ведущих корпораций осуществить выход на внешний рынок и конкурировать с предприятиями развитых стран.</w:t>
      </w:r>
    </w:p>
    <w:p w14:paraId="26770701" w14:textId="77777777" w:rsidR="00103976" w:rsidRPr="001E01E0" w:rsidRDefault="00103976" w:rsidP="00E96D36">
      <w:pPr>
        <w:pStyle w:val="af6"/>
        <w:ind w:firstLine="709"/>
        <w:rPr>
          <w:sz w:val="24"/>
        </w:rPr>
      </w:pPr>
      <w:r w:rsidRPr="001E01E0">
        <w:rPr>
          <w:sz w:val="24"/>
        </w:rPr>
        <w:t>Мироздание современного мира характеризуется объединением стран для совместного преодоления проблем глобального масштаба. Группа БРИКС представляет собой трансконтинентальное измерение взаимодействия развивающихся стран - стран с различными структурами экономики, но общими идеями и целями. Перспективным для объединения является трансформация БРИКС в полноформатный механизм взаимодействия для решения важнейших вопросов политики, экономики и финансовой сферы. Этот механизм будет способствовать сбалансированному развитию международных отношений и эффективному глобальном управлению. Каждый из саммитов БРИКС - это новый шаг в деле решения глобальных проблем с участием развивающихся стран, но имеют большой потенциал. Таким образом, можно сделать вывод о ом, что группировка БРИКС - новый формат глобального развития и управления, основанный на прогрессивных реформах, общих интересах и усилении мира и безопасности в мире.</w:t>
      </w:r>
    </w:p>
    <w:p w14:paraId="74F139E7" w14:textId="77777777" w:rsidR="00103976" w:rsidRPr="001E01E0" w:rsidRDefault="00103976" w:rsidP="00E96D36">
      <w:pPr>
        <w:spacing w:line="240" w:lineRule="auto"/>
        <w:ind w:firstLine="709"/>
        <w:jc w:val="both"/>
        <w:rPr>
          <w:rFonts w:ascii="Times New Roman" w:hAnsi="Times New Roman" w:cs="Times New Roman"/>
          <w:sz w:val="24"/>
          <w:szCs w:val="24"/>
        </w:rPr>
      </w:pPr>
      <w:r w:rsidRPr="001E01E0">
        <w:rPr>
          <w:rFonts w:ascii="Times New Roman" w:hAnsi="Times New Roman" w:cs="Times New Roman"/>
          <w:b/>
          <w:sz w:val="24"/>
          <w:szCs w:val="24"/>
        </w:rPr>
        <w:t xml:space="preserve">Выводы исследования и перспективы дальнейших исследований. </w:t>
      </w:r>
      <w:r w:rsidRPr="001E01E0">
        <w:rPr>
          <w:rFonts w:ascii="Times New Roman" w:hAnsi="Times New Roman" w:cs="Times New Roman"/>
          <w:sz w:val="24"/>
          <w:szCs w:val="24"/>
        </w:rPr>
        <w:t>На основе проведенного исследования можно констатировать поступательное движение стран БРИКС к увеличение собственного экономического веса в мировой экономической среде. Однако на пути к обретению статуса мощной экономико-политической группировки странам блока еще предстоит создать условия для плодотворного сотрудничества между собой, а также своевременно реагировать на изменения мировой экономической конъюнктуры.</w:t>
      </w:r>
    </w:p>
    <w:p w14:paraId="572D8487" w14:textId="77777777" w:rsidR="00103976" w:rsidRPr="001E01E0" w:rsidRDefault="00103976" w:rsidP="00E96D36">
      <w:pPr>
        <w:spacing w:line="240" w:lineRule="auto"/>
        <w:ind w:firstLine="709"/>
        <w:jc w:val="both"/>
        <w:rPr>
          <w:rFonts w:ascii="Times New Roman" w:hAnsi="Times New Roman" w:cs="Times New Roman"/>
          <w:sz w:val="24"/>
          <w:szCs w:val="24"/>
        </w:rPr>
      </w:pPr>
      <w:r w:rsidRPr="001E01E0">
        <w:rPr>
          <w:rFonts w:ascii="Times New Roman" w:hAnsi="Times New Roman" w:cs="Times New Roman"/>
          <w:sz w:val="24"/>
          <w:szCs w:val="24"/>
        </w:rPr>
        <w:t>_______________________________________________</w:t>
      </w:r>
    </w:p>
    <w:p w14:paraId="6E50B18A" w14:textId="77777777" w:rsidR="00103976" w:rsidRPr="001E01E0" w:rsidRDefault="00103976" w:rsidP="00E96D36">
      <w:pPr>
        <w:pStyle w:val="a7"/>
        <w:numPr>
          <w:ilvl w:val="0"/>
          <w:numId w:val="58"/>
        </w:numPr>
        <w:tabs>
          <w:tab w:val="left" w:pos="993"/>
        </w:tabs>
        <w:ind w:left="0" w:firstLine="709"/>
        <w:jc w:val="both"/>
        <w:rPr>
          <w:rFonts w:ascii="Times New Roman" w:hAnsi="Times New Roman" w:cs="Times New Roman"/>
          <w:lang w:val="en-US"/>
        </w:rPr>
      </w:pPr>
      <w:r w:rsidRPr="001E01E0">
        <w:rPr>
          <w:rFonts w:ascii="Times New Roman" w:hAnsi="Times New Roman" w:cs="Times New Roman"/>
          <w:lang w:val="en-US"/>
        </w:rPr>
        <w:t>Goldman</w:t>
      </w:r>
      <w:r w:rsidRPr="001E01E0">
        <w:rPr>
          <w:rFonts w:ascii="Times New Roman" w:hAnsi="Times New Roman" w:cs="Times New Roman"/>
          <w:lang w:val="en-US"/>
        </w:rPr>
        <w:tab/>
        <w:t>Sachs.</w:t>
      </w:r>
      <w:r w:rsidRPr="001E01E0">
        <w:rPr>
          <w:rFonts w:ascii="Times New Roman" w:hAnsi="Times New Roman" w:cs="Times New Roman"/>
          <w:lang w:val="en-US"/>
        </w:rPr>
        <w:tab/>
        <w:t>The rise of growth markets [</w:t>
      </w:r>
      <w:r w:rsidRPr="001E01E0">
        <w:rPr>
          <w:rFonts w:ascii="Times New Roman" w:hAnsi="Times New Roman" w:cs="Times New Roman"/>
        </w:rPr>
        <w:t>Электронный</w:t>
      </w:r>
      <w:r w:rsidRPr="001E01E0">
        <w:rPr>
          <w:rFonts w:ascii="Times New Roman" w:hAnsi="Times New Roman" w:cs="Times New Roman"/>
          <w:lang w:val="en-US"/>
        </w:rPr>
        <w:t xml:space="preserve"> </w:t>
      </w:r>
      <w:r w:rsidRPr="001E01E0">
        <w:rPr>
          <w:rFonts w:ascii="Times New Roman" w:hAnsi="Times New Roman" w:cs="Times New Roman"/>
        </w:rPr>
        <w:t>ресурс</w:t>
      </w:r>
      <w:r w:rsidRPr="001E01E0">
        <w:rPr>
          <w:rFonts w:ascii="Times New Roman" w:hAnsi="Times New Roman" w:cs="Times New Roman"/>
          <w:lang w:val="en-US"/>
        </w:rPr>
        <w:t>]</w:t>
      </w:r>
      <w:r w:rsidRPr="001E01E0">
        <w:rPr>
          <w:rFonts w:ascii="Times New Roman" w:hAnsi="Times New Roman" w:cs="Times New Roman"/>
          <w:lang w:val="en-US"/>
        </w:rPr>
        <w:tab/>
        <w:t xml:space="preserve"> //</w:t>
      </w:r>
      <w:r w:rsidRPr="001E01E0">
        <w:rPr>
          <w:rFonts w:ascii="Times New Roman" w:hAnsi="Times New Roman" w:cs="Times New Roman"/>
        </w:rPr>
        <w:t>Режим</w:t>
      </w:r>
      <w:r w:rsidRPr="001E01E0">
        <w:rPr>
          <w:rFonts w:ascii="Times New Roman" w:hAnsi="Times New Roman" w:cs="Times New Roman"/>
          <w:lang w:val="en-US"/>
        </w:rPr>
        <w:t xml:space="preserve"> </w:t>
      </w:r>
      <w:r w:rsidRPr="001E01E0">
        <w:rPr>
          <w:rFonts w:ascii="Times New Roman" w:hAnsi="Times New Roman" w:cs="Times New Roman"/>
        </w:rPr>
        <w:t>доступа</w:t>
      </w:r>
      <w:r w:rsidRPr="001E01E0">
        <w:rPr>
          <w:rFonts w:ascii="Times New Roman" w:hAnsi="Times New Roman" w:cs="Times New Roman"/>
          <w:lang w:val="en-US"/>
        </w:rPr>
        <w:t>: http://www.goldmansachs.com/our-thinking/focus-on/growth-markets/dataviz/index.html</w:t>
      </w:r>
    </w:p>
    <w:p w14:paraId="32B80E74" w14:textId="77777777" w:rsidR="00103976" w:rsidRPr="001E01E0" w:rsidRDefault="00103976" w:rsidP="00E96D36">
      <w:pPr>
        <w:pStyle w:val="a7"/>
        <w:numPr>
          <w:ilvl w:val="0"/>
          <w:numId w:val="58"/>
        </w:numPr>
        <w:tabs>
          <w:tab w:val="left" w:pos="993"/>
        </w:tabs>
        <w:ind w:left="0" w:firstLine="709"/>
        <w:jc w:val="both"/>
        <w:rPr>
          <w:rFonts w:ascii="Times New Roman" w:hAnsi="Times New Roman" w:cs="Times New Roman"/>
        </w:rPr>
      </w:pPr>
      <w:r w:rsidRPr="001E01E0">
        <w:rPr>
          <w:rFonts w:ascii="Times New Roman" w:hAnsi="Times New Roman" w:cs="Times New Roman"/>
        </w:rPr>
        <w:t>Фитуни Л. Л. Дифференциация развивающихся стран и новая архитектура мировой экономики // Азия и Африка сегодня. – 2012. – № 10. – С. 8-18; С. 15.</w:t>
      </w:r>
    </w:p>
    <w:p w14:paraId="661B22FF" w14:textId="77777777" w:rsidR="00103976" w:rsidRPr="001E01E0" w:rsidRDefault="00103976" w:rsidP="00E96D36">
      <w:pPr>
        <w:pStyle w:val="a7"/>
        <w:numPr>
          <w:ilvl w:val="0"/>
          <w:numId w:val="58"/>
        </w:numPr>
        <w:tabs>
          <w:tab w:val="left" w:pos="993"/>
        </w:tabs>
        <w:ind w:left="0" w:firstLine="709"/>
        <w:jc w:val="both"/>
        <w:rPr>
          <w:rFonts w:ascii="Times New Roman" w:hAnsi="Times New Roman" w:cs="Times New Roman"/>
          <w:lang w:val="en-US"/>
        </w:rPr>
      </w:pPr>
      <w:r w:rsidRPr="001E01E0">
        <w:rPr>
          <w:rFonts w:ascii="Times New Roman" w:hAnsi="Times New Roman" w:cs="Times New Roman"/>
          <w:lang w:val="en-US"/>
        </w:rPr>
        <w:t>The role of BRICS in the developing world. Policy Department DG External Policies [</w:t>
      </w:r>
      <w:r w:rsidRPr="001E01E0">
        <w:rPr>
          <w:rFonts w:ascii="Times New Roman" w:hAnsi="Times New Roman" w:cs="Times New Roman"/>
        </w:rPr>
        <w:t>Электронный</w:t>
      </w:r>
      <w:r w:rsidRPr="001E01E0">
        <w:rPr>
          <w:rFonts w:ascii="Times New Roman" w:hAnsi="Times New Roman" w:cs="Times New Roman"/>
          <w:lang w:val="en-US"/>
        </w:rPr>
        <w:t xml:space="preserve"> </w:t>
      </w:r>
      <w:r w:rsidRPr="001E01E0">
        <w:rPr>
          <w:rFonts w:ascii="Times New Roman" w:hAnsi="Times New Roman" w:cs="Times New Roman"/>
        </w:rPr>
        <w:t>ресурс</w:t>
      </w:r>
      <w:r w:rsidRPr="001E01E0">
        <w:rPr>
          <w:rFonts w:ascii="Times New Roman" w:hAnsi="Times New Roman" w:cs="Times New Roman"/>
          <w:lang w:val="en-US"/>
        </w:rPr>
        <w:t xml:space="preserve">] // </w:t>
      </w:r>
      <w:r w:rsidRPr="001E01E0">
        <w:rPr>
          <w:rFonts w:ascii="Times New Roman" w:hAnsi="Times New Roman" w:cs="Times New Roman"/>
        </w:rPr>
        <w:t>режим</w:t>
      </w:r>
      <w:r w:rsidRPr="001E01E0">
        <w:rPr>
          <w:rFonts w:ascii="Times New Roman" w:hAnsi="Times New Roman" w:cs="Times New Roman"/>
          <w:lang w:val="en-US"/>
        </w:rPr>
        <w:tab/>
      </w:r>
      <w:r w:rsidRPr="001E01E0">
        <w:rPr>
          <w:rFonts w:ascii="Times New Roman" w:hAnsi="Times New Roman" w:cs="Times New Roman"/>
        </w:rPr>
        <w:t>доступа</w:t>
      </w:r>
      <w:r w:rsidRPr="001E01E0">
        <w:rPr>
          <w:rFonts w:ascii="Times New Roman" w:hAnsi="Times New Roman" w:cs="Times New Roman"/>
          <w:lang w:val="en-US"/>
        </w:rPr>
        <w:t>: http://www.ab.gov.tr/files/ardb/evt/1_avrupa_birligi/1_9_politikalar/1_9_8_dis_politika/The_role_of_BRICS_i n_the_developing_world.pdf</w:t>
      </w:r>
    </w:p>
    <w:p w14:paraId="1F9727F1" w14:textId="77777777" w:rsidR="00103976" w:rsidRPr="001E01E0" w:rsidRDefault="00103976" w:rsidP="00E96D36">
      <w:pPr>
        <w:pStyle w:val="a7"/>
        <w:numPr>
          <w:ilvl w:val="0"/>
          <w:numId w:val="58"/>
        </w:numPr>
        <w:tabs>
          <w:tab w:val="left" w:pos="993"/>
          <w:tab w:val="left" w:pos="1134"/>
        </w:tabs>
        <w:ind w:left="0" w:firstLine="709"/>
        <w:jc w:val="both"/>
        <w:rPr>
          <w:rFonts w:ascii="Times New Roman" w:hAnsi="Times New Roman" w:cs="Times New Roman"/>
          <w:lang w:val="en-US"/>
        </w:rPr>
      </w:pPr>
      <w:r w:rsidRPr="001E01E0">
        <w:rPr>
          <w:rFonts w:ascii="Times New Roman" w:hAnsi="Times New Roman" w:cs="Times New Roman"/>
          <w:lang w:val="en-US"/>
        </w:rPr>
        <w:t>Goldman Sachs, Dreaming with BRICS: The Path to 2050, Global Economics, 99, 2003 [</w:t>
      </w:r>
      <w:r w:rsidRPr="001E01E0">
        <w:rPr>
          <w:rFonts w:ascii="Times New Roman" w:hAnsi="Times New Roman" w:cs="Times New Roman"/>
        </w:rPr>
        <w:t>Электронный</w:t>
      </w:r>
      <w:r w:rsidRPr="001E01E0">
        <w:rPr>
          <w:rFonts w:ascii="Times New Roman" w:hAnsi="Times New Roman" w:cs="Times New Roman"/>
          <w:lang w:val="en-US"/>
        </w:rPr>
        <w:t xml:space="preserve"> </w:t>
      </w:r>
      <w:r w:rsidRPr="001E01E0">
        <w:rPr>
          <w:rFonts w:ascii="Times New Roman" w:hAnsi="Times New Roman" w:cs="Times New Roman"/>
        </w:rPr>
        <w:t>ресурс</w:t>
      </w:r>
      <w:r w:rsidRPr="001E01E0">
        <w:rPr>
          <w:rFonts w:ascii="Times New Roman" w:hAnsi="Times New Roman" w:cs="Times New Roman"/>
          <w:lang w:val="en-US"/>
        </w:rPr>
        <w:t xml:space="preserve">] // </w:t>
      </w:r>
      <w:r w:rsidRPr="001E01E0">
        <w:rPr>
          <w:rFonts w:ascii="Times New Roman" w:hAnsi="Times New Roman" w:cs="Times New Roman"/>
        </w:rPr>
        <w:t>Режим</w:t>
      </w:r>
      <w:r w:rsidRPr="001E01E0">
        <w:rPr>
          <w:rFonts w:ascii="Times New Roman" w:hAnsi="Times New Roman" w:cs="Times New Roman"/>
          <w:lang w:val="en-US"/>
        </w:rPr>
        <w:t xml:space="preserve"> </w:t>
      </w:r>
      <w:r w:rsidRPr="001E01E0">
        <w:rPr>
          <w:rFonts w:ascii="Times New Roman" w:hAnsi="Times New Roman" w:cs="Times New Roman"/>
        </w:rPr>
        <w:t>доступа</w:t>
      </w:r>
      <w:r w:rsidRPr="001E01E0">
        <w:rPr>
          <w:rFonts w:ascii="Times New Roman" w:hAnsi="Times New Roman" w:cs="Times New Roman"/>
          <w:lang w:val="en-US"/>
        </w:rPr>
        <w:t xml:space="preserve">: </w:t>
      </w:r>
      <w:r w:rsidRPr="00E96D36">
        <w:rPr>
          <w:rFonts w:ascii="Times New Roman" w:hAnsi="Times New Roman" w:cs="Times New Roman"/>
          <w:lang w:val="en-US"/>
        </w:rPr>
        <w:t>http://www.goldmansachs.com/</w:t>
      </w:r>
    </w:p>
    <w:p w14:paraId="28847955" w14:textId="77777777" w:rsidR="00103976" w:rsidRPr="001E01E0" w:rsidRDefault="00103976" w:rsidP="00E96D36">
      <w:pPr>
        <w:pStyle w:val="a7"/>
        <w:numPr>
          <w:ilvl w:val="0"/>
          <w:numId w:val="58"/>
        </w:numPr>
        <w:tabs>
          <w:tab w:val="left" w:pos="993"/>
          <w:tab w:val="left" w:pos="1134"/>
        </w:tabs>
        <w:ind w:left="0" w:firstLine="709"/>
        <w:jc w:val="both"/>
        <w:rPr>
          <w:rFonts w:ascii="Times New Roman" w:hAnsi="Times New Roman" w:cs="Times New Roman"/>
          <w:lang w:val="en-US"/>
        </w:rPr>
      </w:pPr>
      <w:r w:rsidRPr="001E01E0">
        <w:rPr>
          <w:rFonts w:ascii="Times New Roman" w:hAnsi="Times New Roman" w:cs="Times New Roman"/>
          <w:lang w:val="en-US"/>
        </w:rPr>
        <w:t>IMF (International Monetary Fund) database, UNCTAD, adapted from The BRICS Report 2012. India: Oxford University Press, 2012.</w:t>
      </w:r>
    </w:p>
    <w:p w14:paraId="259FAF63" w14:textId="77777777" w:rsidR="00103976" w:rsidRPr="001E01E0" w:rsidRDefault="00103976" w:rsidP="00E96D36">
      <w:pPr>
        <w:pStyle w:val="a7"/>
        <w:numPr>
          <w:ilvl w:val="0"/>
          <w:numId w:val="58"/>
        </w:numPr>
        <w:tabs>
          <w:tab w:val="left" w:pos="993"/>
        </w:tabs>
        <w:ind w:left="0" w:firstLine="709"/>
        <w:jc w:val="both"/>
        <w:rPr>
          <w:rFonts w:ascii="Times New Roman" w:hAnsi="Times New Roman" w:cs="Times New Roman"/>
          <w:lang w:val="en-US"/>
        </w:rPr>
      </w:pPr>
      <w:r w:rsidRPr="001E01E0">
        <w:rPr>
          <w:rFonts w:ascii="Times New Roman" w:hAnsi="Times New Roman" w:cs="Times New Roman"/>
          <w:lang w:val="en-US"/>
        </w:rPr>
        <w:t>Goldman Sachs Global Investment Research, March 2012. P. 3.</w:t>
      </w:r>
    </w:p>
    <w:p w14:paraId="3DEEC669" w14:textId="77777777" w:rsidR="00103976" w:rsidRPr="00BB0D60" w:rsidRDefault="00103976" w:rsidP="00103976">
      <w:pPr>
        <w:pStyle w:val="a7"/>
        <w:tabs>
          <w:tab w:val="left" w:pos="1134"/>
        </w:tabs>
        <w:ind w:left="2569"/>
        <w:rPr>
          <w:sz w:val="28"/>
          <w:szCs w:val="28"/>
        </w:rPr>
      </w:pPr>
    </w:p>
    <w:p w14:paraId="7DEEC3D0" w14:textId="77777777" w:rsidR="002245D5" w:rsidRPr="0082342D" w:rsidRDefault="002245D5" w:rsidP="0082342D">
      <w:pPr>
        <w:tabs>
          <w:tab w:val="left" w:pos="-1134"/>
        </w:tabs>
        <w:rPr>
          <w:rFonts w:ascii="Times New Roman" w:hAnsi="Times New Roman" w:cs="Times New Roman"/>
          <w:sz w:val="24"/>
          <w:szCs w:val="24"/>
        </w:rPr>
      </w:pPr>
      <w:r w:rsidRPr="0082342D">
        <w:rPr>
          <w:rFonts w:ascii="Times New Roman" w:eastAsia="Calibri" w:hAnsi="Times New Roman" w:cs="Times New Roman"/>
          <w:b/>
          <w:bCs/>
          <w:sz w:val="24"/>
          <w:szCs w:val="24"/>
        </w:rPr>
        <w:t>Рубрика: Мировая экономика</w:t>
      </w:r>
    </w:p>
    <w:p w14:paraId="18B3CFF3" w14:textId="77777777" w:rsidR="002245D5" w:rsidRPr="0082342D" w:rsidRDefault="002245D5" w:rsidP="002245D5">
      <w:pPr>
        <w:spacing w:after="0" w:line="240" w:lineRule="auto"/>
        <w:jc w:val="both"/>
        <w:rPr>
          <w:rFonts w:ascii="Times New Roman" w:hAnsi="Times New Roman" w:cs="Times New Roman"/>
          <w:b/>
          <w:sz w:val="24"/>
          <w:szCs w:val="24"/>
        </w:rPr>
      </w:pPr>
      <w:r w:rsidRPr="0082342D">
        <w:rPr>
          <w:rFonts w:ascii="Times New Roman" w:hAnsi="Times New Roman" w:cs="Times New Roman"/>
          <w:sz w:val="24"/>
          <w:szCs w:val="24"/>
        </w:rPr>
        <w:t>УДК 339.727</w:t>
      </w:r>
    </w:p>
    <w:p w14:paraId="1E918600" w14:textId="77777777" w:rsidR="002245D5" w:rsidRPr="0082342D" w:rsidRDefault="002245D5" w:rsidP="00C23563">
      <w:pPr>
        <w:keepNext/>
        <w:spacing w:before="240" w:after="240" w:line="240" w:lineRule="auto"/>
        <w:jc w:val="center"/>
        <w:outlineLvl w:val="0"/>
        <w:rPr>
          <w:rFonts w:ascii="Times New Roman" w:eastAsia="Times New Roman" w:hAnsi="Times New Roman" w:cs="Times New Roman"/>
          <w:b/>
          <w:bCs/>
          <w:caps/>
          <w:kern w:val="28"/>
          <w:sz w:val="24"/>
          <w:szCs w:val="24"/>
        </w:rPr>
      </w:pPr>
      <w:r w:rsidRPr="0082342D">
        <w:rPr>
          <w:rFonts w:ascii="Times New Roman" w:eastAsia="Times New Roman" w:hAnsi="Times New Roman" w:cs="Times New Roman"/>
          <w:b/>
          <w:bCs/>
          <w:caps/>
          <w:kern w:val="28"/>
          <w:sz w:val="24"/>
          <w:szCs w:val="24"/>
        </w:rPr>
        <w:t>ИПОТЕЧНЫЕ ЦЕННЫЕ БУМАГИ: РАЗВИТИЕ ЗА РУБЕЖОМ И РОССИЙСКИЕ ПЕРСПЕКТИВЫ</w:t>
      </w:r>
    </w:p>
    <w:p w14:paraId="7EC7EFC1" w14:textId="77777777" w:rsidR="002245D5" w:rsidRPr="0082342D" w:rsidRDefault="002245D5" w:rsidP="002245D5">
      <w:pPr>
        <w:spacing w:after="0" w:line="240" w:lineRule="auto"/>
        <w:jc w:val="center"/>
        <w:rPr>
          <w:rFonts w:ascii="Times New Roman" w:hAnsi="Times New Roman" w:cs="Times New Roman"/>
          <w:b/>
          <w:sz w:val="24"/>
          <w:szCs w:val="24"/>
        </w:rPr>
      </w:pPr>
      <w:r w:rsidRPr="0082342D">
        <w:rPr>
          <w:rFonts w:ascii="Times New Roman" w:hAnsi="Times New Roman" w:cs="Times New Roman"/>
          <w:b/>
          <w:sz w:val="24"/>
          <w:szCs w:val="24"/>
        </w:rPr>
        <w:t xml:space="preserve">Валл </w:t>
      </w:r>
      <w:r w:rsidR="001973E4">
        <w:rPr>
          <w:rFonts w:ascii="Times New Roman" w:hAnsi="Times New Roman" w:cs="Times New Roman"/>
          <w:b/>
          <w:sz w:val="24"/>
          <w:szCs w:val="24"/>
        </w:rPr>
        <w:t>Федор Викторович</w:t>
      </w:r>
    </w:p>
    <w:p w14:paraId="62A01A10" w14:textId="77777777" w:rsidR="002245D5" w:rsidRPr="0082342D" w:rsidRDefault="002245D5" w:rsidP="002245D5">
      <w:pPr>
        <w:spacing w:after="0" w:line="240" w:lineRule="auto"/>
        <w:jc w:val="center"/>
        <w:rPr>
          <w:rFonts w:ascii="Times New Roman" w:hAnsi="Times New Roman" w:cs="Times New Roman"/>
          <w:sz w:val="24"/>
          <w:szCs w:val="24"/>
        </w:rPr>
      </w:pPr>
      <w:r w:rsidRPr="0082342D">
        <w:rPr>
          <w:rFonts w:ascii="Times New Roman" w:hAnsi="Times New Roman" w:cs="Times New Roman"/>
          <w:sz w:val="24"/>
          <w:szCs w:val="24"/>
        </w:rPr>
        <w:t>бакалавр</w:t>
      </w:r>
    </w:p>
    <w:p w14:paraId="3656B9AB" w14:textId="77777777" w:rsidR="002245D5" w:rsidRPr="0082342D" w:rsidRDefault="002245D5" w:rsidP="002245D5">
      <w:pPr>
        <w:spacing w:after="0" w:line="240" w:lineRule="auto"/>
        <w:jc w:val="center"/>
        <w:rPr>
          <w:rFonts w:ascii="Times New Roman" w:hAnsi="Times New Roman" w:cs="Times New Roman"/>
          <w:i/>
          <w:sz w:val="24"/>
          <w:szCs w:val="24"/>
        </w:rPr>
      </w:pPr>
    </w:p>
    <w:p w14:paraId="6D4FD5C9" w14:textId="77777777" w:rsidR="002245D5" w:rsidRPr="0082342D" w:rsidRDefault="002245D5" w:rsidP="002245D5">
      <w:pPr>
        <w:spacing w:after="0" w:line="240" w:lineRule="auto"/>
        <w:jc w:val="center"/>
        <w:rPr>
          <w:rFonts w:ascii="Times New Roman" w:hAnsi="Times New Roman" w:cs="Times New Roman"/>
          <w:i/>
          <w:sz w:val="24"/>
          <w:szCs w:val="24"/>
        </w:rPr>
      </w:pPr>
      <w:r w:rsidRPr="0082342D">
        <w:rPr>
          <w:rFonts w:ascii="Times New Roman" w:hAnsi="Times New Roman" w:cs="Times New Roman"/>
          <w:i/>
          <w:sz w:val="24"/>
          <w:szCs w:val="24"/>
        </w:rPr>
        <w:t xml:space="preserve">Владивостокский государственный университет экономики и сервиса </w:t>
      </w:r>
    </w:p>
    <w:p w14:paraId="559087E0" w14:textId="77777777" w:rsidR="002245D5" w:rsidRPr="0082342D" w:rsidRDefault="002245D5" w:rsidP="002245D5">
      <w:pPr>
        <w:spacing w:after="0" w:line="240" w:lineRule="auto"/>
        <w:jc w:val="center"/>
        <w:rPr>
          <w:rFonts w:ascii="Times New Roman" w:hAnsi="Times New Roman" w:cs="Times New Roman"/>
          <w:i/>
          <w:sz w:val="24"/>
          <w:szCs w:val="24"/>
        </w:rPr>
      </w:pPr>
      <w:r w:rsidRPr="0082342D">
        <w:rPr>
          <w:rFonts w:ascii="Times New Roman" w:hAnsi="Times New Roman" w:cs="Times New Roman"/>
          <w:i/>
          <w:sz w:val="24"/>
          <w:szCs w:val="24"/>
        </w:rPr>
        <w:lastRenderedPageBreak/>
        <w:t>Россия. Владивосток</w:t>
      </w:r>
    </w:p>
    <w:p w14:paraId="45FB0818" w14:textId="77777777" w:rsidR="002245D5" w:rsidRPr="0082342D" w:rsidRDefault="002245D5" w:rsidP="002245D5">
      <w:pPr>
        <w:spacing w:after="0" w:line="240" w:lineRule="auto"/>
        <w:jc w:val="center"/>
        <w:rPr>
          <w:rFonts w:ascii="Times New Roman" w:hAnsi="Times New Roman" w:cs="Times New Roman"/>
          <w:b/>
          <w:i/>
          <w:sz w:val="24"/>
          <w:szCs w:val="24"/>
        </w:rPr>
      </w:pPr>
    </w:p>
    <w:p w14:paraId="6D6336F0" w14:textId="77777777" w:rsidR="002245D5" w:rsidRPr="0082342D" w:rsidRDefault="002245D5" w:rsidP="002245D5">
      <w:pPr>
        <w:spacing w:after="0" w:line="240" w:lineRule="auto"/>
        <w:ind w:firstLine="709"/>
        <w:jc w:val="both"/>
        <w:rPr>
          <w:rFonts w:ascii="Times New Roman" w:hAnsi="Times New Roman" w:cs="Times New Roman"/>
          <w:i/>
          <w:sz w:val="24"/>
          <w:szCs w:val="24"/>
        </w:rPr>
      </w:pPr>
      <w:r w:rsidRPr="0082342D">
        <w:rPr>
          <w:rFonts w:ascii="Times New Roman" w:hAnsi="Times New Roman" w:cs="Times New Roman"/>
          <w:i/>
          <w:sz w:val="24"/>
          <w:szCs w:val="24"/>
        </w:rPr>
        <w:t>Ипотечные ценные бумаги играют особую роль в мировой экономике. Как часть процесса секьюритизации, их выпуск позволяет банкам расширять кредитные возможности, а также хеджировать кредитные риски. Однако они же представляют и серьезную угрозу, способную привести к масштабным негативным последствиям в рамках не только одной страны, но и целого мира.</w:t>
      </w:r>
    </w:p>
    <w:p w14:paraId="56448CF1" w14:textId="77777777" w:rsidR="002245D5" w:rsidRPr="0082342D" w:rsidRDefault="002245D5" w:rsidP="006D6F5D">
      <w:pPr>
        <w:spacing w:after="0" w:line="240" w:lineRule="auto"/>
        <w:ind w:firstLine="708"/>
        <w:jc w:val="both"/>
        <w:rPr>
          <w:rFonts w:ascii="Times New Roman" w:hAnsi="Times New Roman" w:cs="Times New Roman"/>
          <w:i/>
          <w:sz w:val="24"/>
          <w:szCs w:val="24"/>
        </w:rPr>
      </w:pPr>
      <w:r w:rsidRPr="0082342D">
        <w:rPr>
          <w:rFonts w:ascii="Times New Roman" w:hAnsi="Times New Roman" w:cs="Times New Roman"/>
          <w:b/>
          <w:i/>
          <w:sz w:val="24"/>
          <w:szCs w:val="24"/>
        </w:rPr>
        <w:t>Ключевые слова и словосочетания</w:t>
      </w:r>
      <w:r w:rsidRPr="0082342D">
        <w:rPr>
          <w:rFonts w:ascii="Times New Roman" w:hAnsi="Times New Roman" w:cs="Times New Roman"/>
          <w:i/>
          <w:sz w:val="24"/>
          <w:szCs w:val="24"/>
        </w:rPr>
        <w:t>: ипотечные ценные бумаги, секьюритизация, кредитные возможности, кредитный риск, кризис.</w:t>
      </w:r>
    </w:p>
    <w:p w14:paraId="049F31CB" w14:textId="77777777" w:rsidR="002245D5" w:rsidRPr="0082342D" w:rsidRDefault="002245D5" w:rsidP="002245D5">
      <w:pPr>
        <w:spacing w:after="120" w:line="240" w:lineRule="auto"/>
        <w:jc w:val="center"/>
        <w:rPr>
          <w:rFonts w:ascii="Times New Roman" w:hAnsi="Times New Roman" w:cs="Times New Roman"/>
          <w:b/>
          <w:sz w:val="24"/>
          <w:szCs w:val="24"/>
        </w:rPr>
      </w:pPr>
    </w:p>
    <w:p w14:paraId="118E8F7C" w14:textId="77777777" w:rsidR="006D6C94" w:rsidRPr="0082342D" w:rsidRDefault="006D6C94" w:rsidP="006D6C94">
      <w:pPr>
        <w:spacing w:after="120" w:line="240" w:lineRule="auto"/>
        <w:ind w:firstLine="709"/>
        <w:jc w:val="center"/>
        <w:rPr>
          <w:rFonts w:ascii="Times New Roman" w:hAnsi="Times New Roman" w:cs="Times New Roman"/>
          <w:b/>
          <w:sz w:val="24"/>
          <w:szCs w:val="24"/>
          <w:lang w:val="en-US"/>
        </w:rPr>
      </w:pPr>
      <w:r w:rsidRPr="0082342D">
        <w:rPr>
          <w:rFonts w:ascii="Times New Roman" w:hAnsi="Times New Roman" w:cs="Times New Roman"/>
          <w:b/>
          <w:sz w:val="24"/>
          <w:szCs w:val="24"/>
          <w:lang w:val="en-US"/>
        </w:rPr>
        <w:t>MORTGAGE-BACKED SECURITIES: OVERSEAS DEVELOPMENT AND RUSSIA’S PROSPECTS</w:t>
      </w:r>
    </w:p>
    <w:p w14:paraId="53128261" w14:textId="77777777" w:rsidR="006D6C94" w:rsidRPr="0082342D" w:rsidRDefault="006D6C94" w:rsidP="006D6C94">
      <w:pPr>
        <w:spacing w:after="0" w:line="240" w:lineRule="auto"/>
        <w:ind w:firstLine="709"/>
        <w:jc w:val="both"/>
        <w:rPr>
          <w:rFonts w:ascii="Times New Roman" w:hAnsi="Times New Roman" w:cs="Times New Roman"/>
          <w:i/>
          <w:sz w:val="24"/>
          <w:szCs w:val="24"/>
          <w:lang w:val="en-US"/>
        </w:rPr>
      </w:pPr>
    </w:p>
    <w:p w14:paraId="30C59BAF" w14:textId="77777777" w:rsidR="002245D5" w:rsidRPr="0082342D" w:rsidRDefault="002245D5" w:rsidP="006D6C94">
      <w:pPr>
        <w:spacing w:after="0" w:line="240" w:lineRule="auto"/>
        <w:ind w:firstLine="709"/>
        <w:jc w:val="both"/>
        <w:rPr>
          <w:rFonts w:ascii="Times New Roman" w:hAnsi="Times New Roman" w:cs="Times New Roman"/>
          <w:i/>
          <w:sz w:val="24"/>
          <w:szCs w:val="24"/>
          <w:lang w:val="en-US"/>
        </w:rPr>
      </w:pPr>
      <w:r w:rsidRPr="0082342D">
        <w:rPr>
          <w:rFonts w:ascii="Times New Roman" w:hAnsi="Times New Roman" w:cs="Times New Roman"/>
          <w:i/>
          <w:sz w:val="24"/>
          <w:szCs w:val="24"/>
          <w:lang w:val="en-US"/>
        </w:rPr>
        <w:t xml:space="preserve">Mortgage-backed securities play a special role in the world economy. As a part of securitization the issuance allows banks to enhance credit facilities and hedge credit risks. However, they also constitute a threat that could lead to widespread negative implications for not only one country but for the entire world.  </w:t>
      </w:r>
    </w:p>
    <w:p w14:paraId="4FD97929" w14:textId="77777777" w:rsidR="002245D5" w:rsidRPr="0082342D" w:rsidRDefault="002245D5" w:rsidP="006D6F5D">
      <w:pPr>
        <w:spacing w:after="0" w:line="240" w:lineRule="auto"/>
        <w:ind w:firstLine="708"/>
        <w:jc w:val="both"/>
        <w:rPr>
          <w:rFonts w:ascii="Times New Roman" w:hAnsi="Times New Roman" w:cs="Times New Roman"/>
          <w:b/>
          <w:sz w:val="24"/>
          <w:szCs w:val="24"/>
          <w:lang w:val="en-US"/>
        </w:rPr>
      </w:pPr>
      <w:r w:rsidRPr="0082342D">
        <w:rPr>
          <w:rFonts w:ascii="Times New Roman" w:hAnsi="Times New Roman" w:cs="Times New Roman"/>
          <w:b/>
          <w:i/>
          <w:sz w:val="24"/>
          <w:szCs w:val="24"/>
          <w:lang w:val="en-US"/>
        </w:rPr>
        <w:t>Keywords</w:t>
      </w:r>
      <w:r w:rsidRPr="0082342D">
        <w:rPr>
          <w:rFonts w:ascii="Times New Roman" w:hAnsi="Times New Roman" w:cs="Times New Roman"/>
          <w:i/>
          <w:sz w:val="24"/>
          <w:szCs w:val="24"/>
          <w:lang w:val="en-US"/>
        </w:rPr>
        <w:t xml:space="preserve">: mortgage-backed securities, securitization, credit facilities, credit risk, crisis.  </w:t>
      </w:r>
    </w:p>
    <w:p w14:paraId="62486C05" w14:textId="77777777" w:rsidR="006D6C94" w:rsidRPr="0082342D" w:rsidRDefault="006D6C94" w:rsidP="002245D5">
      <w:pPr>
        <w:spacing w:after="0" w:line="240" w:lineRule="auto"/>
        <w:ind w:firstLine="709"/>
        <w:jc w:val="both"/>
        <w:rPr>
          <w:rFonts w:ascii="Times New Roman" w:hAnsi="Times New Roman" w:cs="Times New Roman"/>
          <w:sz w:val="24"/>
          <w:szCs w:val="24"/>
          <w:lang w:val="en-US"/>
        </w:rPr>
      </w:pPr>
    </w:p>
    <w:p w14:paraId="400DA9BC"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Ипотечные ценные бумаги (ИЦБ) занимают особое место не только в секьюритизации активов, но и в экономике в целом. Они всегда имели высокую долю в структуре выпуска и обращения секьюритизированных ценных бумаг (90% выпуска в США – 2016) [6], тем самым оказывая огромное влияние на весь рынок секьюритизируемых инструментов и в общем на экономику. Появившись в 80-е годы </w:t>
      </w:r>
      <w:r w:rsidRPr="0082342D">
        <w:rPr>
          <w:rFonts w:ascii="Times New Roman" w:hAnsi="Times New Roman" w:cs="Times New Roman"/>
          <w:color w:val="000000" w:themeColor="text1"/>
          <w:sz w:val="24"/>
          <w:szCs w:val="24"/>
          <w:lang w:val="en-US"/>
        </w:rPr>
        <w:t>XX</w:t>
      </w:r>
      <w:r w:rsidRPr="0082342D">
        <w:rPr>
          <w:rFonts w:ascii="Times New Roman" w:hAnsi="Times New Roman" w:cs="Times New Roman"/>
          <w:color w:val="000000" w:themeColor="text1"/>
          <w:sz w:val="24"/>
          <w:szCs w:val="24"/>
        </w:rPr>
        <w:t xml:space="preserve"> века, ипотечные ценные бумаги в условиях реальной секьюритизации позволяли банкам выдавать больше кредитов, при этом формально соблюдая требования Базельского соглашения относительно достаточности капитала. Однако в 2008 году случился «перегрев» рынка ИЦБ, что будет показано в дальнейшем. Таким образом, безопасность применения секьюритизации была поставлена под сомнение, что потребовало разработки дополнительных мер по защите финансовой системы от возможного кризиса.</w:t>
      </w:r>
    </w:p>
    <w:p w14:paraId="57D149E2"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Для начала необходимо определить, какие разновидности ипотечных ценных бумаг существуют. В целях исследования будет взят рынок США, как самый развитый и наиболее показательный.  Изначально ипотечные ценные бумаги можно поделить на ИЦБ, выпускаемые государственными ипотечными агентствами (</w:t>
      </w:r>
      <w:r w:rsidRPr="0082342D">
        <w:rPr>
          <w:rFonts w:ascii="Times New Roman" w:hAnsi="Times New Roman" w:cs="Times New Roman"/>
          <w:color w:val="000000" w:themeColor="text1"/>
          <w:sz w:val="24"/>
          <w:szCs w:val="24"/>
          <w:lang w:val="en-US"/>
        </w:rPr>
        <w:t>Agency</w:t>
      </w:r>
      <w:r w:rsidRPr="0082342D">
        <w:rPr>
          <w:rFonts w:ascii="Times New Roman" w:hAnsi="Times New Roman" w:cs="Times New Roman"/>
          <w:color w:val="000000" w:themeColor="text1"/>
          <w:sz w:val="24"/>
          <w:szCs w:val="24"/>
        </w:rPr>
        <w:t>), и ИЦБ, выпускаемые частными организациями (</w:t>
      </w:r>
      <w:r w:rsidRPr="0082342D">
        <w:rPr>
          <w:rFonts w:ascii="Times New Roman" w:hAnsi="Times New Roman" w:cs="Times New Roman"/>
          <w:color w:val="000000" w:themeColor="text1"/>
          <w:sz w:val="24"/>
          <w:szCs w:val="24"/>
          <w:lang w:val="en-US"/>
        </w:rPr>
        <w:t>Non</w:t>
      </w:r>
      <w:r w:rsidRPr="0082342D">
        <w:rPr>
          <w:rFonts w:ascii="Times New Roman" w:hAnsi="Times New Roman" w:cs="Times New Roman"/>
          <w:color w:val="000000" w:themeColor="text1"/>
          <w:sz w:val="24"/>
          <w:szCs w:val="24"/>
        </w:rPr>
        <w:t>-</w:t>
      </w:r>
      <w:r w:rsidRPr="0082342D">
        <w:rPr>
          <w:rFonts w:ascii="Times New Roman" w:hAnsi="Times New Roman" w:cs="Times New Roman"/>
          <w:color w:val="000000" w:themeColor="text1"/>
          <w:sz w:val="24"/>
          <w:szCs w:val="24"/>
          <w:lang w:val="en-US"/>
        </w:rPr>
        <w:t>Agency</w:t>
      </w:r>
      <w:r w:rsidRPr="0082342D">
        <w:rPr>
          <w:rFonts w:ascii="Times New Roman" w:hAnsi="Times New Roman" w:cs="Times New Roman"/>
          <w:color w:val="000000" w:themeColor="text1"/>
          <w:sz w:val="24"/>
          <w:szCs w:val="24"/>
        </w:rPr>
        <w:t xml:space="preserve">). Агентские ИЦБ, в свою очередь, делятся на </w:t>
      </w:r>
      <w:r w:rsidRPr="0082342D">
        <w:rPr>
          <w:rFonts w:ascii="Times New Roman" w:hAnsi="Times New Roman" w:cs="Times New Roman"/>
          <w:color w:val="000000" w:themeColor="text1"/>
          <w:sz w:val="24"/>
          <w:szCs w:val="24"/>
          <w:lang w:val="en-US"/>
        </w:rPr>
        <w:t>Agency</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MBS</w:t>
      </w:r>
      <w:r w:rsidRPr="0082342D">
        <w:rPr>
          <w:rFonts w:ascii="Times New Roman" w:hAnsi="Times New Roman" w:cs="Times New Roman"/>
          <w:color w:val="000000" w:themeColor="text1"/>
          <w:sz w:val="24"/>
          <w:szCs w:val="24"/>
        </w:rPr>
        <w:t xml:space="preserve"> и </w:t>
      </w:r>
      <w:r w:rsidRPr="0082342D">
        <w:rPr>
          <w:rFonts w:ascii="Times New Roman" w:hAnsi="Times New Roman" w:cs="Times New Roman"/>
          <w:color w:val="000000" w:themeColor="text1"/>
          <w:sz w:val="24"/>
          <w:szCs w:val="24"/>
          <w:lang w:val="en-US"/>
        </w:rPr>
        <w:t>Agency</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CMO</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Agency</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MBS</w:t>
      </w:r>
      <w:r w:rsidRPr="0082342D">
        <w:rPr>
          <w:rFonts w:ascii="Times New Roman" w:hAnsi="Times New Roman" w:cs="Times New Roman"/>
          <w:color w:val="000000" w:themeColor="text1"/>
          <w:sz w:val="24"/>
          <w:szCs w:val="24"/>
        </w:rPr>
        <w:t xml:space="preserve"> – однотраншевые ИЦБ, по которым риск дефолта заемщика полностью принимают на себя государственные ипотечные агентства США (</w:t>
      </w:r>
      <w:r w:rsidRPr="0082342D">
        <w:rPr>
          <w:rFonts w:ascii="Times New Roman" w:hAnsi="Times New Roman" w:cs="Times New Roman"/>
          <w:color w:val="000000" w:themeColor="text1"/>
          <w:sz w:val="24"/>
          <w:szCs w:val="24"/>
          <w:lang w:val="en-US"/>
        </w:rPr>
        <w:t>Fannie</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Mae</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Freddie</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Mac</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Ginnie</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Mae</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Agency</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CMO</w:t>
      </w:r>
      <w:r w:rsidRPr="0082342D">
        <w:rPr>
          <w:rFonts w:ascii="Times New Roman" w:hAnsi="Times New Roman" w:cs="Times New Roman"/>
          <w:color w:val="000000" w:themeColor="text1"/>
          <w:sz w:val="24"/>
          <w:szCs w:val="24"/>
        </w:rPr>
        <w:t xml:space="preserve"> – многотраншевые ИЦБ, включающие в себя транши с различным уровнем риска. Частные ИЦБ делятся на </w:t>
      </w:r>
      <w:r w:rsidRPr="0082342D">
        <w:rPr>
          <w:rFonts w:ascii="Times New Roman" w:hAnsi="Times New Roman" w:cs="Times New Roman"/>
          <w:color w:val="000000" w:themeColor="text1"/>
          <w:sz w:val="24"/>
          <w:szCs w:val="24"/>
          <w:lang w:val="en-US"/>
        </w:rPr>
        <w:t>RMBS</w:t>
      </w:r>
      <w:r w:rsidRPr="0082342D">
        <w:rPr>
          <w:rFonts w:ascii="Times New Roman" w:hAnsi="Times New Roman" w:cs="Times New Roman"/>
          <w:color w:val="000000" w:themeColor="text1"/>
          <w:sz w:val="24"/>
          <w:szCs w:val="24"/>
        </w:rPr>
        <w:t xml:space="preserve"> и </w:t>
      </w:r>
      <w:r w:rsidRPr="0082342D">
        <w:rPr>
          <w:rFonts w:ascii="Times New Roman" w:hAnsi="Times New Roman" w:cs="Times New Roman"/>
          <w:color w:val="000000" w:themeColor="text1"/>
          <w:sz w:val="24"/>
          <w:szCs w:val="24"/>
          <w:lang w:val="en-US"/>
        </w:rPr>
        <w:t>CMBS</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RMBS</w:t>
      </w:r>
      <w:r w:rsidRPr="0082342D">
        <w:rPr>
          <w:rFonts w:ascii="Times New Roman" w:hAnsi="Times New Roman" w:cs="Times New Roman"/>
          <w:color w:val="000000" w:themeColor="text1"/>
          <w:sz w:val="24"/>
          <w:szCs w:val="24"/>
        </w:rPr>
        <w:t xml:space="preserve"> – ИЦБ, которые обеспечиваются жилищной ипотекой, а </w:t>
      </w:r>
      <w:r w:rsidRPr="0082342D">
        <w:rPr>
          <w:rFonts w:ascii="Times New Roman" w:hAnsi="Times New Roman" w:cs="Times New Roman"/>
          <w:color w:val="000000" w:themeColor="text1"/>
          <w:sz w:val="24"/>
          <w:szCs w:val="24"/>
          <w:lang w:val="en-US"/>
        </w:rPr>
        <w:t>CMBS</w:t>
      </w:r>
      <w:r w:rsidRPr="0082342D">
        <w:rPr>
          <w:rFonts w:ascii="Times New Roman" w:hAnsi="Times New Roman" w:cs="Times New Roman"/>
          <w:color w:val="000000" w:themeColor="text1"/>
          <w:sz w:val="24"/>
          <w:szCs w:val="24"/>
        </w:rPr>
        <w:t xml:space="preserve"> – ИЦБ, обеспеченные коммерческой ипотекой, соответственно (рис. 1). </w:t>
      </w:r>
    </w:p>
    <w:p w14:paraId="4101652C" w14:textId="77777777" w:rsidR="002245D5" w:rsidRPr="0082342D" w:rsidRDefault="002245D5" w:rsidP="002245D5">
      <w:pPr>
        <w:spacing w:line="240" w:lineRule="auto"/>
        <w:ind w:firstLine="708"/>
        <w:jc w:val="center"/>
        <w:rPr>
          <w:rFonts w:ascii="Times New Roman" w:hAnsi="Times New Roman" w:cs="Times New Roman"/>
          <w:color w:val="000000" w:themeColor="text1"/>
          <w:sz w:val="24"/>
          <w:szCs w:val="24"/>
        </w:rPr>
      </w:pPr>
      <w:r w:rsidRPr="0082342D">
        <w:rPr>
          <w:rFonts w:ascii="Times New Roman" w:hAnsi="Times New Roman" w:cs="Times New Roman"/>
          <w:noProof/>
          <w:color w:val="000000" w:themeColor="text1"/>
          <w:sz w:val="24"/>
          <w:szCs w:val="24"/>
          <w:lang w:eastAsia="ru-RU"/>
        </w:rPr>
        <w:drawing>
          <wp:inline distT="0" distB="0" distL="0" distR="0" wp14:anchorId="5E7A89D6" wp14:editId="07777777">
            <wp:extent cx="5152219" cy="1754372"/>
            <wp:effectExtent l="0" t="0" r="0" b="7620"/>
            <wp:docPr id="1" name="Рисунок 1" descr="C:\Users\r0ndo\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0ndo\Desktop\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52219" cy="1754372"/>
                    </a:xfrm>
                    <a:prstGeom prst="rect">
                      <a:avLst/>
                    </a:prstGeom>
                    <a:noFill/>
                    <a:ln>
                      <a:noFill/>
                    </a:ln>
                  </pic:spPr>
                </pic:pic>
              </a:graphicData>
            </a:graphic>
          </wp:inline>
        </w:drawing>
      </w:r>
    </w:p>
    <w:p w14:paraId="6A8364D1" w14:textId="77777777" w:rsidR="002245D5" w:rsidRPr="0082342D" w:rsidRDefault="002245D5" w:rsidP="002245D5">
      <w:pPr>
        <w:spacing w:after="0" w:line="240" w:lineRule="auto"/>
        <w:ind w:firstLine="709"/>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lastRenderedPageBreak/>
        <w:t xml:space="preserve">Рис. 1. Классификация ипотечных ценных бумаг на рынке США [1] </w:t>
      </w:r>
    </w:p>
    <w:p w14:paraId="4B99056E" w14:textId="77777777" w:rsidR="006D6C94" w:rsidRPr="0082342D" w:rsidRDefault="006D6C94" w:rsidP="002245D5">
      <w:pPr>
        <w:spacing w:after="0" w:line="240" w:lineRule="auto"/>
        <w:ind w:firstLine="709"/>
        <w:jc w:val="both"/>
        <w:rPr>
          <w:rFonts w:ascii="Times New Roman" w:hAnsi="Times New Roman" w:cs="Times New Roman"/>
          <w:color w:val="000000" w:themeColor="text1"/>
          <w:sz w:val="24"/>
          <w:szCs w:val="24"/>
        </w:rPr>
      </w:pPr>
    </w:p>
    <w:p w14:paraId="3363F77C"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Всю историю рынка ипотечных ценных бумаг можно разделить на 2 периода, которые формируют один цикл. Первый период (80-е годы </w:t>
      </w:r>
      <w:r w:rsidRPr="0082342D">
        <w:rPr>
          <w:rFonts w:ascii="Times New Roman" w:hAnsi="Times New Roman" w:cs="Times New Roman"/>
          <w:color w:val="000000" w:themeColor="text1"/>
          <w:sz w:val="24"/>
          <w:szCs w:val="24"/>
          <w:lang w:val="en-US"/>
        </w:rPr>
        <w:t>XX</w:t>
      </w:r>
      <w:r w:rsidRPr="0082342D">
        <w:rPr>
          <w:rFonts w:ascii="Times New Roman" w:hAnsi="Times New Roman" w:cs="Times New Roman"/>
          <w:color w:val="000000" w:themeColor="text1"/>
          <w:sz w:val="24"/>
          <w:szCs w:val="24"/>
        </w:rPr>
        <w:t xml:space="preserve"> века - 2008) характеризуется активным развитием. Выпуск всех видов ИЦБ (рис. 2) в это время испытывал рост. Причем доля агентских ценных бумаг явно преобладала до 2005, что объясняется более приемлемыми для инвестора рисками. </w:t>
      </w:r>
    </w:p>
    <w:p w14:paraId="1299C43A" w14:textId="77777777" w:rsidR="006D6C94" w:rsidRPr="0082342D" w:rsidRDefault="006D6C94" w:rsidP="002245D5">
      <w:pPr>
        <w:spacing w:after="120" w:line="240" w:lineRule="auto"/>
        <w:ind w:firstLine="708"/>
        <w:jc w:val="center"/>
        <w:rPr>
          <w:rFonts w:ascii="Times New Roman" w:hAnsi="Times New Roman" w:cs="Times New Roman"/>
          <w:color w:val="000000" w:themeColor="text1"/>
          <w:sz w:val="24"/>
          <w:szCs w:val="24"/>
        </w:rPr>
      </w:pPr>
    </w:p>
    <w:p w14:paraId="4DDBEF00" w14:textId="77777777" w:rsidR="002245D5" w:rsidRPr="0082342D" w:rsidRDefault="002245D5" w:rsidP="002245D5">
      <w:pPr>
        <w:spacing w:after="120" w:line="240" w:lineRule="auto"/>
        <w:ind w:firstLine="708"/>
        <w:jc w:val="center"/>
        <w:rPr>
          <w:rFonts w:ascii="Times New Roman" w:hAnsi="Times New Roman" w:cs="Times New Roman"/>
          <w:color w:val="000000" w:themeColor="text1"/>
          <w:sz w:val="24"/>
          <w:szCs w:val="24"/>
        </w:rPr>
      </w:pPr>
      <w:r w:rsidRPr="0082342D">
        <w:rPr>
          <w:rFonts w:ascii="Times New Roman" w:hAnsi="Times New Roman" w:cs="Times New Roman"/>
          <w:noProof/>
          <w:color w:val="000000" w:themeColor="text1"/>
          <w:sz w:val="24"/>
          <w:szCs w:val="24"/>
          <w:lang w:eastAsia="ru-RU"/>
        </w:rPr>
        <w:drawing>
          <wp:inline distT="0" distB="0" distL="0" distR="0" wp14:anchorId="363C4BC1" wp14:editId="07777777">
            <wp:extent cx="5095875" cy="2743200"/>
            <wp:effectExtent l="0" t="0" r="9525"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104890" w14:textId="77777777" w:rsidR="002245D5" w:rsidRPr="0082342D" w:rsidRDefault="002245D5" w:rsidP="002245D5">
      <w:pPr>
        <w:spacing w:after="0" w:line="240" w:lineRule="auto"/>
        <w:ind w:firstLine="709"/>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Рис. 2. Выпуск ипотечных ценных бумаг в США, млрд долл. </w:t>
      </w:r>
    </w:p>
    <w:p w14:paraId="45EC2852" w14:textId="77777777" w:rsidR="002245D5" w:rsidRPr="0082342D" w:rsidRDefault="002245D5" w:rsidP="002245D5">
      <w:pPr>
        <w:spacing w:after="0" w:line="240" w:lineRule="auto"/>
        <w:ind w:firstLine="709"/>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Источник: составлено автором по [5]</w:t>
      </w:r>
    </w:p>
    <w:p w14:paraId="3461D779" w14:textId="77777777" w:rsidR="006D6C94" w:rsidRPr="0082342D" w:rsidRDefault="006D6C94" w:rsidP="002245D5">
      <w:pPr>
        <w:spacing w:after="0" w:line="240" w:lineRule="auto"/>
        <w:ind w:firstLine="709"/>
        <w:jc w:val="both"/>
        <w:rPr>
          <w:rFonts w:ascii="Times New Roman" w:hAnsi="Times New Roman" w:cs="Times New Roman"/>
          <w:color w:val="000000" w:themeColor="text1"/>
          <w:sz w:val="24"/>
          <w:szCs w:val="24"/>
        </w:rPr>
      </w:pPr>
    </w:p>
    <w:p w14:paraId="0FC3C962"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Однако в 2005 году коммерческие банки выпустили ипотечных ценных бумаг на рекордную сумму в 1434,3 млрд долл., которая в 2006 увеличилась еще на 57,5 млрд долл. Данный факт свидетельствует о пике спроса на ИЦБ, одной из причин которого является высокая оценка бумаг со стороны ключевых рейтинговых агентств (</w:t>
      </w:r>
      <w:r w:rsidRPr="0082342D">
        <w:rPr>
          <w:rFonts w:ascii="Times New Roman" w:hAnsi="Times New Roman" w:cs="Times New Roman"/>
          <w:color w:val="000000" w:themeColor="text1"/>
          <w:sz w:val="24"/>
          <w:szCs w:val="24"/>
          <w:lang w:val="en-US"/>
        </w:rPr>
        <w:t>Moody</w:t>
      </w:r>
      <w:r w:rsidRPr="0082342D">
        <w:rPr>
          <w:rFonts w:ascii="Times New Roman" w:hAnsi="Times New Roman" w:cs="Times New Roman"/>
          <w:color w:val="000000" w:themeColor="text1"/>
          <w:sz w:val="24"/>
          <w:szCs w:val="24"/>
        </w:rPr>
        <w:t>’</w:t>
      </w:r>
      <w:r w:rsidRPr="0082342D">
        <w:rPr>
          <w:rFonts w:ascii="Times New Roman" w:hAnsi="Times New Roman" w:cs="Times New Roman"/>
          <w:color w:val="000000" w:themeColor="text1"/>
          <w:sz w:val="24"/>
          <w:szCs w:val="24"/>
          <w:lang w:val="en-US"/>
        </w:rPr>
        <w:t>s</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Standard</w:t>
      </w:r>
      <w:r w:rsidRPr="0082342D">
        <w:rPr>
          <w:rFonts w:ascii="Times New Roman" w:hAnsi="Times New Roman" w:cs="Times New Roman"/>
          <w:color w:val="000000" w:themeColor="text1"/>
          <w:sz w:val="24"/>
          <w:szCs w:val="24"/>
        </w:rPr>
        <w:t xml:space="preserve"> &amp; </w:t>
      </w:r>
      <w:r w:rsidRPr="0082342D">
        <w:rPr>
          <w:rFonts w:ascii="Times New Roman" w:hAnsi="Times New Roman" w:cs="Times New Roman"/>
          <w:color w:val="000000" w:themeColor="text1"/>
          <w:sz w:val="24"/>
          <w:szCs w:val="24"/>
          <w:lang w:val="en-US"/>
        </w:rPr>
        <w:t>Poor</w:t>
      </w:r>
      <w:r w:rsidRPr="0082342D">
        <w:rPr>
          <w:rFonts w:ascii="Times New Roman" w:hAnsi="Times New Roman" w:cs="Times New Roman"/>
          <w:color w:val="000000" w:themeColor="text1"/>
          <w:sz w:val="24"/>
          <w:szCs w:val="24"/>
        </w:rPr>
        <w:t>’</w:t>
      </w:r>
      <w:r w:rsidRPr="0082342D">
        <w:rPr>
          <w:rFonts w:ascii="Times New Roman" w:hAnsi="Times New Roman" w:cs="Times New Roman"/>
          <w:color w:val="000000" w:themeColor="text1"/>
          <w:sz w:val="24"/>
          <w:szCs w:val="24"/>
          <w:lang w:val="en-US"/>
        </w:rPr>
        <w:t>s</w:t>
      </w:r>
      <w:r w:rsidRPr="0082342D">
        <w:rPr>
          <w:rFonts w:ascii="Times New Roman" w:hAnsi="Times New Roman" w:cs="Times New Roman"/>
          <w:color w:val="000000" w:themeColor="text1"/>
          <w:sz w:val="24"/>
          <w:szCs w:val="24"/>
        </w:rPr>
        <w:t xml:space="preserve">). При этом банки, стремясь максимизировать прибыль и избавиться от рисков, уделяли недостаточное внимание кредитному рейтингу заемщика, в результате чего доля субстандартных кредитов, под которые выпускались ценные бумаги, резко возросла. Поэтому в сторону рейтинговых агентств до сих пор высказывается критика в плане неадекватной оценки рисков по ипотечным ценным бумагам. </w:t>
      </w:r>
    </w:p>
    <w:p w14:paraId="1DE596E5"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В 2008 году рынок ИЦБ, выпускаемых частными организациями, рухнул. Несмотря на это, эмиссия агентских бумаг продолжилась, а ее объемы в первые годы после кризиса даже увеличились, что можно объяснить сохранением благодаря гарантиям выплат со стороны государства инвестиционной привлекательности. При этом в будущем продолжил расти объем находящихся в обращении ценных бумаг государственных агентств (рис. 3). </w:t>
      </w:r>
    </w:p>
    <w:p w14:paraId="3CF2D8B6" w14:textId="77777777" w:rsidR="002245D5" w:rsidRPr="0082342D" w:rsidRDefault="002245D5" w:rsidP="002245D5">
      <w:pPr>
        <w:spacing w:line="240" w:lineRule="auto"/>
        <w:ind w:firstLine="708"/>
        <w:jc w:val="center"/>
        <w:rPr>
          <w:rFonts w:ascii="Times New Roman" w:hAnsi="Times New Roman" w:cs="Times New Roman"/>
          <w:color w:val="000000" w:themeColor="text1"/>
          <w:sz w:val="24"/>
          <w:szCs w:val="24"/>
        </w:rPr>
      </w:pPr>
      <w:r w:rsidRPr="0082342D">
        <w:rPr>
          <w:rFonts w:ascii="Times New Roman" w:hAnsi="Times New Roman" w:cs="Times New Roman"/>
          <w:noProof/>
          <w:color w:val="000000" w:themeColor="text1"/>
          <w:sz w:val="24"/>
          <w:szCs w:val="24"/>
          <w:lang w:eastAsia="ru-RU"/>
        </w:rPr>
        <w:lastRenderedPageBreak/>
        <w:drawing>
          <wp:inline distT="0" distB="0" distL="0" distR="0" wp14:anchorId="0FC2E61E" wp14:editId="07777777">
            <wp:extent cx="4238625" cy="2743200"/>
            <wp:effectExtent l="0" t="0" r="9525"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E825FA" w14:textId="77777777" w:rsidR="002245D5" w:rsidRPr="0082342D" w:rsidRDefault="002245D5" w:rsidP="002245D5">
      <w:pPr>
        <w:spacing w:after="0" w:line="240" w:lineRule="auto"/>
        <w:ind w:firstLine="709"/>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Рис. 3. Объем обращающихся на рынке США ипотечных ценных бумаг, млрд долл. Источник: составлено автором по [5]</w:t>
      </w:r>
    </w:p>
    <w:p w14:paraId="0FB78278" w14:textId="77777777" w:rsidR="006D6C94" w:rsidRPr="0082342D" w:rsidRDefault="006D6C94" w:rsidP="002245D5">
      <w:pPr>
        <w:spacing w:after="0" w:line="240" w:lineRule="auto"/>
        <w:ind w:firstLine="709"/>
        <w:jc w:val="both"/>
        <w:rPr>
          <w:rFonts w:ascii="Times New Roman" w:hAnsi="Times New Roman" w:cs="Times New Roman"/>
          <w:color w:val="000000" w:themeColor="text1"/>
          <w:sz w:val="24"/>
          <w:szCs w:val="24"/>
        </w:rPr>
      </w:pPr>
    </w:p>
    <w:p w14:paraId="6CF10F1B"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Второй период (2008 – н.в.) характеризуется спадом активности в результате мирового финансово-экономического кризиса, что не в полной мере отражается на графике объема выпуска ИЦБ. Тем не менее, из рисунка 3 становится ясно, что объем обращающихся частных ИЦБ сокращается. Более того, ежедневный объем торгов по всем ипотечным ценным бумагам в 2017 снизился на 27,3% по сравнению с 2012 (табл. 1).</w:t>
      </w:r>
    </w:p>
    <w:p w14:paraId="1FC39945" w14:textId="77777777" w:rsidR="000871A2" w:rsidRPr="0082342D" w:rsidRDefault="000871A2" w:rsidP="002245D5">
      <w:pPr>
        <w:spacing w:after="0" w:line="240" w:lineRule="auto"/>
        <w:ind w:firstLine="709"/>
        <w:jc w:val="right"/>
        <w:rPr>
          <w:rFonts w:ascii="Times New Roman" w:hAnsi="Times New Roman" w:cs="Times New Roman"/>
          <w:i/>
          <w:color w:val="000000" w:themeColor="text1"/>
          <w:sz w:val="24"/>
          <w:szCs w:val="24"/>
        </w:rPr>
      </w:pPr>
    </w:p>
    <w:p w14:paraId="4A41AF15" w14:textId="77777777" w:rsidR="002245D5" w:rsidRPr="0082342D" w:rsidRDefault="002245D5" w:rsidP="002245D5">
      <w:pPr>
        <w:spacing w:after="0" w:line="240" w:lineRule="auto"/>
        <w:ind w:firstLine="709"/>
        <w:jc w:val="right"/>
        <w:rPr>
          <w:rFonts w:ascii="Times New Roman" w:hAnsi="Times New Roman" w:cs="Times New Roman"/>
          <w:i/>
          <w:color w:val="000000" w:themeColor="text1"/>
          <w:sz w:val="24"/>
          <w:szCs w:val="24"/>
        </w:rPr>
      </w:pPr>
      <w:r w:rsidRPr="0082342D">
        <w:rPr>
          <w:rFonts w:ascii="Times New Roman" w:hAnsi="Times New Roman" w:cs="Times New Roman"/>
          <w:i/>
          <w:color w:val="000000" w:themeColor="text1"/>
          <w:sz w:val="24"/>
          <w:szCs w:val="24"/>
        </w:rPr>
        <w:t xml:space="preserve">Таблица 1 </w:t>
      </w:r>
    </w:p>
    <w:p w14:paraId="0562CB0E" w14:textId="77777777" w:rsidR="000871A2" w:rsidRPr="0082342D" w:rsidRDefault="000871A2" w:rsidP="002245D5">
      <w:pPr>
        <w:spacing w:after="0" w:line="240" w:lineRule="auto"/>
        <w:ind w:firstLine="709"/>
        <w:jc w:val="center"/>
        <w:rPr>
          <w:rFonts w:ascii="Times New Roman" w:hAnsi="Times New Roman" w:cs="Times New Roman"/>
          <w:b/>
          <w:color w:val="000000" w:themeColor="text1"/>
          <w:sz w:val="24"/>
          <w:szCs w:val="24"/>
        </w:rPr>
      </w:pPr>
    </w:p>
    <w:p w14:paraId="7A304F6E" w14:textId="77777777" w:rsidR="002245D5" w:rsidRPr="0082342D" w:rsidRDefault="002245D5" w:rsidP="002245D5">
      <w:pPr>
        <w:spacing w:after="0" w:line="240" w:lineRule="auto"/>
        <w:ind w:firstLine="709"/>
        <w:jc w:val="center"/>
        <w:rPr>
          <w:rFonts w:ascii="Times New Roman" w:hAnsi="Times New Roman" w:cs="Times New Roman"/>
          <w:b/>
          <w:color w:val="000000" w:themeColor="text1"/>
          <w:sz w:val="24"/>
          <w:szCs w:val="24"/>
        </w:rPr>
      </w:pPr>
      <w:r w:rsidRPr="0082342D">
        <w:rPr>
          <w:rFonts w:ascii="Times New Roman" w:hAnsi="Times New Roman" w:cs="Times New Roman"/>
          <w:b/>
          <w:color w:val="000000" w:themeColor="text1"/>
          <w:sz w:val="24"/>
          <w:szCs w:val="24"/>
        </w:rPr>
        <w:t xml:space="preserve">Ежедневный объем торгов ипотечными ценными бумагами на рынке США </w:t>
      </w:r>
    </w:p>
    <w:p w14:paraId="34CE0A41" w14:textId="77777777" w:rsidR="000871A2" w:rsidRPr="0082342D" w:rsidRDefault="000871A2" w:rsidP="002245D5">
      <w:pPr>
        <w:spacing w:after="0" w:line="240" w:lineRule="auto"/>
        <w:ind w:firstLine="709"/>
        <w:jc w:val="center"/>
        <w:rPr>
          <w:rFonts w:ascii="Times New Roman" w:hAnsi="Times New Roman" w:cs="Times New Roman"/>
          <w:b/>
          <w:color w:val="000000" w:themeColor="text1"/>
          <w:sz w:val="24"/>
          <w:szCs w:val="24"/>
        </w:rPr>
      </w:pPr>
    </w:p>
    <w:tbl>
      <w:tblPr>
        <w:tblStyle w:val="a3"/>
        <w:tblW w:w="9616" w:type="dxa"/>
        <w:tblLook w:val="04A0" w:firstRow="1" w:lastRow="0" w:firstColumn="1" w:lastColumn="0" w:noHBand="0" w:noVBand="1"/>
      </w:tblPr>
      <w:tblGrid>
        <w:gridCol w:w="2320"/>
        <w:gridCol w:w="1236"/>
        <w:gridCol w:w="1236"/>
        <w:gridCol w:w="1236"/>
        <w:gridCol w:w="1236"/>
        <w:gridCol w:w="1236"/>
        <w:gridCol w:w="1116"/>
      </w:tblGrid>
      <w:tr w:rsidR="002245D5" w:rsidRPr="0082342D" w14:paraId="2766FFF0" w14:textId="77777777" w:rsidTr="002245D5">
        <w:tc>
          <w:tcPr>
            <w:tcW w:w="2755" w:type="dxa"/>
          </w:tcPr>
          <w:p w14:paraId="1428BE19"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Год</w:t>
            </w:r>
          </w:p>
        </w:tc>
        <w:tc>
          <w:tcPr>
            <w:tcW w:w="1151" w:type="dxa"/>
          </w:tcPr>
          <w:p w14:paraId="152B2AFC"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2012</w:t>
            </w:r>
          </w:p>
        </w:tc>
        <w:tc>
          <w:tcPr>
            <w:tcW w:w="1151" w:type="dxa"/>
          </w:tcPr>
          <w:p w14:paraId="4EB1DB3B"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2013</w:t>
            </w:r>
          </w:p>
        </w:tc>
        <w:tc>
          <w:tcPr>
            <w:tcW w:w="1151" w:type="dxa"/>
          </w:tcPr>
          <w:p w14:paraId="749D3916"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2014</w:t>
            </w:r>
          </w:p>
        </w:tc>
        <w:tc>
          <w:tcPr>
            <w:tcW w:w="1151" w:type="dxa"/>
          </w:tcPr>
          <w:p w14:paraId="022AE731"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2015</w:t>
            </w:r>
          </w:p>
        </w:tc>
        <w:tc>
          <w:tcPr>
            <w:tcW w:w="1151" w:type="dxa"/>
          </w:tcPr>
          <w:p w14:paraId="7D1E0FE1"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2016</w:t>
            </w:r>
          </w:p>
        </w:tc>
        <w:tc>
          <w:tcPr>
            <w:tcW w:w="1106" w:type="dxa"/>
          </w:tcPr>
          <w:p w14:paraId="7CFB5A06"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2017</w:t>
            </w:r>
          </w:p>
        </w:tc>
      </w:tr>
      <w:tr w:rsidR="002245D5" w:rsidRPr="0082342D" w14:paraId="62B41027" w14:textId="77777777" w:rsidTr="002245D5">
        <w:tc>
          <w:tcPr>
            <w:tcW w:w="2755" w:type="dxa"/>
          </w:tcPr>
          <w:p w14:paraId="65580E96"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Объем торгов ИЦБ, млн долл./день</w:t>
            </w:r>
          </w:p>
        </w:tc>
        <w:tc>
          <w:tcPr>
            <w:tcW w:w="1151" w:type="dxa"/>
            <w:vAlign w:val="center"/>
          </w:tcPr>
          <w:p w14:paraId="58F1344E"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295592,66</w:t>
            </w:r>
          </w:p>
        </w:tc>
        <w:tc>
          <w:tcPr>
            <w:tcW w:w="1151" w:type="dxa"/>
            <w:vAlign w:val="center"/>
          </w:tcPr>
          <w:p w14:paraId="6C5DEF8C"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238443,83</w:t>
            </w:r>
          </w:p>
        </w:tc>
        <w:tc>
          <w:tcPr>
            <w:tcW w:w="1151" w:type="dxa"/>
            <w:vAlign w:val="center"/>
          </w:tcPr>
          <w:p w14:paraId="0E00C5EC"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194544,39</w:t>
            </w:r>
          </w:p>
        </w:tc>
        <w:tc>
          <w:tcPr>
            <w:tcW w:w="1151" w:type="dxa"/>
            <w:vAlign w:val="center"/>
          </w:tcPr>
          <w:p w14:paraId="1590A899"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198009,55</w:t>
            </w:r>
          </w:p>
        </w:tc>
        <w:tc>
          <w:tcPr>
            <w:tcW w:w="1151" w:type="dxa"/>
            <w:vAlign w:val="center"/>
          </w:tcPr>
          <w:p w14:paraId="49C034E7"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215733,05</w:t>
            </w:r>
          </w:p>
        </w:tc>
        <w:tc>
          <w:tcPr>
            <w:tcW w:w="1106" w:type="dxa"/>
            <w:vAlign w:val="center"/>
          </w:tcPr>
          <w:p w14:paraId="26F6A5D6"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214929,2</w:t>
            </w:r>
          </w:p>
        </w:tc>
      </w:tr>
    </w:tbl>
    <w:p w14:paraId="2D846911" w14:textId="77777777" w:rsidR="002245D5" w:rsidRPr="0082342D" w:rsidRDefault="002245D5" w:rsidP="000871A2">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Источник: составлено автором по [7]</w:t>
      </w:r>
    </w:p>
    <w:p w14:paraId="62EBF3C5" w14:textId="77777777" w:rsidR="006D6C94" w:rsidRPr="0082342D" w:rsidRDefault="006D6C94" w:rsidP="002245D5">
      <w:pPr>
        <w:spacing w:after="0" w:line="240" w:lineRule="auto"/>
        <w:ind w:firstLine="708"/>
        <w:jc w:val="both"/>
        <w:rPr>
          <w:rFonts w:ascii="Times New Roman" w:hAnsi="Times New Roman" w:cs="Times New Roman"/>
          <w:color w:val="000000" w:themeColor="text1"/>
          <w:sz w:val="24"/>
          <w:szCs w:val="24"/>
        </w:rPr>
      </w:pPr>
    </w:p>
    <w:p w14:paraId="6FF373AD" w14:textId="77777777" w:rsidR="002245D5" w:rsidRPr="0082342D" w:rsidRDefault="002245D5" w:rsidP="002245D5">
      <w:pPr>
        <w:spacing w:after="0" w:line="240" w:lineRule="auto"/>
        <w:ind w:firstLine="708"/>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Как было упомянуто ранее, по мере развития ипотечной секьюритизации рейтинг заемщика стал далеко не самым важным параметром при выдаче займа банками. Поэтому они выдавали ипотечные кредиты, не предъявляя серьезных требований. Ввиду этого появлялось все больше людей, не обладающих серьезным капиталом, но желающих заработать на росте цены недвижимости, что только подтолкнуло рост объемов субстандартного кредитования при условии, что рейтинг ценных бумаг, обеспеченных такими кредитами, чаще всего был на уровне ААА. В итоге, позже рейтинговые агентства были вынуждены понизить рейтинг ранее «идеальных» инвестиционных инструментов (табл. 2).</w:t>
      </w:r>
    </w:p>
    <w:p w14:paraId="4359548A" w14:textId="77777777" w:rsidR="002245D5" w:rsidRPr="0082342D" w:rsidRDefault="002245D5" w:rsidP="002245D5">
      <w:pPr>
        <w:spacing w:after="0" w:line="240" w:lineRule="auto"/>
        <w:jc w:val="right"/>
        <w:rPr>
          <w:rFonts w:ascii="Times New Roman" w:hAnsi="Times New Roman" w:cs="Times New Roman"/>
          <w:i/>
          <w:color w:val="000000" w:themeColor="text1"/>
          <w:sz w:val="24"/>
          <w:szCs w:val="24"/>
        </w:rPr>
      </w:pPr>
      <w:r w:rsidRPr="0082342D">
        <w:rPr>
          <w:rFonts w:ascii="Times New Roman" w:hAnsi="Times New Roman" w:cs="Times New Roman"/>
          <w:i/>
          <w:color w:val="000000" w:themeColor="text1"/>
          <w:sz w:val="24"/>
          <w:szCs w:val="24"/>
        </w:rPr>
        <w:t>Таблица 2</w:t>
      </w:r>
    </w:p>
    <w:p w14:paraId="2904AFFE" w14:textId="77777777" w:rsidR="002245D5" w:rsidRPr="0082342D" w:rsidRDefault="002245D5" w:rsidP="002245D5">
      <w:pPr>
        <w:spacing w:after="0" w:line="240" w:lineRule="auto"/>
        <w:jc w:val="center"/>
        <w:rPr>
          <w:rFonts w:ascii="Times New Roman" w:hAnsi="Times New Roman" w:cs="Times New Roman"/>
          <w:b/>
          <w:color w:val="000000" w:themeColor="text1"/>
          <w:sz w:val="24"/>
          <w:szCs w:val="24"/>
        </w:rPr>
      </w:pPr>
      <w:r w:rsidRPr="0082342D">
        <w:rPr>
          <w:rFonts w:ascii="Times New Roman" w:hAnsi="Times New Roman" w:cs="Times New Roman"/>
          <w:b/>
          <w:color w:val="000000" w:themeColor="text1"/>
          <w:sz w:val="24"/>
          <w:szCs w:val="24"/>
        </w:rPr>
        <w:t>Объем находящихся в обращении в 2017 году ИЦБ США по рейтингу, млрд долл.</w:t>
      </w:r>
    </w:p>
    <w:p w14:paraId="6D98A12B" w14:textId="77777777" w:rsidR="000871A2" w:rsidRPr="0082342D" w:rsidRDefault="000871A2" w:rsidP="002245D5">
      <w:pPr>
        <w:spacing w:after="0" w:line="240" w:lineRule="auto"/>
        <w:jc w:val="center"/>
        <w:rPr>
          <w:rFonts w:ascii="Times New Roman" w:hAnsi="Times New Roman" w:cs="Times New Roman"/>
          <w:b/>
          <w:color w:val="000000" w:themeColor="text1"/>
          <w:sz w:val="24"/>
          <w:szCs w:val="24"/>
        </w:rPr>
      </w:pPr>
    </w:p>
    <w:tbl>
      <w:tblPr>
        <w:tblStyle w:val="a3"/>
        <w:tblW w:w="9658" w:type="dxa"/>
        <w:tblLook w:val="04A0" w:firstRow="1" w:lastRow="0" w:firstColumn="1" w:lastColumn="0" w:noHBand="0" w:noVBand="1"/>
      </w:tblPr>
      <w:tblGrid>
        <w:gridCol w:w="2431"/>
        <w:gridCol w:w="2409"/>
        <w:gridCol w:w="2409"/>
        <w:gridCol w:w="2409"/>
      </w:tblGrid>
      <w:tr w:rsidR="002245D5" w:rsidRPr="0082342D" w14:paraId="5230EA8D" w14:textId="77777777" w:rsidTr="002245D5">
        <w:trPr>
          <w:trHeight w:val="373"/>
        </w:trPr>
        <w:tc>
          <w:tcPr>
            <w:tcW w:w="2431" w:type="dxa"/>
          </w:tcPr>
          <w:p w14:paraId="0BA97C03" w14:textId="77777777" w:rsidR="002245D5" w:rsidRPr="0082342D" w:rsidRDefault="002245D5" w:rsidP="002245D5">
            <w:pPr>
              <w:spacing w:before="120"/>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Рейтинг</w:t>
            </w:r>
          </w:p>
        </w:tc>
        <w:tc>
          <w:tcPr>
            <w:tcW w:w="2409" w:type="dxa"/>
          </w:tcPr>
          <w:p w14:paraId="392417E6"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CMBS</w:t>
            </w:r>
          </w:p>
        </w:tc>
        <w:tc>
          <w:tcPr>
            <w:tcW w:w="2409" w:type="dxa"/>
          </w:tcPr>
          <w:p w14:paraId="128190CC"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RMBS</w:t>
            </w:r>
          </w:p>
        </w:tc>
        <w:tc>
          <w:tcPr>
            <w:tcW w:w="2409" w:type="dxa"/>
          </w:tcPr>
          <w:p w14:paraId="027C7D9A"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Итого</w:t>
            </w:r>
          </w:p>
        </w:tc>
      </w:tr>
      <w:tr w:rsidR="002245D5" w:rsidRPr="0082342D" w14:paraId="660A21C7" w14:textId="77777777" w:rsidTr="002245D5">
        <w:trPr>
          <w:trHeight w:val="373"/>
        </w:trPr>
        <w:tc>
          <w:tcPr>
            <w:tcW w:w="2431" w:type="dxa"/>
            <w:vAlign w:val="bottom"/>
          </w:tcPr>
          <w:p w14:paraId="3B05C489" w14:textId="77777777" w:rsidR="002245D5" w:rsidRPr="0082342D" w:rsidRDefault="002245D5" w:rsidP="002245D5">
            <w:pP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Aaa\AAA - A\A</w:t>
            </w:r>
          </w:p>
        </w:tc>
        <w:tc>
          <w:tcPr>
            <w:tcW w:w="2409" w:type="dxa"/>
            <w:vAlign w:val="bottom"/>
          </w:tcPr>
          <w:p w14:paraId="7807087E" w14:textId="77777777" w:rsidR="002245D5" w:rsidRPr="0082342D" w:rsidRDefault="002245D5" w:rsidP="002245D5">
            <w:pPr>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357</w:t>
            </w:r>
          </w:p>
        </w:tc>
        <w:tc>
          <w:tcPr>
            <w:tcW w:w="2409" w:type="dxa"/>
            <w:vAlign w:val="center"/>
          </w:tcPr>
          <w:p w14:paraId="73D68594" w14:textId="77777777" w:rsidR="002245D5" w:rsidRPr="0082342D" w:rsidRDefault="002245D5" w:rsidP="002245D5">
            <w:pPr>
              <w:spacing w:before="120"/>
              <w:jc w:val="center"/>
              <w:rPr>
                <w:rFonts w:ascii="Times New Roman" w:hAnsi="Times New Roman" w:cs="Times New Roman"/>
                <w:color w:val="000000" w:themeColor="text1"/>
                <w:sz w:val="24"/>
                <w:szCs w:val="24"/>
                <w:lang w:val="en-US"/>
              </w:rPr>
            </w:pPr>
            <w:r w:rsidRPr="0082342D">
              <w:rPr>
                <w:rFonts w:ascii="Times New Roman" w:eastAsia="Times New Roman" w:hAnsi="Times New Roman" w:cs="Times New Roman"/>
                <w:color w:val="000000" w:themeColor="text1"/>
                <w:sz w:val="24"/>
                <w:szCs w:val="24"/>
                <w:lang w:val="en-US" w:eastAsia="ru-RU"/>
              </w:rPr>
              <w:t>98,8</w:t>
            </w:r>
          </w:p>
        </w:tc>
        <w:tc>
          <w:tcPr>
            <w:tcW w:w="2409" w:type="dxa"/>
            <w:vAlign w:val="center"/>
          </w:tcPr>
          <w:p w14:paraId="42C5D025"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lang w:eastAsia="ru-RU"/>
              </w:rPr>
              <w:t>455,8</w:t>
            </w:r>
          </w:p>
        </w:tc>
      </w:tr>
      <w:tr w:rsidR="002245D5" w:rsidRPr="0082342D" w14:paraId="4F9CB75C" w14:textId="77777777" w:rsidTr="002245D5">
        <w:trPr>
          <w:trHeight w:val="373"/>
        </w:trPr>
        <w:tc>
          <w:tcPr>
            <w:tcW w:w="2431" w:type="dxa"/>
            <w:vAlign w:val="bottom"/>
          </w:tcPr>
          <w:p w14:paraId="5074772C" w14:textId="77777777" w:rsidR="002245D5" w:rsidRPr="0082342D" w:rsidRDefault="002245D5" w:rsidP="002245D5">
            <w:pP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Baa\BBB - B\B</w:t>
            </w:r>
          </w:p>
        </w:tc>
        <w:tc>
          <w:tcPr>
            <w:tcW w:w="2409" w:type="dxa"/>
            <w:vAlign w:val="bottom"/>
          </w:tcPr>
          <w:p w14:paraId="46DE38F6"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65</w:t>
            </w:r>
          </w:p>
        </w:tc>
        <w:tc>
          <w:tcPr>
            <w:tcW w:w="2409" w:type="dxa"/>
            <w:vAlign w:val="center"/>
          </w:tcPr>
          <w:p w14:paraId="781EA6ED"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lang w:eastAsia="ru-RU"/>
              </w:rPr>
              <w:t>105,1</w:t>
            </w:r>
          </w:p>
        </w:tc>
        <w:tc>
          <w:tcPr>
            <w:tcW w:w="2409" w:type="dxa"/>
            <w:vAlign w:val="center"/>
          </w:tcPr>
          <w:p w14:paraId="5DF09228"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lang w:eastAsia="ru-RU"/>
              </w:rPr>
              <w:t>170,1</w:t>
            </w:r>
          </w:p>
        </w:tc>
      </w:tr>
      <w:tr w:rsidR="002245D5" w:rsidRPr="0082342D" w14:paraId="62EF2E6E" w14:textId="77777777" w:rsidTr="002245D5">
        <w:trPr>
          <w:trHeight w:val="373"/>
        </w:trPr>
        <w:tc>
          <w:tcPr>
            <w:tcW w:w="2431" w:type="dxa"/>
            <w:vAlign w:val="bottom"/>
          </w:tcPr>
          <w:p w14:paraId="69644D6C" w14:textId="77777777" w:rsidR="002245D5" w:rsidRPr="0082342D" w:rsidRDefault="002245D5" w:rsidP="002245D5">
            <w:pP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 xml:space="preserve">Caa\CCC </w:t>
            </w:r>
            <w:r w:rsidRPr="0082342D">
              <w:rPr>
                <w:rFonts w:ascii="Times New Roman" w:hAnsi="Times New Roman" w:cs="Times New Roman"/>
                <w:color w:val="000000" w:themeColor="text1"/>
                <w:sz w:val="24"/>
                <w:szCs w:val="24"/>
              </w:rPr>
              <w:t>и</w:t>
            </w:r>
            <w:r w:rsidRPr="0082342D">
              <w:rPr>
                <w:rFonts w:ascii="Times New Roman" w:hAnsi="Times New Roman" w:cs="Times New Roman"/>
                <w:color w:val="000000" w:themeColor="text1"/>
                <w:sz w:val="24"/>
                <w:szCs w:val="24"/>
                <w:lang w:val="en-US"/>
              </w:rPr>
              <w:t xml:space="preserve"> </w:t>
            </w:r>
            <w:r w:rsidRPr="0082342D">
              <w:rPr>
                <w:rFonts w:ascii="Times New Roman" w:hAnsi="Times New Roman" w:cs="Times New Roman"/>
                <w:color w:val="000000" w:themeColor="text1"/>
                <w:sz w:val="24"/>
                <w:szCs w:val="24"/>
              </w:rPr>
              <w:t>ниже</w:t>
            </w:r>
          </w:p>
        </w:tc>
        <w:tc>
          <w:tcPr>
            <w:tcW w:w="2409" w:type="dxa"/>
            <w:vAlign w:val="bottom"/>
          </w:tcPr>
          <w:p w14:paraId="0ADB6148" w14:textId="77777777" w:rsidR="002245D5" w:rsidRPr="0082342D" w:rsidRDefault="002245D5" w:rsidP="002245D5">
            <w:pPr>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26,9</w:t>
            </w:r>
          </w:p>
        </w:tc>
        <w:tc>
          <w:tcPr>
            <w:tcW w:w="2409" w:type="dxa"/>
            <w:vAlign w:val="center"/>
          </w:tcPr>
          <w:p w14:paraId="1F5122E9" w14:textId="77777777" w:rsidR="002245D5" w:rsidRPr="0082342D" w:rsidRDefault="002245D5" w:rsidP="002245D5">
            <w:pPr>
              <w:spacing w:before="120"/>
              <w:jc w:val="center"/>
              <w:rPr>
                <w:rFonts w:ascii="Times New Roman" w:hAnsi="Times New Roman" w:cs="Times New Roman"/>
                <w:color w:val="000000" w:themeColor="text1"/>
                <w:sz w:val="24"/>
                <w:szCs w:val="24"/>
                <w:lang w:val="en-US"/>
              </w:rPr>
            </w:pPr>
            <w:r w:rsidRPr="0082342D">
              <w:rPr>
                <w:rFonts w:ascii="Times New Roman" w:eastAsia="Times New Roman" w:hAnsi="Times New Roman" w:cs="Times New Roman"/>
                <w:color w:val="000000" w:themeColor="text1"/>
                <w:sz w:val="24"/>
                <w:szCs w:val="24"/>
                <w:lang w:val="en-US" w:eastAsia="ru-RU"/>
              </w:rPr>
              <w:t>382,2</w:t>
            </w:r>
          </w:p>
        </w:tc>
        <w:tc>
          <w:tcPr>
            <w:tcW w:w="2409" w:type="dxa"/>
            <w:vAlign w:val="center"/>
          </w:tcPr>
          <w:p w14:paraId="3E6343D8" w14:textId="77777777" w:rsidR="002245D5" w:rsidRPr="0082342D" w:rsidRDefault="002245D5" w:rsidP="002245D5">
            <w:pPr>
              <w:spacing w:before="120"/>
              <w:jc w:val="center"/>
              <w:rPr>
                <w:rFonts w:ascii="Times New Roman" w:hAnsi="Times New Roman" w:cs="Times New Roman"/>
                <w:color w:val="000000" w:themeColor="text1"/>
                <w:sz w:val="24"/>
                <w:szCs w:val="24"/>
                <w:lang w:val="en-US"/>
              </w:rPr>
            </w:pPr>
            <w:r w:rsidRPr="0082342D">
              <w:rPr>
                <w:rFonts w:ascii="Times New Roman" w:eastAsia="Times New Roman" w:hAnsi="Times New Roman" w:cs="Times New Roman"/>
                <w:color w:val="000000" w:themeColor="text1"/>
                <w:sz w:val="24"/>
                <w:szCs w:val="24"/>
                <w:lang w:val="en-US" w:eastAsia="ru-RU"/>
              </w:rPr>
              <w:t>409,1</w:t>
            </w:r>
          </w:p>
        </w:tc>
      </w:tr>
      <w:tr w:rsidR="002245D5" w:rsidRPr="0082342D" w14:paraId="5C985A24" w14:textId="77777777" w:rsidTr="002245D5">
        <w:trPr>
          <w:trHeight w:val="373"/>
        </w:trPr>
        <w:tc>
          <w:tcPr>
            <w:tcW w:w="2431" w:type="dxa"/>
            <w:vAlign w:val="bottom"/>
          </w:tcPr>
          <w:p w14:paraId="6F04A033" w14:textId="77777777" w:rsidR="002245D5" w:rsidRPr="0082342D" w:rsidRDefault="002245D5" w:rsidP="002245D5">
            <w:pP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lastRenderedPageBreak/>
              <w:t>Нет данных</w:t>
            </w:r>
          </w:p>
        </w:tc>
        <w:tc>
          <w:tcPr>
            <w:tcW w:w="2409" w:type="dxa"/>
            <w:vAlign w:val="bottom"/>
          </w:tcPr>
          <w:p w14:paraId="594FA9C0"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58,9</w:t>
            </w:r>
          </w:p>
        </w:tc>
        <w:tc>
          <w:tcPr>
            <w:tcW w:w="2409" w:type="dxa"/>
            <w:vAlign w:val="center"/>
          </w:tcPr>
          <w:p w14:paraId="470EF750"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196,1</w:t>
            </w:r>
          </w:p>
        </w:tc>
        <w:tc>
          <w:tcPr>
            <w:tcW w:w="2409" w:type="dxa"/>
            <w:vAlign w:val="center"/>
          </w:tcPr>
          <w:p w14:paraId="0E15DE04"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254,9</w:t>
            </w:r>
          </w:p>
        </w:tc>
      </w:tr>
      <w:tr w:rsidR="002245D5" w:rsidRPr="0082342D" w14:paraId="2DD56246" w14:textId="77777777" w:rsidTr="002245D5">
        <w:trPr>
          <w:trHeight w:val="373"/>
        </w:trPr>
        <w:tc>
          <w:tcPr>
            <w:tcW w:w="2431" w:type="dxa"/>
            <w:vAlign w:val="bottom"/>
          </w:tcPr>
          <w:p w14:paraId="1E64AC34" w14:textId="77777777" w:rsidR="002245D5" w:rsidRPr="0082342D" w:rsidRDefault="002245D5" w:rsidP="002245D5">
            <w:pP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Итого</w:t>
            </w:r>
          </w:p>
        </w:tc>
        <w:tc>
          <w:tcPr>
            <w:tcW w:w="2409" w:type="dxa"/>
            <w:vAlign w:val="bottom"/>
          </w:tcPr>
          <w:p w14:paraId="35B1D8CA" w14:textId="77777777" w:rsidR="002245D5" w:rsidRPr="0082342D" w:rsidRDefault="002245D5" w:rsidP="002245D5">
            <w:pPr>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507,7</w:t>
            </w:r>
          </w:p>
        </w:tc>
        <w:tc>
          <w:tcPr>
            <w:tcW w:w="2409" w:type="dxa"/>
            <w:vAlign w:val="center"/>
          </w:tcPr>
          <w:p w14:paraId="6C539066"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782,2</w:t>
            </w:r>
          </w:p>
        </w:tc>
        <w:tc>
          <w:tcPr>
            <w:tcW w:w="2409" w:type="dxa"/>
            <w:vAlign w:val="center"/>
          </w:tcPr>
          <w:p w14:paraId="7242A14B" w14:textId="77777777" w:rsidR="002245D5" w:rsidRPr="0082342D" w:rsidRDefault="002245D5" w:rsidP="002245D5">
            <w:pPr>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1289,9</w:t>
            </w:r>
          </w:p>
        </w:tc>
      </w:tr>
    </w:tbl>
    <w:p w14:paraId="40F254E2"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Источник: составлено автором по [5]</w:t>
      </w:r>
    </w:p>
    <w:p w14:paraId="2946DB82" w14:textId="77777777" w:rsidR="000871A2" w:rsidRPr="0082342D" w:rsidRDefault="000871A2" w:rsidP="002245D5">
      <w:pPr>
        <w:spacing w:after="0" w:line="240" w:lineRule="auto"/>
        <w:ind w:firstLine="709"/>
        <w:jc w:val="both"/>
        <w:rPr>
          <w:rFonts w:ascii="Times New Roman" w:hAnsi="Times New Roman" w:cs="Times New Roman"/>
          <w:color w:val="000000" w:themeColor="text1"/>
          <w:sz w:val="24"/>
          <w:szCs w:val="24"/>
        </w:rPr>
      </w:pPr>
    </w:p>
    <w:p w14:paraId="61FEAFC6"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Таким образом, по состоянию на 2017 год, пониженные в рейтинге ипотечные ценные бумаги обладают весомой долей среди остальных, причем формируют ее ценные бумаги, обеспеченные жилищной ипотекой. Однако судить о качестве эмитируемых в настоящее время ИЦБ стоит по отчетам Ассоциации участников фондового и других финансовых рынков, в которых заметна преобладающая доля высокорейтинговых (Aaa\AAA) ипотечных ценных бумаг [6]. </w:t>
      </w:r>
    </w:p>
    <w:p w14:paraId="4F2BA835" w14:textId="77777777" w:rsidR="002245D5" w:rsidRPr="0082342D" w:rsidRDefault="002245D5" w:rsidP="002245D5">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После мирового финансово-экономического кризиса в целях снижения долгосрочных ставок ФРС США с 2009 года осуществляла покупку ИЦБ, быстрыми темпами наращивая их долю в балансе. Но в 1 квартале 2018 произошли значимые изменения. Как видно из графика объема ИЦБ на балансе (рис. 4), в 2017 серьезного прироста (за исключением 1 квартала) не наблюдалось, а в начале 2018 ФРС ввиду восстановления роста экономики начала осуществлять частичные продажи. В случае продолжения данной тенденции рынок ипотечных ценных бумаг, вероятно, войдет в новую стадию своего развития. </w:t>
      </w:r>
    </w:p>
    <w:p w14:paraId="5997CC1D" w14:textId="77777777" w:rsidR="000871A2" w:rsidRPr="0082342D" w:rsidRDefault="000871A2" w:rsidP="002245D5">
      <w:pPr>
        <w:spacing w:before="120" w:line="240" w:lineRule="auto"/>
        <w:jc w:val="center"/>
        <w:rPr>
          <w:rFonts w:ascii="Times New Roman" w:hAnsi="Times New Roman" w:cs="Times New Roman"/>
          <w:color w:val="000000" w:themeColor="text1"/>
          <w:sz w:val="24"/>
          <w:szCs w:val="24"/>
        </w:rPr>
      </w:pPr>
    </w:p>
    <w:p w14:paraId="110FFD37" w14:textId="77777777" w:rsidR="002245D5" w:rsidRPr="0082342D" w:rsidRDefault="002245D5" w:rsidP="002245D5">
      <w:pPr>
        <w:spacing w:before="120" w:line="240" w:lineRule="auto"/>
        <w:jc w:val="center"/>
        <w:rPr>
          <w:rFonts w:ascii="Times New Roman" w:hAnsi="Times New Roman" w:cs="Times New Roman"/>
          <w:color w:val="000000" w:themeColor="text1"/>
          <w:sz w:val="24"/>
          <w:szCs w:val="24"/>
        </w:rPr>
      </w:pPr>
      <w:r w:rsidRPr="0082342D">
        <w:rPr>
          <w:rFonts w:ascii="Times New Roman" w:hAnsi="Times New Roman" w:cs="Times New Roman"/>
          <w:noProof/>
          <w:color w:val="000000" w:themeColor="text1"/>
          <w:sz w:val="24"/>
          <w:szCs w:val="24"/>
          <w:lang w:eastAsia="ru-RU"/>
        </w:rPr>
        <w:drawing>
          <wp:inline distT="0" distB="0" distL="0" distR="0" wp14:anchorId="6BAE1F79" wp14:editId="07777777">
            <wp:extent cx="4362450" cy="22098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2E2094" w14:textId="77777777" w:rsidR="002245D5" w:rsidRPr="0082342D" w:rsidRDefault="002245D5" w:rsidP="002245D5">
      <w:pPr>
        <w:spacing w:after="0" w:line="240" w:lineRule="auto"/>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Рис. 4. Объем ипотечных ценных бумаг на балансе ФРС, млн долл. </w:t>
      </w:r>
    </w:p>
    <w:p w14:paraId="23223EC9" w14:textId="77777777" w:rsidR="002245D5" w:rsidRPr="0082342D" w:rsidRDefault="002245D5" w:rsidP="002245D5">
      <w:pPr>
        <w:spacing w:after="0" w:line="240" w:lineRule="auto"/>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Источник: составлено автором по [4]</w:t>
      </w:r>
    </w:p>
    <w:p w14:paraId="6B699379" w14:textId="77777777" w:rsidR="000871A2" w:rsidRPr="0082342D" w:rsidRDefault="002245D5" w:rsidP="002245D5">
      <w:pPr>
        <w:spacing w:after="0" w:line="240" w:lineRule="auto"/>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ab/>
      </w:r>
    </w:p>
    <w:p w14:paraId="6FA81923" w14:textId="77777777" w:rsidR="002245D5" w:rsidRPr="0082342D" w:rsidRDefault="002245D5" w:rsidP="000871A2">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Развитие ипотечных ценных бумаг за рубежом – сложный и неоднозначный процесс. Однако используя зарубежный опыт, можно сделать важный вывод о рисках и возможностях как ИЦБ, так и секьюритизации в целом. Для России развитие рынка ценных бумаг, обеспеченных ипотечными займами, – возможность создания выгодных условий ипотечного кредитования. Так, за счет выпуска ИЦБ ставки по ипотеке будут постепенно снижаться. Стоит отметить, что в 2017 году наблюдается положительная динамика роста объемов сделок по секьюритизации ипотечных кредитов (рис. 5), хотя уровень 2014 года пока не достигнут, а крупный объем в 2017 был в основном обеспечен двумя сделками по выпуску от ВТБ и Сбербанка.  </w:t>
      </w:r>
    </w:p>
    <w:p w14:paraId="3FE9F23F" w14:textId="77777777" w:rsidR="000871A2" w:rsidRPr="0082342D" w:rsidRDefault="000871A2" w:rsidP="002245D5">
      <w:pPr>
        <w:spacing w:before="120" w:line="240" w:lineRule="auto"/>
        <w:jc w:val="center"/>
        <w:rPr>
          <w:rFonts w:ascii="Times New Roman" w:hAnsi="Times New Roman" w:cs="Times New Roman"/>
          <w:color w:val="000000" w:themeColor="text1"/>
          <w:sz w:val="24"/>
          <w:szCs w:val="24"/>
        </w:rPr>
      </w:pPr>
    </w:p>
    <w:p w14:paraId="1F72F646" w14:textId="77777777" w:rsidR="002245D5" w:rsidRPr="0082342D" w:rsidRDefault="002245D5" w:rsidP="002245D5">
      <w:pPr>
        <w:spacing w:before="120" w:line="240" w:lineRule="auto"/>
        <w:jc w:val="center"/>
        <w:rPr>
          <w:rFonts w:ascii="Times New Roman" w:hAnsi="Times New Roman" w:cs="Times New Roman"/>
          <w:color w:val="000000" w:themeColor="text1"/>
          <w:sz w:val="24"/>
          <w:szCs w:val="24"/>
        </w:rPr>
      </w:pPr>
      <w:r w:rsidRPr="0082342D">
        <w:rPr>
          <w:rFonts w:ascii="Times New Roman" w:hAnsi="Times New Roman" w:cs="Times New Roman"/>
          <w:noProof/>
          <w:color w:val="000000" w:themeColor="text1"/>
          <w:sz w:val="24"/>
          <w:szCs w:val="24"/>
          <w:lang w:eastAsia="ru-RU"/>
        </w:rPr>
        <w:lastRenderedPageBreak/>
        <w:drawing>
          <wp:inline distT="0" distB="0" distL="0" distR="0" wp14:anchorId="380C9AF0" wp14:editId="07777777">
            <wp:extent cx="4248150" cy="22860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E1487D8" w14:textId="77777777" w:rsidR="002245D5" w:rsidRPr="0082342D" w:rsidRDefault="002245D5" w:rsidP="002245D5">
      <w:pPr>
        <w:spacing w:after="0" w:line="240" w:lineRule="auto"/>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Рис. 5. Выпуск ипотечных ценных бумаг в России, млн руб. </w:t>
      </w:r>
    </w:p>
    <w:p w14:paraId="61AF4CBA" w14:textId="77777777" w:rsidR="002245D5" w:rsidRPr="0082342D" w:rsidRDefault="002245D5" w:rsidP="002245D5">
      <w:pPr>
        <w:spacing w:after="0" w:line="240" w:lineRule="auto"/>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Источник: составлено автором по [2]</w:t>
      </w:r>
    </w:p>
    <w:p w14:paraId="0DFAE634" w14:textId="77777777" w:rsidR="000871A2" w:rsidRPr="0082342D" w:rsidRDefault="002245D5" w:rsidP="002245D5">
      <w:pPr>
        <w:tabs>
          <w:tab w:val="left" w:pos="804"/>
        </w:tabs>
        <w:spacing w:after="0" w:line="240" w:lineRule="auto"/>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rPr>
        <w:tab/>
      </w:r>
    </w:p>
    <w:p w14:paraId="5BC51E84" w14:textId="77777777" w:rsidR="002245D5" w:rsidRPr="0082342D" w:rsidRDefault="002245D5" w:rsidP="002245D5">
      <w:pPr>
        <w:tabs>
          <w:tab w:val="left" w:pos="804"/>
        </w:tabs>
        <w:spacing w:after="0" w:line="240" w:lineRule="auto"/>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Также, в процессе секьюритизации очень важно правильно оценивать риски и присваивать ценным бумагам рейтинг, отражающий реальную ситуацию. В таблице 3 представлено сопоставление некоторых кредитных рейтингов крупнейших международных и отечественных рейтинговых агентств. </w:t>
      </w:r>
    </w:p>
    <w:p w14:paraId="49DD7946" w14:textId="77777777" w:rsidR="002245D5" w:rsidRPr="0082342D" w:rsidRDefault="002245D5" w:rsidP="002245D5">
      <w:pPr>
        <w:tabs>
          <w:tab w:val="left" w:pos="804"/>
        </w:tabs>
        <w:spacing w:after="0" w:line="240" w:lineRule="auto"/>
        <w:jc w:val="right"/>
        <w:rPr>
          <w:rFonts w:ascii="Times New Roman" w:hAnsi="Times New Roman" w:cs="Times New Roman"/>
          <w:i/>
          <w:color w:val="000000" w:themeColor="text1"/>
          <w:sz w:val="24"/>
          <w:szCs w:val="24"/>
        </w:rPr>
      </w:pPr>
      <w:r w:rsidRPr="0082342D">
        <w:rPr>
          <w:rFonts w:ascii="Times New Roman" w:hAnsi="Times New Roman" w:cs="Times New Roman"/>
          <w:i/>
          <w:color w:val="000000" w:themeColor="text1"/>
          <w:sz w:val="24"/>
          <w:szCs w:val="24"/>
        </w:rPr>
        <w:t xml:space="preserve">Таблица 3 </w:t>
      </w:r>
    </w:p>
    <w:p w14:paraId="2215F219" w14:textId="77777777" w:rsidR="002245D5" w:rsidRPr="0082342D" w:rsidRDefault="002245D5" w:rsidP="002245D5">
      <w:pPr>
        <w:tabs>
          <w:tab w:val="left" w:pos="804"/>
        </w:tabs>
        <w:spacing w:after="0" w:line="240" w:lineRule="auto"/>
        <w:jc w:val="center"/>
        <w:rPr>
          <w:rFonts w:ascii="Times New Roman" w:hAnsi="Times New Roman" w:cs="Times New Roman"/>
          <w:b/>
          <w:color w:val="000000" w:themeColor="text1"/>
          <w:sz w:val="24"/>
          <w:szCs w:val="24"/>
        </w:rPr>
      </w:pPr>
      <w:r w:rsidRPr="0082342D">
        <w:rPr>
          <w:rFonts w:ascii="Times New Roman" w:hAnsi="Times New Roman" w:cs="Times New Roman"/>
          <w:b/>
          <w:color w:val="000000" w:themeColor="text1"/>
          <w:sz w:val="24"/>
          <w:szCs w:val="24"/>
        </w:rPr>
        <w:t xml:space="preserve">Сопоставление некоторых кредитных рейтингов различных агентств </w:t>
      </w:r>
    </w:p>
    <w:tbl>
      <w:tblPr>
        <w:tblStyle w:val="a3"/>
        <w:tblW w:w="9665" w:type="dxa"/>
        <w:tblLook w:val="04A0" w:firstRow="1" w:lastRow="0" w:firstColumn="1" w:lastColumn="0" w:noHBand="0" w:noVBand="1"/>
      </w:tblPr>
      <w:tblGrid>
        <w:gridCol w:w="1536"/>
        <w:gridCol w:w="1536"/>
        <w:gridCol w:w="1536"/>
        <w:gridCol w:w="1536"/>
        <w:gridCol w:w="1536"/>
        <w:gridCol w:w="1985"/>
      </w:tblGrid>
      <w:tr w:rsidR="002245D5" w:rsidRPr="0082342D" w14:paraId="6FDD3734" w14:textId="77777777" w:rsidTr="002245D5">
        <w:trPr>
          <w:trHeight w:val="318"/>
        </w:trPr>
        <w:tc>
          <w:tcPr>
            <w:tcW w:w="1536" w:type="dxa"/>
            <w:vAlign w:val="center"/>
          </w:tcPr>
          <w:p w14:paraId="414FBE92"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S</w:t>
            </w:r>
            <w:r w:rsidRPr="0082342D">
              <w:rPr>
                <w:rFonts w:ascii="Times New Roman" w:hAnsi="Times New Roman" w:cs="Times New Roman"/>
                <w:color w:val="000000" w:themeColor="text1"/>
                <w:sz w:val="24"/>
                <w:szCs w:val="24"/>
              </w:rPr>
              <w:t>&amp;</w:t>
            </w:r>
            <w:r w:rsidRPr="0082342D">
              <w:rPr>
                <w:rFonts w:ascii="Times New Roman" w:hAnsi="Times New Roman" w:cs="Times New Roman"/>
                <w:color w:val="000000" w:themeColor="text1"/>
                <w:sz w:val="24"/>
                <w:szCs w:val="24"/>
                <w:lang w:val="en-US"/>
              </w:rPr>
              <w:t>P</w:t>
            </w:r>
          </w:p>
        </w:tc>
        <w:tc>
          <w:tcPr>
            <w:tcW w:w="1536" w:type="dxa"/>
            <w:vAlign w:val="center"/>
          </w:tcPr>
          <w:p w14:paraId="5FF274AE"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Fitch</w:t>
            </w:r>
            <w:r w:rsidRPr="0082342D">
              <w:rPr>
                <w:rFonts w:ascii="Times New Roman" w:hAnsi="Times New Roman" w:cs="Times New Roman"/>
                <w:color w:val="000000" w:themeColor="text1"/>
                <w:sz w:val="24"/>
                <w:szCs w:val="24"/>
              </w:rPr>
              <w:t xml:space="preserve"> </w:t>
            </w:r>
            <w:r w:rsidRPr="0082342D">
              <w:rPr>
                <w:rFonts w:ascii="Times New Roman" w:hAnsi="Times New Roman" w:cs="Times New Roman"/>
                <w:color w:val="000000" w:themeColor="text1"/>
                <w:sz w:val="24"/>
                <w:szCs w:val="24"/>
                <w:lang w:val="en-US"/>
              </w:rPr>
              <w:t>Ratings</w:t>
            </w:r>
          </w:p>
        </w:tc>
        <w:tc>
          <w:tcPr>
            <w:tcW w:w="1536" w:type="dxa"/>
            <w:vAlign w:val="center"/>
          </w:tcPr>
          <w:p w14:paraId="739A8DC1"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Moody</w:t>
            </w:r>
            <w:r w:rsidRPr="0082342D">
              <w:rPr>
                <w:rFonts w:ascii="Times New Roman" w:hAnsi="Times New Roman" w:cs="Times New Roman"/>
                <w:color w:val="000000" w:themeColor="text1"/>
                <w:sz w:val="24"/>
                <w:szCs w:val="24"/>
              </w:rPr>
              <w:t>’</w:t>
            </w:r>
            <w:r w:rsidRPr="0082342D">
              <w:rPr>
                <w:rFonts w:ascii="Times New Roman" w:hAnsi="Times New Roman" w:cs="Times New Roman"/>
                <w:color w:val="000000" w:themeColor="text1"/>
                <w:sz w:val="24"/>
                <w:szCs w:val="24"/>
                <w:lang w:val="en-US"/>
              </w:rPr>
              <w:t>s</w:t>
            </w:r>
          </w:p>
        </w:tc>
        <w:tc>
          <w:tcPr>
            <w:tcW w:w="1536" w:type="dxa"/>
            <w:vAlign w:val="center"/>
          </w:tcPr>
          <w:p w14:paraId="2BA61804"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Эксперт РА</w:t>
            </w:r>
          </w:p>
        </w:tc>
        <w:tc>
          <w:tcPr>
            <w:tcW w:w="1536" w:type="dxa"/>
            <w:vAlign w:val="center"/>
          </w:tcPr>
          <w:p w14:paraId="4266568D"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АКРА</w:t>
            </w:r>
          </w:p>
        </w:tc>
        <w:tc>
          <w:tcPr>
            <w:tcW w:w="1985" w:type="dxa"/>
            <w:vAlign w:val="center"/>
          </w:tcPr>
          <w:p w14:paraId="0D073633"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Частота дефолтов</w:t>
            </w:r>
          </w:p>
        </w:tc>
      </w:tr>
      <w:tr w:rsidR="002245D5" w:rsidRPr="0082342D" w14:paraId="44B56289" w14:textId="77777777" w:rsidTr="002245D5">
        <w:trPr>
          <w:trHeight w:val="626"/>
        </w:trPr>
        <w:tc>
          <w:tcPr>
            <w:tcW w:w="1536" w:type="dxa"/>
            <w:vAlign w:val="center"/>
          </w:tcPr>
          <w:p w14:paraId="70BAA44E"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BBB</w:t>
            </w:r>
            <w:r w:rsidRPr="0082342D">
              <w:rPr>
                <w:rFonts w:ascii="Times New Roman" w:hAnsi="Times New Roman" w:cs="Times New Roman"/>
                <w:color w:val="000000" w:themeColor="text1"/>
                <w:sz w:val="24"/>
                <w:szCs w:val="24"/>
              </w:rPr>
              <w:t>- и выше</w:t>
            </w:r>
          </w:p>
        </w:tc>
        <w:tc>
          <w:tcPr>
            <w:tcW w:w="1536" w:type="dxa"/>
            <w:vAlign w:val="center"/>
          </w:tcPr>
          <w:p w14:paraId="3C10B7E9"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Baa</w:t>
            </w:r>
            <w:r w:rsidRPr="0082342D">
              <w:rPr>
                <w:rFonts w:ascii="Times New Roman" w:hAnsi="Times New Roman" w:cs="Times New Roman"/>
                <w:color w:val="000000" w:themeColor="text1"/>
                <w:sz w:val="24"/>
                <w:szCs w:val="24"/>
              </w:rPr>
              <w:t>3 и выше</w:t>
            </w:r>
          </w:p>
        </w:tc>
        <w:tc>
          <w:tcPr>
            <w:tcW w:w="1536" w:type="dxa"/>
            <w:vAlign w:val="center"/>
          </w:tcPr>
          <w:p w14:paraId="307152B4"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 xml:space="preserve">Baa3 </w:t>
            </w:r>
            <w:r w:rsidRPr="0082342D">
              <w:rPr>
                <w:rFonts w:ascii="Times New Roman" w:hAnsi="Times New Roman" w:cs="Times New Roman"/>
                <w:color w:val="000000" w:themeColor="text1"/>
                <w:sz w:val="24"/>
                <w:szCs w:val="24"/>
              </w:rPr>
              <w:t>и выше</w:t>
            </w:r>
          </w:p>
        </w:tc>
        <w:tc>
          <w:tcPr>
            <w:tcW w:w="1536" w:type="dxa"/>
            <w:vAlign w:val="center"/>
          </w:tcPr>
          <w:p w14:paraId="23FE5620"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ruAAA</w:t>
            </w:r>
          </w:p>
        </w:tc>
        <w:tc>
          <w:tcPr>
            <w:tcW w:w="1536" w:type="dxa"/>
            <w:vAlign w:val="center"/>
          </w:tcPr>
          <w:p w14:paraId="22176CFC"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AAA(RU)</w:t>
            </w:r>
          </w:p>
        </w:tc>
        <w:tc>
          <w:tcPr>
            <w:tcW w:w="1985" w:type="dxa"/>
            <w:vAlign w:val="center"/>
          </w:tcPr>
          <w:p w14:paraId="78D9000A"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0%-0,3%</w:t>
            </w:r>
          </w:p>
        </w:tc>
      </w:tr>
      <w:tr w:rsidR="002245D5" w:rsidRPr="0082342D" w14:paraId="2F5DE259" w14:textId="77777777" w:rsidTr="002245D5">
        <w:trPr>
          <w:trHeight w:val="626"/>
        </w:trPr>
        <w:tc>
          <w:tcPr>
            <w:tcW w:w="1536" w:type="dxa"/>
            <w:vAlign w:val="center"/>
          </w:tcPr>
          <w:p w14:paraId="183AE76B"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BB+</w:t>
            </w:r>
          </w:p>
        </w:tc>
        <w:tc>
          <w:tcPr>
            <w:tcW w:w="1536" w:type="dxa"/>
            <w:vAlign w:val="center"/>
          </w:tcPr>
          <w:p w14:paraId="074E487E"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BB+</w:t>
            </w:r>
          </w:p>
        </w:tc>
        <w:tc>
          <w:tcPr>
            <w:tcW w:w="1536" w:type="dxa"/>
            <w:vAlign w:val="center"/>
          </w:tcPr>
          <w:p w14:paraId="304BB342"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Ba1</w:t>
            </w:r>
          </w:p>
        </w:tc>
        <w:tc>
          <w:tcPr>
            <w:tcW w:w="1536" w:type="dxa"/>
            <w:vAlign w:val="center"/>
          </w:tcPr>
          <w:p w14:paraId="39BEEC98"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ruAA+, ruAA</w:t>
            </w:r>
          </w:p>
        </w:tc>
        <w:tc>
          <w:tcPr>
            <w:tcW w:w="1536" w:type="dxa"/>
            <w:vAlign w:val="center"/>
          </w:tcPr>
          <w:p w14:paraId="14AF9E9C"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AA+(RU), AA(RU)</w:t>
            </w:r>
          </w:p>
        </w:tc>
        <w:tc>
          <w:tcPr>
            <w:tcW w:w="1985" w:type="dxa"/>
            <w:vAlign w:val="center"/>
          </w:tcPr>
          <w:p w14:paraId="4FBD95CB"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0,3%-0,5%</w:t>
            </w:r>
          </w:p>
        </w:tc>
      </w:tr>
      <w:tr w:rsidR="002245D5" w:rsidRPr="0082342D" w14:paraId="48A09E19" w14:textId="77777777" w:rsidTr="002245D5">
        <w:trPr>
          <w:trHeight w:val="626"/>
        </w:trPr>
        <w:tc>
          <w:tcPr>
            <w:tcW w:w="1536" w:type="dxa"/>
            <w:vAlign w:val="center"/>
          </w:tcPr>
          <w:p w14:paraId="679490B1"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BB</w:t>
            </w:r>
          </w:p>
        </w:tc>
        <w:tc>
          <w:tcPr>
            <w:tcW w:w="1536" w:type="dxa"/>
            <w:vAlign w:val="center"/>
          </w:tcPr>
          <w:p w14:paraId="7C84ACB0"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BB</w:t>
            </w:r>
          </w:p>
        </w:tc>
        <w:tc>
          <w:tcPr>
            <w:tcW w:w="1536" w:type="dxa"/>
            <w:vAlign w:val="center"/>
          </w:tcPr>
          <w:p w14:paraId="4CBF63AF"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Ba2</w:t>
            </w:r>
          </w:p>
        </w:tc>
        <w:tc>
          <w:tcPr>
            <w:tcW w:w="1536" w:type="dxa"/>
            <w:vAlign w:val="center"/>
          </w:tcPr>
          <w:p w14:paraId="047A2C4B"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ruAA-, ruA+</w:t>
            </w:r>
          </w:p>
        </w:tc>
        <w:tc>
          <w:tcPr>
            <w:tcW w:w="1536" w:type="dxa"/>
            <w:vAlign w:val="center"/>
          </w:tcPr>
          <w:p w14:paraId="52BFCA68"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AA-(RU), A+(RU)</w:t>
            </w:r>
          </w:p>
        </w:tc>
        <w:tc>
          <w:tcPr>
            <w:tcW w:w="1985" w:type="dxa"/>
            <w:vAlign w:val="center"/>
          </w:tcPr>
          <w:p w14:paraId="6A75FBF9"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0,5%-1%</w:t>
            </w:r>
          </w:p>
        </w:tc>
      </w:tr>
      <w:tr w:rsidR="002245D5" w:rsidRPr="0082342D" w14:paraId="5D92DCA1" w14:textId="77777777" w:rsidTr="002245D5">
        <w:trPr>
          <w:trHeight w:val="626"/>
        </w:trPr>
        <w:tc>
          <w:tcPr>
            <w:tcW w:w="1536" w:type="dxa"/>
            <w:vAlign w:val="center"/>
          </w:tcPr>
          <w:p w14:paraId="0C95FBAF"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BB-</w:t>
            </w:r>
          </w:p>
        </w:tc>
        <w:tc>
          <w:tcPr>
            <w:tcW w:w="1536" w:type="dxa"/>
            <w:vAlign w:val="center"/>
          </w:tcPr>
          <w:p w14:paraId="45FF73D7"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lang w:val="en-US"/>
              </w:rPr>
              <w:t>BB-</w:t>
            </w:r>
          </w:p>
        </w:tc>
        <w:tc>
          <w:tcPr>
            <w:tcW w:w="1536" w:type="dxa"/>
            <w:vAlign w:val="center"/>
          </w:tcPr>
          <w:p w14:paraId="318A6AC8"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Ba3</w:t>
            </w:r>
          </w:p>
        </w:tc>
        <w:tc>
          <w:tcPr>
            <w:tcW w:w="1536" w:type="dxa"/>
            <w:vAlign w:val="center"/>
          </w:tcPr>
          <w:p w14:paraId="14DFD44D"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ruA, ruA-</w:t>
            </w:r>
          </w:p>
        </w:tc>
        <w:tc>
          <w:tcPr>
            <w:tcW w:w="1536" w:type="dxa"/>
            <w:vAlign w:val="center"/>
          </w:tcPr>
          <w:p w14:paraId="7F354B4F"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A(RU),</w:t>
            </w:r>
          </w:p>
          <w:p w14:paraId="0EFF23BB" w14:textId="77777777" w:rsidR="002245D5" w:rsidRPr="0082342D" w:rsidRDefault="002245D5" w:rsidP="002245D5">
            <w:pPr>
              <w:tabs>
                <w:tab w:val="left" w:pos="804"/>
              </w:tabs>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A-(RU)</w:t>
            </w:r>
          </w:p>
        </w:tc>
        <w:tc>
          <w:tcPr>
            <w:tcW w:w="1985" w:type="dxa"/>
            <w:vAlign w:val="center"/>
          </w:tcPr>
          <w:p w14:paraId="7727E115" w14:textId="77777777" w:rsidR="002245D5" w:rsidRPr="0082342D" w:rsidRDefault="002245D5" w:rsidP="002245D5">
            <w:pPr>
              <w:tabs>
                <w:tab w:val="left" w:pos="804"/>
              </w:tabs>
              <w:spacing w:before="120"/>
              <w:jc w:val="center"/>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1%-2%</w:t>
            </w:r>
          </w:p>
        </w:tc>
      </w:tr>
    </w:tbl>
    <w:p w14:paraId="12E1F981" w14:textId="77777777" w:rsidR="002245D5" w:rsidRPr="0082342D" w:rsidRDefault="002245D5" w:rsidP="002245D5">
      <w:pPr>
        <w:tabs>
          <w:tab w:val="left" w:pos="804"/>
        </w:tabs>
        <w:spacing w:after="0" w:line="240" w:lineRule="auto"/>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ab/>
        <w:t>Источник: составлено автором по [3]</w:t>
      </w:r>
    </w:p>
    <w:p w14:paraId="08CE6F91" w14:textId="77777777" w:rsidR="000871A2" w:rsidRPr="0082342D" w:rsidRDefault="000871A2" w:rsidP="002245D5">
      <w:pPr>
        <w:tabs>
          <w:tab w:val="left" w:pos="804"/>
        </w:tabs>
        <w:spacing w:after="0" w:line="240" w:lineRule="auto"/>
        <w:jc w:val="both"/>
        <w:rPr>
          <w:rFonts w:ascii="Times New Roman" w:hAnsi="Times New Roman" w:cs="Times New Roman"/>
          <w:color w:val="000000" w:themeColor="text1"/>
          <w:sz w:val="24"/>
          <w:szCs w:val="24"/>
        </w:rPr>
      </w:pPr>
    </w:p>
    <w:p w14:paraId="385C1E46" w14:textId="77777777" w:rsidR="002245D5" w:rsidRPr="0082342D" w:rsidRDefault="002245D5" w:rsidP="000871A2">
      <w:pPr>
        <w:tabs>
          <w:tab w:val="left" w:pos="804"/>
        </w:tabs>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Как можно заметить, требования международных рейтинговых агентств гораздо выше отечественных. Таким образом, для правильной оценки рисков по ипотечным ценным бумагам российским агентствам необходимо убедиться, что рейтинговые оценки и частота дефолтов соответствуют друг другу. В противном случае инвесторы будут вынуждены брать на себя повышенный риск, что окажет негативное влияние на спрос на данные ценные бумаги. </w:t>
      </w:r>
    </w:p>
    <w:p w14:paraId="490BEA7C" w14:textId="77777777" w:rsidR="002245D5" w:rsidRPr="0082342D" w:rsidRDefault="002245D5" w:rsidP="002245D5">
      <w:pPr>
        <w:tabs>
          <w:tab w:val="left" w:pos="804"/>
        </w:tabs>
        <w:spacing w:after="0" w:line="240" w:lineRule="auto"/>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ab/>
        <w:t xml:space="preserve">Анализируя приведенные выше данные, можно сделать вывод о том, что ипотечная секьюритизация в России не получила широкого распространения. Тем не менее, отвергать или недооценивать данную финансовую технику не стоит, т.к. в перспективе она может улучшить условия ипотечного кредитования в стране путем снижения процентных ставок, а также поддержать ликвидность российского рынка ценных бумаг. </w:t>
      </w:r>
    </w:p>
    <w:p w14:paraId="1E97BD2C" w14:textId="77777777" w:rsidR="002245D5" w:rsidRPr="0082342D" w:rsidRDefault="002245D5" w:rsidP="002245D5">
      <w:pPr>
        <w:tabs>
          <w:tab w:val="left" w:pos="804"/>
        </w:tabs>
        <w:spacing w:after="120" w:line="240" w:lineRule="auto"/>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________________________________________</w:t>
      </w:r>
    </w:p>
    <w:p w14:paraId="1E7906EA" w14:textId="77777777" w:rsidR="002245D5" w:rsidRPr="0082342D" w:rsidRDefault="002245D5" w:rsidP="006D6C94">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1. Рынок ИЦБ в США. Инвесторы и структура [Электронный ресурс] // ДОМ.РФ. – Режим доступа: </w:t>
      </w:r>
      <w:hyperlink r:id="rId15" w:history="1">
        <w:r w:rsidRPr="0082342D">
          <w:rPr>
            <w:rStyle w:val="a4"/>
            <w:rFonts w:ascii="Times New Roman" w:hAnsi="Times New Roman" w:cs="Times New Roman"/>
            <w:color w:val="000000" w:themeColor="text1"/>
            <w:sz w:val="24"/>
            <w:szCs w:val="24"/>
          </w:rPr>
          <w:t>https://дом.рф/wp-content/uploads/2016/11/Rynok-ITSB-SSHA.pdf</w:t>
        </w:r>
      </w:hyperlink>
    </w:p>
    <w:p w14:paraId="73F4C3EE" w14:textId="77777777" w:rsidR="002245D5" w:rsidRPr="0082342D" w:rsidRDefault="002245D5" w:rsidP="006D6C94">
      <w:pPr>
        <w:spacing w:after="0" w:line="240" w:lineRule="auto"/>
        <w:ind w:firstLine="709"/>
        <w:jc w:val="both"/>
        <w:rPr>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lastRenderedPageBreak/>
        <w:t xml:space="preserve">2. Сделки секьюритизации ипотечных кредитов [Электронный ресурс] // Ипотека в России. – Режим доступа: </w:t>
      </w:r>
      <w:hyperlink r:id="rId16" w:history="1">
        <w:r w:rsidRPr="0082342D">
          <w:rPr>
            <w:rStyle w:val="a4"/>
            <w:rFonts w:ascii="Times New Roman" w:hAnsi="Times New Roman" w:cs="Times New Roman"/>
            <w:color w:val="000000" w:themeColor="text1"/>
            <w:sz w:val="24"/>
            <w:szCs w:val="24"/>
          </w:rPr>
          <w:t>http://rusipoteka.ru/profi/securitization/sek_yuritizaciya_ipotechnyh_kreditov/</w:t>
        </w:r>
      </w:hyperlink>
      <w:r w:rsidRPr="0082342D">
        <w:rPr>
          <w:rFonts w:ascii="Times New Roman" w:hAnsi="Times New Roman" w:cs="Times New Roman"/>
          <w:color w:val="000000" w:themeColor="text1"/>
          <w:sz w:val="24"/>
          <w:szCs w:val="24"/>
        </w:rPr>
        <w:t xml:space="preserve"> </w:t>
      </w:r>
    </w:p>
    <w:p w14:paraId="437C3A6E" w14:textId="77777777" w:rsidR="002245D5" w:rsidRPr="0082342D" w:rsidRDefault="002245D5" w:rsidP="006D6C94">
      <w:pPr>
        <w:spacing w:after="0" w:line="240" w:lineRule="auto"/>
        <w:ind w:firstLine="709"/>
        <w:jc w:val="both"/>
        <w:rPr>
          <w:rStyle w:val="a4"/>
          <w:rFonts w:ascii="Times New Roman" w:hAnsi="Times New Roman" w:cs="Times New Roman"/>
          <w:color w:val="000000" w:themeColor="text1"/>
          <w:sz w:val="24"/>
          <w:szCs w:val="24"/>
        </w:rPr>
      </w:pPr>
      <w:r w:rsidRPr="0082342D">
        <w:rPr>
          <w:rFonts w:ascii="Times New Roman" w:hAnsi="Times New Roman" w:cs="Times New Roman"/>
          <w:color w:val="000000" w:themeColor="text1"/>
          <w:sz w:val="24"/>
          <w:szCs w:val="24"/>
        </w:rPr>
        <w:t xml:space="preserve">3. Сценарии для проведения негосударственными пенсионными фондами стресс тестирования в соответствии с Указанием Банка России от 4 июля 2016 г. N 4060-У [Электронный ресурс] // ЦБ РФ. – Режим доступа: </w:t>
      </w:r>
      <w:hyperlink r:id="rId17" w:history="1">
        <w:r w:rsidRPr="0082342D">
          <w:rPr>
            <w:rStyle w:val="a4"/>
            <w:rFonts w:ascii="Times New Roman" w:hAnsi="Times New Roman" w:cs="Times New Roman"/>
            <w:color w:val="000000" w:themeColor="text1"/>
            <w:sz w:val="24"/>
            <w:szCs w:val="24"/>
          </w:rPr>
          <w:t>http://www.cbr.ru/finmarkets/files/supervision/Scen_NPF.pdf</w:t>
        </w:r>
      </w:hyperlink>
    </w:p>
    <w:p w14:paraId="37F905A2" w14:textId="77777777" w:rsidR="002245D5" w:rsidRPr="0082342D" w:rsidRDefault="002245D5" w:rsidP="006D6C94">
      <w:pPr>
        <w:tabs>
          <w:tab w:val="left" w:pos="804"/>
        </w:tabs>
        <w:spacing w:after="0" w:line="240" w:lineRule="auto"/>
        <w:ind w:firstLine="709"/>
        <w:jc w:val="both"/>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 xml:space="preserve">4. Securities held outright: mortgage-backed securities [Electronic resources] // FRED. – URL: </w:t>
      </w:r>
      <w:hyperlink r:id="rId18" w:anchor="0" w:history="1">
        <w:r w:rsidRPr="0082342D">
          <w:rPr>
            <w:rStyle w:val="a4"/>
            <w:rFonts w:ascii="Times New Roman" w:hAnsi="Times New Roman" w:cs="Times New Roman"/>
            <w:color w:val="000000" w:themeColor="text1"/>
            <w:sz w:val="24"/>
            <w:szCs w:val="24"/>
            <w:lang w:val="en-US"/>
          </w:rPr>
          <w:t>https://fred.stlouisfed.org/series/WSHOMCB#0</w:t>
        </w:r>
      </w:hyperlink>
      <w:r w:rsidRPr="0082342D">
        <w:rPr>
          <w:rFonts w:ascii="Times New Roman" w:hAnsi="Times New Roman" w:cs="Times New Roman"/>
          <w:color w:val="000000" w:themeColor="text1"/>
          <w:sz w:val="24"/>
          <w:szCs w:val="24"/>
          <w:lang w:val="en-US"/>
        </w:rPr>
        <w:t xml:space="preserve">  </w:t>
      </w:r>
    </w:p>
    <w:p w14:paraId="44E6E9EB" w14:textId="77777777" w:rsidR="002245D5" w:rsidRPr="0082342D" w:rsidRDefault="002245D5" w:rsidP="006D6C94">
      <w:pPr>
        <w:spacing w:after="0" w:line="240" w:lineRule="auto"/>
        <w:ind w:firstLine="709"/>
        <w:jc w:val="both"/>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 xml:space="preserve">5. US mortgage-related issuance and outstanding [Electronic resources] // SIFMA. – URL: </w:t>
      </w:r>
      <w:hyperlink r:id="rId19" w:history="1">
        <w:r w:rsidRPr="0082342D">
          <w:rPr>
            <w:rStyle w:val="a4"/>
            <w:rFonts w:ascii="Times New Roman" w:hAnsi="Times New Roman" w:cs="Times New Roman"/>
            <w:color w:val="000000" w:themeColor="text1"/>
            <w:sz w:val="24"/>
            <w:szCs w:val="24"/>
            <w:lang w:val="en-US"/>
          </w:rPr>
          <w:t>https://www.sifma.org/resources/research/us-mortgage-related-issuance-and-outstanding/</w:t>
        </w:r>
      </w:hyperlink>
      <w:r w:rsidRPr="0082342D">
        <w:rPr>
          <w:rFonts w:ascii="Times New Roman" w:hAnsi="Times New Roman" w:cs="Times New Roman"/>
          <w:color w:val="000000" w:themeColor="text1"/>
          <w:sz w:val="24"/>
          <w:szCs w:val="24"/>
          <w:lang w:val="en-US"/>
        </w:rPr>
        <w:t xml:space="preserve"> </w:t>
      </w:r>
    </w:p>
    <w:p w14:paraId="6B6025F5" w14:textId="77777777" w:rsidR="002245D5" w:rsidRPr="0082342D" w:rsidRDefault="002245D5" w:rsidP="006D6C94">
      <w:pPr>
        <w:spacing w:after="0" w:line="240" w:lineRule="auto"/>
        <w:ind w:firstLine="709"/>
        <w:jc w:val="both"/>
        <w:rPr>
          <w:rFonts w:ascii="Times New Roman" w:hAnsi="Times New Roman" w:cs="Times New Roman"/>
          <w:color w:val="000000" w:themeColor="text1"/>
          <w:sz w:val="24"/>
          <w:szCs w:val="24"/>
          <w:lang w:val="en-US"/>
        </w:rPr>
      </w:pPr>
      <w:r w:rsidRPr="0082342D">
        <w:rPr>
          <w:rFonts w:ascii="Times New Roman" w:hAnsi="Times New Roman" w:cs="Times New Roman"/>
          <w:color w:val="000000" w:themeColor="text1"/>
          <w:sz w:val="24"/>
          <w:szCs w:val="24"/>
          <w:lang w:val="en-US"/>
        </w:rPr>
        <w:t xml:space="preserve">6. US securitization 2016 year in review [Electronic resources] // SIFMA. – URL: </w:t>
      </w:r>
      <w:hyperlink r:id="rId20" w:history="1">
        <w:r w:rsidRPr="0082342D">
          <w:rPr>
            <w:rStyle w:val="a4"/>
            <w:rFonts w:ascii="Times New Roman" w:hAnsi="Times New Roman" w:cs="Times New Roman"/>
            <w:color w:val="000000" w:themeColor="text1"/>
            <w:sz w:val="24"/>
            <w:szCs w:val="24"/>
            <w:lang w:val="en-US"/>
          </w:rPr>
          <w:t>https://www.sifma.org/wp-content/uploads/2017/05/us-securitization-2016-year-in-review.pdf</w:t>
        </w:r>
      </w:hyperlink>
    </w:p>
    <w:p w14:paraId="3DEB10DC" w14:textId="77777777" w:rsidR="002245D5" w:rsidRPr="0082342D" w:rsidRDefault="002245D5" w:rsidP="006D6C94">
      <w:pPr>
        <w:spacing w:after="0" w:line="240" w:lineRule="auto"/>
        <w:ind w:firstLine="709"/>
        <w:jc w:val="both"/>
        <w:rPr>
          <w:rFonts w:ascii="Times New Roman" w:hAnsi="Times New Roman" w:cs="Times New Roman"/>
          <w:sz w:val="24"/>
          <w:szCs w:val="24"/>
          <w:lang w:val="en-US"/>
        </w:rPr>
      </w:pPr>
      <w:r w:rsidRPr="0082342D">
        <w:rPr>
          <w:rFonts w:ascii="Times New Roman" w:hAnsi="Times New Roman" w:cs="Times New Roman"/>
          <w:color w:val="000000" w:themeColor="text1"/>
          <w:sz w:val="24"/>
          <w:szCs w:val="24"/>
          <w:lang w:val="en-US"/>
        </w:rPr>
        <w:t xml:space="preserve">7. US SF trading volume [Electronic resources] // SIFMA. – URL: </w:t>
      </w:r>
      <w:hyperlink r:id="rId21" w:history="1">
        <w:r w:rsidRPr="0082342D">
          <w:rPr>
            <w:rStyle w:val="a4"/>
            <w:rFonts w:ascii="Times New Roman" w:hAnsi="Times New Roman" w:cs="Times New Roman"/>
            <w:color w:val="000000" w:themeColor="text1"/>
            <w:sz w:val="24"/>
            <w:szCs w:val="24"/>
            <w:lang w:val="en-US"/>
          </w:rPr>
          <w:t>https://www.sifma.org/resources/research/us-sf-trading-volume/</w:t>
        </w:r>
      </w:hyperlink>
      <w:r w:rsidRPr="0082342D">
        <w:rPr>
          <w:rFonts w:ascii="Times New Roman" w:hAnsi="Times New Roman" w:cs="Times New Roman"/>
          <w:sz w:val="24"/>
          <w:szCs w:val="24"/>
          <w:lang w:val="en-US"/>
        </w:rPr>
        <w:t xml:space="preserve"> </w:t>
      </w:r>
    </w:p>
    <w:p w14:paraId="61CDCEAD" w14:textId="77777777" w:rsidR="006D6C94" w:rsidRPr="00AD2A2E" w:rsidRDefault="006D6C94" w:rsidP="002245D5">
      <w:pPr>
        <w:spacing w:after="0" w:line="360" w:lineRule="auto"/>
        <w:rPr>
          <w:rFonts w:ascii="Times New Roman" w:eastAsia="Times New Roman" w:hAnsi="Times New Roman" w:cs="Times New Roman"/>
          <w:color w:val="000000"/>
          <w:sz w:val="24"/>
          <w:lang w:val="en-US"/>
        </w:rPr>
      </w:pPr>
      <w:bookmarkStart w:id="0" w:name="OLE_LINK1"/>
      <w:bookmarkStart w:id="1" w:name="OLE_LINK2"/>
      <w:bookmarkStart w:id="2" w:name="OLE_LINK3"/>
      <w:bookmarkStart w:id="3" w:name="OLE_LINK4"/>
      <w:bookmarkStart w:id="4" w:name="OLE_LINK5"/>
      <w:bookmarkStart w:id="5" w:name="OLE_LINK6"/>
    </w:p>
    <w:p w14:paraId="0E656159" w14:textId="77777777" w:rsidR="002245D5" w:rsidRPr="0082342D" w:rsidRDefault="002245D5" w:rsidP="0082342D">
      <w:pPr>
        <w:spacing w:after="0" w:line="240" w:lineRule="auto"/>
        <w:rPr>
          <w:rFonts w:ascii="Times New Roman" w:eastAsia="Times New Roman" w:hAnsi="Times New Roman" w:cs="Times New Roman"/>
          <w:b/>
          <w:color w:val="000000"/>
          <w:sz w:val="24"/>
          <w:szCs w:val="24"/>
        </w:rPr>
      </w:pPr>
      <w:r w:rsidRPr="0082342D">
        <w:rPr>
          <w:rFonts w:ascii="Times New Roman" w:eastAsia="Times New Roman" w:hAnsi="Times New Roman" w:cs="Times New Roman"/>
          <w:b/>
          <w:color w:val="000000"/>
          <w:sz w:val="24"/>
          <w:szCs w:val="24"/>
        </w:rPr>
        <w:t>Рубрика: Мировая экономика</w:t>
      </w:r>
    </w:p>
    <w:p w14:paraId="05FA01DD" w14:textId="77777777" w:rsidR="002245D5" w:rsidRPr="0082342D" w:rsidRDefault="002245D5" w:rsidP="0082342D">
      <w:pPr>
        <w:spacing w:after="0" w:line="240" w:lineRule="auto"/>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УДК: 339.924</w:t>
      </w:r>
    </w:p>
    <w:p w14:paraId="6BB9E253" w14:textId="77777777" w:rsidR="002245D5" w:rsidRPr="0082342D" w:rsidRDefault="002245D5" w:rsidP="0082342D">
      <w:pPr>
        <w:spacing w:line="240" w:lineRule="auto"/>
        <w:rPr>
          <w:rFonts w:ascii="Times New Roman" w:eastAsia="Times New Roman" w:hAnsi="Times New Roman" w:cs="Times New Roman"/>
          <w:b/>
          <w:color w:val="000000"/>
          <w:sz w:val="24"/>
          <w:szCs w:val="24"/>
        </w:rPr>
      </w:pPr>
    </w:p>
    <w:p w14:paraId="362F6A48" w14:textId="77777777" w:rsidR="002245D5" w:rsidRPr="0082342D" w:rsidRDefault="006A266D" w:rsidP="0082342D">
      <w:pPr>
        <w:spacing w:line="240" w:lineRule="auto"/>
        <w:ind w:firstLine="709"/>
        <w:jc w:val="center"/>
        <w:rPr>
          <w:rFonts w:ascii="Times New Roman" w:eastAsia="Times New Roman" w:hAnsi="Times New Roman" w:cs="Times New Roman"/>
          <w:b/>
          <w:color w:val="000000"/>
          <w:sz w:val="24"/>
          <w:szCs w:val="24"/>
        </w:rPr>
      </w:pPr>
      <w:r w:rsidRPr="0082342D">
        <w:rPr>
          <w:rFonts w:ascii="Times New Roman" w:eastAsia="Times New Roman" w:hAnsi="Times New Roman" w:cs="Times New Roman"/>
          <w:b/>
          <w:color w:val="000000"/>
          <w:sz w:val="24"/>
          <w:szCs w:val="24"/>
        </w:rPr>
        <w:t>МЕСТО И РОЛЬ ТРАНСНАЦИОНАЛЬНЫХ КОРПОРАЦИЙ В РОССИЙСКОЙ ЭКОНОМИКЕ.</w:t>
      </w:r>
    </w:p>
    <w:p w14:paraId="297BF297" w14:textId="77777777" w:rsidR="002245D5" w:rsidRPr="0082342D" w:rsidRDefault="001973E4" w:rsidP="0082342D">
      <w:pPr>
        <w:spacing w:after="0" w:line="240" w:lineRule="auto"/>
        <w:ind w:firstLine="709"/>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Иванова Сабина Сергеевна</w:t>
      </w:r>
    </w:p>
    <w:p w14:paraId="11C305A0" w14:textId="77777777" w:rsidR="002245D5" w:rsidRPr="0082342D" w:rsidRDefault="001973E4" w:rsidP="0082342D">
      <w:pPr>
        <w:spacing w:after="0" w:line="240" w:lineRule="auto"/>
        <w:ind w:firstLine="709"/>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бакалавр</w:t>
      </w:r>
    </w:p>
    <w:p w14:paraId="23DE523C" w14:textId="77777777" w:rsidR="006A266D" w:rsidRPr="0082342D" w:rsidRDefault="006A266D" w:rsidP="0082342D">
      <w:pPr>
        <w:spacing w:after="0" w:line="240" w:lineRule="auto"/>
        <w:ind w:firstLine="709"/>
        <w:jc w:val="center"/>
        <w:rPr>
          <w:rFonts w:ascii="Times New Roman" w:eastAsia="Times New Roman" w:hAnsi="Times New Roman" w:cs="Times New Roman"/>
          <w:i/>
          <w:color w:val="000000"/>
          <w:sz w:val="24"/>
          <w:szCs w:val="24"/>
        </w:rPr>
      </w:pPr>
    </w:p>
    <w:p w14:paraId="0D93639B" w14:textId="77777777" w:rsidR="002245D5" w:rsidRPr="0082342D" w:rsidRDefault="002245D5" w:rsidP="0082342D">
      <w:pPr>
        <w:spacing w:after="0" w:line="240" w:lineRule="auto"/>
        <w:ind w:firstLine="709"/>
        <w:jc w:val="center"/>
        <w:rPr>
          <w:rFonts w:ascii="Times New Roman" w:eastAsia="Times New Roman" w:hAnsi="Times New Roman" w:cs="Times New Roman"/>
          <w:i/>
          <w:color w:val="000000"/>
          <w:sz w:val="24"/>
          <w:szCs w:val="24"/>
        </w:rPr>
      </w:pPr>
      <w:r w:rsidRPr="0082342D">
        <w:rPr>
          <w:rFonts w:ascii="Times New Roman" w:eastAsia="Times New Roman" w:hAnsi="Times New Roman" w:cs="Times New Roman"/>
          <w:i/>
          <w:color w:val="000000"/>
          <w:sz w:val="24"/>
          <w:szCs w:val="24"/>
        </w:rPr>
        <w:t>Владивостокский государственный университет экономики и сервиса</w:t>
      </w:r>
    </w:p>
    <w:p w14:paraId="6236B126" w14:textId="77777777" w:rsidR="002245D5" w:rsidRPr="0082342D" w:rsidRDefault="002245D5" w:rsidP="0082342D">
      <w:pPr>
        <w:spacing w:after="0" w:line="240" w:lineRule="auto"/>
        <w:ind w:firstLine="709"/>
        <w:jc w:val="center"/>
        <w:rPr>
          <w:rFonts w:ascii="Times New Roman" w:eastAsia="Times New Roman" w:hAnsi="Times New Roman" w:cs="Times New Roman"/>
          <w:i/>
          <w:color w:val="000000"/>
          <w:sz w:val="24"/>
          <w:szCs w:val="24"/>
        </w:rPr>
      </w:pPr>
      <w:r w:rsidRPr="0082342D">
        <w:rPr>
          <w:rFonts w:ascii="Times New Roman" w:eastAsia="Times New Roman" w:hAnsi="Times New Roman" w:cs="Times New Roman"/>
          <w:i/>
          <w:color w:val="000000"/>
          <w:sz w:val="24"/>
          <w:szCs w:val="24"/>
        </w:rPr>
        <w:t>Россия. Владивосток</w:t>
      </w:r>
    </w:p>
    <w:p w14:paraId="52E56223" w14:textId="77777777" w:rsidR="006A266D" w:rsidRPr="0082342D" w:rsidRDefault="006A266D" w:rsidP="0082342D">
      <w:pPr>
        <w:spacing w:after="0" w:line="240" w:lineRule="auto"/>
        <w:ind w:firstLine="709"/>
        <w:jc w:val="center"/>
        <w:rPr>
          <w:rFonts w:ascii="Times New Roman" w:eastAsia="Times New Roman" w:hAnsi="Times New Roman" w:cs="Times New Roman"/>
          <w:color w:val="000000"/>
          <w:sz w:val="24"/>
          <w:szCs w:val="24"/>
        </w:rPr>
      </w:pPr>
    </w:p>
    <w:p w14:paraId="4E12B494" w14:textId="77777777" w:rsidR="002245D5" w:rsidRPr="0082342D" w:rsidRDefault="002245D5" w:rsidP="0082342D">
      <w:pPr>
        <w:spacing w:after="0" w:line="240" w:lineRule="auto"/>
        <w:ind w:firstLine="709"/>
        <w:jc w:val="center"/>
        <w:rPr>
          <w:rFonts w:ascii="Times New Roman" w:eastAsia="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lang w:val="en-US"/>
        </w:rPr>
        <w:t>E</w:t>
      </w:r>
      <w:r w:rsidRPr="0082342D">
        <w:rPr>
          <w:rFonts w:ascii="Times New Roman" w:eastAsia="Times New Roman" w:hAnsi="Times New Roman" w:cs="Times New Roman"/>
          <w:color w:val="000000" w:themeColor="text1"/>
          <w:sz w:val="24"/>
          <w:szCs w:val="24"/>
        </w:rPr>
        <w:t>-</w:t>
      </w:r>
      <w:r w:rsidRPr="0082342D">
        <w:rPr>
          <w:rFonts w:ascii="Times New Roman" w:eastAsia="Times New Roman" w:hAnsi="Times New Roman" w:cs="Times New Roman"/>
          <w:color w:val="000000" w:themeColor="text1"/>
          <w:sz w:val="24"/>
          <w:szCs w:val="24"/>
          <w:lang w:val="en-US"/>
        </w:rPr>
        <w:t>mail</w:t>
      </w:r>
      <w:r w:rsidRPr="0082342D">
        <w:rPr>
          <w:rFonts w:ascii="Times New Roman" w:eastAsia="Times New Roman" w:hAnsi="Times New Roman" w:cs="Times New Roman"/>
          <w:color w:val="000000" w:themeColor="text1"/>
          <w:sz w:val="24"/>
          <w:szCs w:val="24"/>
        </w:rPr>
        <w:t xml:space="preserve">: </w:t>
      </w:r>
      <w:hyperlink r:id="rId22" w:history="1">
        <w:r w:rsidRPr="0082342D">
          <w:rPr>
            <w:rStyle w:val="a4"/>
            <w:rFonts w:ascii="Times New Roman" w:eastAsia="Times New Roman" w:hAnsi="Times New Roman" w:cs="Times New Roman"/>
            <w:color w:val="000000" w:themeColor="text1"/>
            <w:sz w:val="24"/>
            <w:szCs w:val="24"/>
            <w:lang w:val="en-US"/>
          </w:rPr>
          <w:t>sabinka</w:t>
        </w:r>
        <w:r w:rsidRPr="0082342D">
          <w:rPr>
            <w:rStyle w:val="a4"/>
            <w:rFonts w:ascii="Times New Roman" w:eastAsia="Times New Roman" w:hAnsi="Times New Roman" w:cs="Times New Roman"/>
            <w:color w:val="000000" w:themeColor="text1"/>
            <w:sz w:val="24"/>
            <w:szCs w:val="24"/>
          </w:rPr>
          <w:t>_</w:t>
        </w:r>
        <w:r w:rsidRPr="0082342D">
          <w:rPr>
            <w:rStyle w:val="a4"/>
            <w:rFonts w:ascii="Times New Roman" w:eastAsia="Times New Roman" w:hAnsi="Times New Roman" w:cs="Times New Roman"/>
            <w:color w:val="000000" w:themeColor="text1"/>
            <w:sz w:val="24"/>
            <w:szCs w:val="24"/>
            <w:lang w:val="en-US"/>
          </w:rPr>
          <w:t>s</w:t>
        </w:r>
        <w:r w:rsidRPr="0082342D">
          <w:rPr>
            <w:rStyle w:val="a4"/>
            <w:rFonts w:ascii="Times New Roman" w:eastAsia="Times New Roman" w:hAnsi="Times New Roman" w:cs="Times New Roman"/>
            <w:color w:val="000000" w:themeColor="text1"/>
            <w:sz w:val="24"/>
            <w:szCs w:val="24"/>
          </w:rPr>
          <w:t>@</w:t>
        </w:r>
        <w:r w:rsidRPr="0082342D">
          <w:rPr>
            <w:rStyle w:val="a4"/>
            <w:rFonts w:ascii="Times New Roman" w:eastAsia="Times New Roman" w:hAnsi="Times New Roman" w:cs="Times New Roman"/>
            <w:color w:val="000000" w:themeColor="text1"/>
            <w:sz w:val="24"/>
            <w:szCs w:val="24"/>
            <w:lang w:val="en-US"/>
          </w:rPr>
          <w:t>bk</w:t>
        </w:r>
        <w:r w:rsidRPr="0082342D">
          <w:rPr>
            <w:rStyle w:val="a4"/>
            <w:rFonts w:ascii="Times New Roman" w:eastAsia="Times New Roman" w:hAnsi="Times New Roman" w:cs="Times New Roman"/>
            <w:color w:val="000000" w:themeColor="text1"/>
            <w:sz w:val="24"/>
            <w:szCs w:val="24"/>
          </w:rPr>
          <w:t>.</w:t>
        </w:r>
        <w:r w:rsidRPr="0082342D">
          <w:rPr>
            <w:rStyle w:val="a4"/>
            <w:rFonts w:ascii="Times New Roman" w:eastAsia="Times New Roman" w:hAnsi="Times New Roman" w:cs="Times New Roman"/>
            <w:color w:val="000000" w:themeColor="text1"/>
            <w:sz w:val="24"/>
            <w:szCs w:val="24"/>
            <w:lang w:val="en-US"/>
          </w:rPr>
          <w:t>ru</w:t>
        </w:r>
      </w:hyperlink>
      <w:r w:rsidRPr="0082342D">
        <w:rPr>
          <w:rFonts w:ascii="Times New Roman" w:eastAsia="Times New Roman" w:hAnsi="Times New Roman" w:cs="Times New Roman"/>
          <w:color w:val="000000" w:themeColor="text1"/>
          <w:sz w:val="24"/>
          <w:szCs w:val="24"/>
        </w:rPr>
        <w:t>;</w:t>
      </w:r>
    </w:p>
    <w:p w14:paraId="1FB7C931" w14:textId="77777777" w:rsidR="002245D5" w:rsidRPr="0082342D" w:rsidRDefault="002245D5" w:rsidP="0082342D">
      <w:pPr>
        <w:spacing w:after="0" w:line="240" w:lineRule="auto"/>
        <w:ind w:firstLine="709"/>
        <w:jc w:val="center"/>
        <w:rPr>
          <w:rFonts w:ascii="Times New Roman" w:eastAsia="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rPr>
        <w:t>Тел. +79841903313,</w:t>
      </w:r>
    </w:p>
    <w:p w14:paraId="52E67DCF" w14:textId="77777777" w:rsidR="00C030A9" w:rsidRPr="0082342D" w:rsidRDefault="002245D5" w:rsidP="0082342D">
      <w:pPr>
        <w:spacing w:after="0" w:line="240" w:lineRule="auto"/>
        <w:ind w:firstLine="709"/>
        <w:jc w:val="center"/>
        <w:rPr>
          <w:rFonts w:ascii="Times New Roman" w:eastAsia="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rPr>
        <w:t xml:space="preserve">ул. Гоголя, 41, г. Владивосток, </w:t>
      </w:r>
      <w:r w:rsidR="00C030A9" w:rsidRPr="0082342D">
        <w:rPr>
          <w:rFonts w:ascii="Times New Roman" w:eastAsia="Times New Roman" w:hAnsi="Times New Roman" w:cs="Times New Roman"/>
          <w:color w:val="000000" w:themeColor="text1"/>
          <w:sz w:val="24"/>
          <w:szCs w:val="24"/>
        </w:rPr>
        <w:t>Приморский край, Россия, 690014</w:t>
      </w:r>
    </w:p>
    <w:p w14:paraId="07547A01" w14:textId="77777777" w:rsidR="00C030A9" w:rsidRPr="0082342D" w:rsidRDefault="00C030A9" w:rsidP="0082342D">
      <w:pPr>
        <w:spacing w:after="0" w:line="240" w:lineRule="auto"/>
        <w:ind w:firstLine="709"/>
        <w:jc w:val="center"/>
        <w:rPr>
          <w:rFonts w:ascii="Times New Roman" w:eastAsia="Times New Roman" w:hAnsi="Times New Roman" w:cs="Times New Roman"/>
          <w:color w:val="000000" w:themeColor="text1"/>
          <w:sz w:val="24"/>
          <w:szCs w:val="24"/>
        </w:rPr>
      </w:pPr>
    </w:p>
    <w:p w14:paraId="3071F0F3" w14:textId="77777777" w:rsidR="002245D5" w:rsidRPr="0082342D" w:rsidRDefault="002245D5" w:rsidP="0082342D">
      <w:pPr>
        <w:spacing w:after="0" w:line="240" w:lineRule="auto"/>
        <w:ind w:firstLine="709"/>
        <w:jc w:val="center"/>
        <w:rPr>
          <w:rFonts w:ascii="Times New Roman" w:eastAsia="Times New Roman" w:hAnsi="Times New Roman" w:cs="Times New Roman"/>
          <w:b/>
          <w:color w:val="000000" w:themeColor="text1"/>
          <w:sz w:val="24"/>
          <w:szCs w:val="24"/>
        </w:rPr>
      </w:pPr>
      <w:r w:rsidRPr="0082342D">
        <w:rPr>
          <w:rFonts w:ascii="Times New Roman" w:eastAsia="Times New Roman" w:hAnsi="Times New Roman" w:cs="Times New Roman"/>
          <w:b/>
          <w:color w:val="000000" w:themeColor="text1"/>
          <w:sz w:val="24"/>
          <w:szCs w:val="24"/>
        </w:rPr>
        <w:t>Комиссарова В. В.</w:t>
      </w:r>
      <w:r w:rsidR="00C030A9" w:rsidRPr="0082342D">
        <w:rPr>
          <w:rFonts w:ascii="Times New Roman" w:eastAsia="Times New Roman" w:hAnsi="Times New Roman" w:cs="Times New Roman"/>
          <w:b/>
          <w:color w:val="000000" w:themeColor="text1"/>
          <w:sz w:val="24"/>
          <w:szCs w:val="24"/>
        </w:rPr>
        <w:t>,</w:t>
      </w:r>
    </w:p>
    <w:p w14:paraId="7F3D8C9F" w14:textId="77777777" w:rsidR="00C030A9" w:rsidRPr="0082342D" w:rsidRDefault="00C030A9" w:rsidP="0082342D">
      <w:pPr>
        <w:spacing w:line="240" w:lineRule="auto"/>
        <w:ind w:firstLine="709"/>
        <w:jc w:val="center"/>
        <w:rPr>
          <w:rFonts w:ascii="Times New Roman" w:eastAsia="Times New Roman" w:hAnsi="Times New Roman" w:cs="Times New Roman"/>
          <w:color w:val="000000" w:themeColor="text1"/>
          <w:sz w:val="24"/>
          <w:szCs w:val="24"/>
        </w:rPr>
      </w:pPr>
      <w:r w:rsidRPr="0082342D">
        <w:rPr>
          <w:rFonts w:ascii="Times New Roman" w:eastAsia="Times New Roman" w:hAnsi="Times New Roman" w:cs="Times New Roman"/>
          <w:color w:val="000000" w:themeColor="text1"/>
          <w:sz w:val="24"/>
          <w:szCs w:val="24"/>
        </w:rPr>
        <w:t>научный руководитель</w:t>
      </w:r>
    </w:p>
    <w:p w14:paraId="4172EF2F" w14:textId="77777777" w:rsidR="002245D5" w:rsidRPr="0082342D" w:rsidRDefault="002245D5" w:rsidP="0082342D">
      <w:pPr>
        <w:spacing w:after="0" w:line="240" w:lineRule="auto"/>
        <w:ind w:firstLine="709"/>
        <w:jc w:val="both"/>
        <w:rPr>
          <w:rFonts w:ascii="Times New Roman" w:eastAsia="Times New Roman" w:hAnsi="Times New Roman" w:cs="Times New Roman"/>
          <w:sz w:val="24"/>
          <w:szCs w:val="24"/>
        </w:rPr>
      </w:pPr>
      <w:r w:rsidRPr="0082342D">
        <w:rPr>
          <w:rFonts w:ascii="Times New Roman" w:eastAsia="Times New Roman" w:hAnsi="Times New Roman" w:cs="Times New Roman"/>
          <w:i/>
          <w:sz w:val="24"/>
          <w:szCs w:val="24"/>
        </w:rPr>
        <w:t xml:space="preserve">В данной статье рассматривается влияние иностранных транснациональных компаний на российскую экономику и ее развитие, а также роль отечественных ТНК и их место в экономике современной России. Проводится анализ и </w:t>
      </w:r>
      <w:r w:rsidRPr="0082342D">
        <w:rPr>
          <w:rFonts w:ascii="Times New Roman" w:eastAsia="Times New Roman" w:hAnsi="Times New Roman" w:cs="Times New Roman"/>
          <w:i/>
          <w:sz w:val="24"/>
          <w:szCs w:val="24"/>
          <w:shd w:val="clear" w:color="auto" w:fill="FFFFFF"/>
        </w:rPr>
        <w:t>рассматривается список крупнейших мировых компаний For</w:t>
      </w:r>
      <w:r w:rsidRPr="0082342D">
        <w:rPr>
          <w:rFonts w:ascii="Times New Roman" w:eastAsia="Times New Roman" w:hAnsi="Times New Roman" w:cs="Times New Roman"/>
          <w:i/>
          <w:sz w:val="24"/>
          <w:szCs w:val="24"/>
          <w:shd w:val="clear" w:color="auto" w:fill="FFFFFF"/>
          <w:lang w:val="en-US"/>
        </w:rPr>
        <w:t>tune</w:t>
      </w:r>
      <w:r w:rsidRPr="0082342D">
        <w:rPr>
          <w:rFonts w:ascii="Times New Roman" w:eastAsia="Times New Roman" w:hAnsi="Times New Roman" w:cs="Times New Roman"/>
          <w:i/>
          <w:sz w:val="24"/>
          <w:szCs w:val="24"/>
          <w:shd w:val="clear" w:color="auto" w:fill="FFFFFF"/>
        </w:rPr>
        <w:t xml:space="preserve"> Global 500, также выявляется основная направленность крупнейших компаний в России</w:t>
      </w:r>
      <w:r w:rsidRPr="0082342D">
        <w:rPr>
          <w:rFonts w:ascii="Times New Roman" w:eastAsia="Times New Roman" w:hAnsi="Times New Roman" w:cs="Times New Roman"/>
          <w:sz w:val="24"/>
          <w:szCs w:val="24"/>
        </w:rPr>
        <w:t xml:space="preserve">. </w:t>
      </w:r>
      <w:r w:rsidRPr="0082342D">
        <w:rPr>
          <w:rFonts w:ascii="Times New Roman" w:eastAsia="Times New Roman" w:hAnsi="Times New Roman" w:cs="Times New Roman"/>
          <w:i/>
          <w:sz w:val="24"/>
          <w:szCs w:val="24"/>
        </w:rPr>
        <w:t>Критериями рейтингов являются чистая прибыль компании и рыночная капитализация.</w:t>
      </w:r>
      <w:r w:rsidRPr="0082342D">
        <w:rPr>
          <w:rFonts w:ascii="Times New Roman" w:eastAsia="Times New Roman" w:hAnsi="Times New Roman" w:cs="Times New Roman"/>
          <w:i/>
          <w:sz w:val="24"/>
          <w:szCs w:val="24"/>
          <w:shd w:val="clear" w:color="auto" w:fill="FFFFFF"/>
        </w:rPr>
        <w:t xml:space="preserve"> Используются статистические данные из доклада ЮНКТАД. В заключении приводятся выводы.</w:t>
      </w:r>
    </w:p>
    <w:p w14:paraId="6B3C93F5" w14:textId="77777777" w:rsidR="002245D5" w:rsidRPr="0082342D" w:rsidRDefault="002245D5" w:rsidP="001973E4">
      <w:pPr>
        <w:spacing w:after="0" w:line="240" w:lineRule="auto"/>
        <w:ind w:firstLine="708"/>
        <w:jc w:val="both"/>
        <w:rPr>
          <w:rFonts w:ascii="Times New Roman" w:hAnsi="Times New Roman" w:cs="Times New Roman"/>
          <w:i/>
          <w:sz w:val="24"/>
          <w:szCs w:val="24"/>
        </w:rPr>
      </w:pPr>
      <w:r w:rsidRPr="0082342D">
        <w:rPr>
          <w:rFonts w:ascii="Times New Roman" w:hAnsi="Times New Roman" w:cs="Times New Roman"/>
          <w:b/>
          <w:i/>
          <w:sz w:val="24"/>
          <w:szCs w:val="24"/>
        </w:rPr>
        <w:t>Ключевые слова и словосочетания:</w:t>
      </w:r>
      <w:r w:rsidRPr="0082342D">
        <w:rPr>
          <w:rFonts w:ascii="Times New Roman" w:hAnsi="Times New Roman" w:cs="Times New Roman"/>
          <w:i/>
          <w:sz w:val="24"/>
          <w:szCs w:val="24"/>
        </w:rPr>
        <w:t xml:space="preserve"> ТНК, транснациональные компании, экономика России, мировой рынок.</w:t>
      </w:r>
    </w:p>
    <w:p w14:paraId="5043CB0F" w14:textId="77777777" w:rsidR="002245D5" w:rsidRPr="0082342D" w:rsidRDefault="002245D5" w:rsidP="0082342D">
      <w:pPr>
        <w:spacing w:line="240" w:lineRule="auto"/>
        <w:ind w:firstLine="709"/>
        <w:jc w:val="both"/>
        <w:rPr>
          <w:rFonts w:ascii="Times New Roman" w:hAnsi="Times New Roman" w:cs="Times New Roman"/>
          <w:i/>
          <w:sz w:val="24"/>
          <w:szCs w:val="24"/>
        </w:rPr>
      </w:pPr>
    </w:p>
    <w:p w14:paraId="50E32398" w14:textId="77777777" w:rsidR="002245D5" w:rsidRPr="0082342D" w:rsidRDefault="006A266D" w:rsidP="0082342D">
      <w:pPr>
        <w:spacing w:line="240" w:lineRule="auto"/>
        <w:ind w:firstLine="709"/>
        <w:jc w:val="center"/>
        <w:rPr>
          <w:rFonts w:ascii="Times New Roman" w:hAnsi="Times New Roman" w:cs="Times New Roman"/>
          <w:b/>
          <w:sz w:val="24"/>
          <w:szCs w:val="24"/>
          <w:lang w:val="en-US"/>
        </w:rPr>
      </w:pPr>
      <w:r w:rsidRPr="0082342D">
        <w:rPr>
          <w:rFonts w:ascii="Times New Roman" w:hAnsi="Times New Roman" w:cs="Times New Roman"/>
          <w:b/>
          <w:sz w:val="24"/>
          <w:szCs w:val="24"/>
          <w:lang w:val="en-US"/>
        </w:rPr>
        <w:t>THE PLACE AND ROLE OF MULTINATIONAL CORPORATIONS IN THE RUSSIAN ECONOMY.</w:t>
      </w:r>
    </w:p>
    <w:p w14:paraId="3AA1F04F" w14:textId="77777777" w:rsidR="002245D5" w:rsidRPr="0082342D" w:rsidRDefault="002245D5" w:rsidP="0082342D">
      <w:pPr>
        <w:spacing w:after="0" w:line="240" w:lineRule="auto"/>
        <w:ind w:firstLine="709"/>
        <w:jc w:val="both"/>
        <w:rPr>
          <w:rFonts w:ascii="Times New Roman" w:eastAsia="Times New Roman" w:hAnsi="Times New Roman" w:cs="Times New Roman"/>
          <w:i/>
          <w:color w:val="000000"/>
          <w:sz w:val="24"/>
          <w:szCs w:val="24"/>
          <w:shd w:val="clear" w:color="auto" w:fill="FFFFFF"/>
          <w:lang w:val="en-US"/>
        </w:rPr>
      </w:pPr>
      <w:r w:rsidRPr="0082342D">
        <w:rPr>
          <w:rFonts w:ascii="Times New Roman" w:eastAsia="Times New Roman" w:hAnsi="Times New Roman" w:cs="Times New Roman"/>
          <w:i/>
          <w:color w:val="000000"/>
          <w:sz w:val="24"/>
          <w:szCs w:val="24"/>
          <w:shd w:val="clear" w:color="auto" w:fill="FFFFFF"/>
          <w:lang w:val="en-US"/>
        </w:rPr>
        <w:t xml:space="preserve">The article considers international transnational companies influence on the Russian economics and role of domestic TNC in the Russian modern economy. Analysis a list of the largest international companies of Fortune Global 500. Identifies the main thrust of the largest companies </w:t>
      </w:r>
      <w:r w:rsidRPr="0082342D">
        <w:rPr>
          <w:rFonts w:ascii="Times New Roman" w:eastAsia="Times New Roman" w:hAnsi="Times New Roman" w:cs="Times New Roman"/>
          <w:i/>
          <w:color w:val="000000"/>
          <w:sz w:val="24"/>
          <w:szCs w:val="24"/>
          <w:shd w:val="clear" w:color="auto" w:fill="FFFFFF"/>
          <w:lang w:val="en-US"/>
        </w:rPr>
        <w:lastRenderedPageBreak/>
        <w:t>in Russia. The rating criteria are net profit and market capitalization. Statistical information from UNCTAD report was used in this article. The conclusions are outlined in the end of article.</w:t>
      </w:r>
    </w:p>
    <w:p w14:paraId="7606C351" w14:textId="77777777" w:rsidR="002245D5" w:rsidRPr="0082342D" w:rsidRDefault="002245D5" w:rsidP="001973E4">
      <w:pPr>
        <w:spacing w:after="0" w:line="240" w:lineRule="auto"/>
        <w:ind w:firstLine="708"/>
        <w:jc w:val="both"/>
        <w:rPr>
          <w:rFonts w:ascii="Times New Roman" w:eastAsia="Times New Roman" w:hAnsi="Times New Roman" w:cs="Times New Roman"/>
          <w:i/>
          <w:sz w:val="24"/>
          <w:szCs w:val="24"/>
          <w:lang w:val="en-US"/>
        </w:rPr>
      </w:pPr>
      <w:r w:rsidRPr="0082342D">
        <w:rPr>
          <w:rFonts w:ascii="Times New Roman" w:eastAsia="Times New Roman" w:hAnsi="Times New Roman" w:cs="Times New Roman"/>
          <w:b/>
          <w:i/>
          <w:color w:val="000000"/>
          <w:sz w:val="24"/>
          <w:szCs w:val="24"/>
          <w:shd w:val="clear" w:color="auto" w:fill="FFFFFF"/>
          <w:lang w:val="en-US"/>
        </w:rPr>
        <w:t>Keywords:</w:t>
      </w:r>
      <w:r w:rsidRPr="0082342D">
        <w:rPr>
          <w:rFonts w:ascii="Times New Roman" w:eastAsia="Times New Roman" w:hAnsi="Times New Roman" w:cs="Times New Roman"/>
          <w:i/>
          <w:color w:val="000000"/>
          <w:sz w:val="24"/>
          <w:szCs w:val="24"/>
          <w:shd w:val="clear" w:color="auto" w:fill="FFFFFF"/>
          <w:lang w:val="en-US"/>
        </w:rPr>
        <w:t xml:space="preserve"> TNC, transnational companies, Russian economy, international market.</w:t>
      </w:r>
    </w:p>
    <w:p w14:paraId="07459315" w14:textId="77777777" w:rsidR="002245D5" w:rsidRPr="0082342D" w:rsidRDefault="002245D5" w:rsidP="0082342D">
      <w:pPr>
        <w:spacing w:line="240" w:lineRule="auto"/>
        <w:ind w:firstLine="709"/>
        <w:jc w:val="both"/>
        <w:rPr>
          <w:rFonts w:ascii="Times New Roman" w:hAnsi="Times New Roman" w:cs="Times New Roman"/>
          <w:i/>
          <w:sz w:val="24"/>
          <w:szCs w:val="24"/>
          <w:lang w:val="en-US"/>
        </w:rPr>
      </w:pPr>
    </w:p>
    <w:p w14:paraId="371969AD"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ТНК представляет собой особенный вид компании, переросшей государственные границы и исполняющей деятельность на мировом рынке посредством собственных иностранных филиалов и дочерних предприятий. Это национальная корпорация с иностранными активами, т. е. национальная в области капитала и контроля, но интернациональная по сфере собственной деятельности.</w:t>
      </w:r>
    </w:p>
    <w:p w14:paraId="1BF54468"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Деятельность зарубежных корпораций в Российской Федерации расположена географически совсем неравномерно. По большей части филиалы интернациональных компаний размещены в центральных районах с высокоразвитой инфраструктурой – Санкт Петербург, Москва. В Российской Федерации стратегия по привлечению зарубежного капитала наиболее широко развернулась в 90-е годы, к примеру, администрация Новгородской области освободила зарубежных инвесторов от любых видов налогов. Подобным образом, уже в конце 90-х годов 50% изготавливаемой продукции в области было изготовлено за счет зарубежного капитала.</w:t>
      </w:r>
    </w:p>
    <w:p w14:paraId="19761155" w14:textId="77777777" w:rsidR="002245D5" w:rsidRPr="0082342D" w:rsidRDefault="002245D5" w:rsidP="0082342D">
      <w:pPr>
        <w:spacing w:after="0" w:line="240" w:lineRule="auto"/>
        <w:ind w:firstLine="709"/>
        <w:jc w:val="both"/>
        <w:rPr>
          <w:rFonts w:ascii="Times New Roman" w:eastAsia="Times New Roman" w:hAnsi="Times New Roman" w:cs="Times New Roman"/>
          <w:sz w:val="24"/>
          <w:szCs w:val="24"/>
        </w:rPr>
      </w:pPr>
      <w:r w:rsidRPr="0082342D">
        <w:rPr>
          <w:rFonts w:ascii="Times New Roman" w:eastAsia="Times New Roman" w:hAnsi="Times New Roman" w:cs="Times New Roman"/>
          <w:sz w:val="24"/>
          <w:szCs w:val="24"/>
          <w:shd w:val="clear" w:color="auto" w:fill="FFFFFF"/>
        </w:rPr>
        <w:t>ТНК имеют большую динамику роста: в 1970 г. их число составляло 7,3 тыс. ТНК с оборотом около 626 млрд долларов. На начало 90-х гг. их насчитывалось 37 тыс. с оборотом в 7 млрд долларов, а в 2012 г. в мире было уже около 82 тыс. ТНК и их оборот составлял более 30 трлн долларов [2].</w:t>
      </w:r>
    </w:p>
    <w:p w14:paraId="13F4581E"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Западноевропейские транснациональные корпорации размещают свои финансы в Москве и Северо-Западном регионе, а японские и американские расширяют свои границы деятельности в центральном регионе, на Урале, в Сибири и на Дальнем Востоке. Швейцарская корпорация Nestle на российском рынке применяет ускоренную скупку контрольных пакетов акций кондитерских фабрик, в частности, в 1995 г. контрольный пакет акций фабрики Кондитерское объединение «Россия» в Самаре. Налоговые отчисления от деятельности такого гиганта как </w:t>
      </w:r>
      <w:r w:rsidRPr="0082342D">
        <w:rPr>
          <w:rFonts w:ascii="Times New Roman" w:hAnsi="Times New Roman" w:cs="Times New Roman"/>
          <w:sz w:val="24"/>
          <w:szCs w:val="24"/>
          <w:lang w:val="en-US"/>
        </w:rPr>
        <w:t>McDonald</w:t>
      </w:r>
      <w:r w:rsidRPr="0082342D">
        <w:rPr>
          <w:rFonts w:ascii="Times New Roman" w:hAnsi="Times New Roman" w:cs="Times New Roman"/>
          <w:sz w:val="24"/>
          <w:szCs w:val="24"/>
        </w:rPr>
        <w:t>’</w:t>
      </w:r>
      <w:r w:rsidRPr="0082342D">
        <w:rPr>
          <w:rFonts w:ascii="Times New Roman" w:hAnsi="Times New Roman" w:cs="Times New Roman"/>
          <w:sz w:val="24"/>
          <w:szCs w:val="24"/>
          <w:lang w:val="en-US"/>
        </w:rPr>
        <w:t>s</w:t>
      </w:r>
      <w:r w:rsidRPr="0082342D">
        <w:rPr>
          <w:rFonts w:ascii="Times New Roman" w:hAnsi="Times New Roman" w:cs="Times New Roman"/>
          <w:sz w:val="24"/>
          <w:szCs w:val="24"/>
        </w:rPr>
        <w:t xml:space="preserve"> на российском рынке в 2017 году принесли в бюджет свыше 338 миллиардов долларов.</w:t>
      </w:r>
    </w:p>
    <w:p w14:paraId="0ABA6BB8"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Американский деловой журнал </w:t>
      </w:r>
      <w:r w:rsidRPr="0082342D">
        <w:rPr>
          <w:rFonts w:ascii="Times New Roman" w:hAnsi="Times New Roman" w:cs="Times New Roman"/>
          <w:sz w:val="24"/>
          <w:szCs w:val="24"/>
          <w:lang w:val="en-US"/>
        </w:rPr>
        <w:t>Fortune</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Global</w:t>
      </w:r>
      <w:r w:rsidRPr="0082342D">
        <w:rPr>
          <w:rFonts w:ascii="Times New Roman" w:hAnsi="Times New Roman" w:cs="Times New Roman"/>
          <w:sz w:val="24"/>
          <w:szCs w:val="24"/>
        </w:rPr>
        <w:t xml:space="preserve"> </w:t>
      </w:r>
      <w:r w:rsidRPr="0082342D">
        <w:rPr>
          <w:rFonts w:ascii="Times New Roman" w:hAnsi="Times New Roman" w:cs="Times New Roman"/>
          <w:noProof/>
          <w:sz w:val="24"/>
          <w:szCs w:val="24"/>
        </w:rPr>
        <w:t>500 опублик</w:t>
      </w:r>
      <w:r w:rsidRPr="0082342D">
        <w:rPr>
          <w:rFonts w:ascii="Times New Roman" w:hAnsi="Times New Roman" w:cs="Times New Roman"/>
          <w:sz w:val="24"/>
          <w:szCs w:val="24"/>
        </w:rPr>
        <w:t>овал традиционный рейтинг крупнейших компаний планеты за 2017 год. Претендентами на попадание в этот престижный список являются:</w:t>
      </w:r>
    </w:p>
    <w:p w14:paraId="4701F3A3" w14:textId="77777777" w:rsidR="002245D5" w:rsidRPr="0082342D" w:rsidRDefault="002245D5" w:rsidP="0082342D">
      <w:pPr>
        <w:pStyle w:val="a7"/>
        <w:ind w:left="709"/>
        <w:jc w:val="both"/>
        <w:rPr>
          <w:rFonts w:ascii="Times New Roman" w:hAnsi="Times New Roman" w:cs="Times New Roman"/>
          <w:noProof/>
        </w:rPr>
      </w:pPr>
      <w:r w:rsidRPr="0082342D">
        <w:rPr>
          <w:rFonts w:ascii="Times New Roman" w:hAnsi="Times New Roman" w:cs="Times New Roman"/>
          <w:noProof/>
        </w:rPr>
        <w:t>- американские корпорации, отчитывающиеся в Комиссию по ценным бумагам и биржам;</w:t>
      </w:r>
      <w:r w:rsidRPr="0082342D">
        <w:rPr>
          <w:rFonts w:ascii="Times New Roman" w:eastAsia="Times New Roman" w:hAnsi="Times New Roman" w:cs="Times New Roman"/>
          <w:noProof/>
          <w:color w:val="000000"/>
        </w:rPr>
        <w:t xml:space="preserve"> </w:t>
      </w:r>
    </w:p>
    <w:p w14:paraId="4F0FA21A" w14:textId="77777777" w:rsidR="002245D5" w:rsidRPr="0082342D" w:rsidRDefault="002245D5" w:rsidP="0082342D">
      <w:pPr>
        <w:pStyle w:val="a7"/>
        <w:ind w:left="709"/>
        <w:jc w:val="both"/>
        <w:rPr>
          <w:rFonts w:ascii="Times New Roman" w:hAnsi="Times New Roman" w:cs="Times New Roman"/>
          <w:noProof/>
        </w:rPr>
      </w:pPr>
      <w:r w:rsidRPr="0082342D">
        <w:rPr>
          <w:rFonts w:ascii="Times New Roman" w:hAnsi="Times New Roman" w:cs="Times New Roman"/>
          <w:noProof/>
        </w:rPr>
        <w:t>- частные компании, зарегистрированные за пределами США, но публикующие отчетность в открытом доступе.</w:t>
      </w:r>
    </w:p>
    <w:p w14:paraId="0AF5F289" w14:textId="77777777" w:rsidR="002245D5" w:rsidRPr="0082342D" w:rsidRDefault="002245D5" w:rsidP="0082342D">
      <w:pPr>
        <w:spacing w:after="0" w:line="240" w:lineRule="auto"/>
        <w:ind w:firstLine="709"/>
        <w:jc w:val="both"/>
        <w:rPr>
          <w:rFonts w:ascii="Times New Roman" w:hAnsi="Times New Roman" w:cs="Times New Roman"/>
          <w:noProof/>
          <w:sz w:val="24"/>
          <w:szCs w:val="24"/>
        </w:rPr>
      </w:pPr>
      <w:r w:rsidRPr="0082342D">
        <w:rPr>
          <w:rFonts w:ascii="Times New Roman" w:hAnsi="Times New Roman" w:cs="Times New Roman"/>
          <w:noProof/>
          <w:sz w:val="24"/>
          <w:szCs w:val="24"/>
        </w:rPr>
        <w:t>Главный экспертный критерий – чистая прибыль за прошедший 2016 год [6].</w:t>
      </w:r>
    </w:p>
    <w:p w14:paraId="6537F28F" w14:textId="77777777" w:rsidR="002245D5" w:rsidRPr="0082342D" w:rsidRDefault="002245D5" w:rsidP="0082342D">
      <w:pPr>
        <w:spacing w:after="0" w:line="240" w:lineRule="auto"/>
        <w:ind w:firstLine="709"/>
        <w:jc w:val="both"/>
        <w:rPr>
          <w:rFonts w:ascii="Times New Roman" w:hAnsi="Times New Roman" w:cs="Times New Roman"/>
          <w:noProof/>
          <w:sz w:val="24"/>
          <w:szCs w:val="24"/>
        </w:rPr>
      </w:pPr>
    </w:p>
    <w:p w14:paraId="47FC6B90" w14:textId="77777777" w:rsidR="002245D5" w:rsidRPr="0082342D" w:rsidRDefault="002245D5" w:rsidP="0082342D">
      <w:pPr>
        <w:spacing w:after="0" w:line="240" w:lineRule="auto"/>
        <w:jc w:val="right"/>
        <w:rPr>
          <w:rFonts w:ascii="Times New Roman" w:hAnsi="Times New Roman" w:cs="Times New Roman"/>
          <w:i/>
          <w:noProof/>
          <w:sz w:val="24"/>
          <w:szCs w:val="24"/>
        </w:rPr>
      </w:pPr>
      <w:r w:rsidRPr="0082342D">
        <w:rPr>
          <w:rFonts w:ascii="Times New Roman" w:hAnsi="Times New Roman" w:cs="Times New Roman"/>
          <w:i/>
          <w:noProof/>
          <w:sz w:val="24"/>
          <w:szCs w:val="24"/>
        </w:rPr>
        <w:t>Таблица 1</w:t>
      </w:r>
    </w:p>
    <w:p w14:paraId="32B4ED71" w14:textId="77777777" w:rsidR="002245D5" w:rsidRPr="0082342D" w:rsidRDefault="002245D5" w:rsidP="0082342D">
      <w:pPr>
        <w:spacing w:after="0" w:line="240" w:lineRule="auto"/>
        <w:jc w:val="center"/>
        <w:rPr>
          <w:rFonts w:ascii="Times New Roman" w:hAnsi="Times New Roman" w:cs="Times New Roman"/>
          <w:i/>
          <w:noProof/>
          <w:sz w:val="24"/>
          <w:szCs w:val="24"/>
        </w:rPr>
      </w:pPr>
      <w:r w:rsidRPr="0082342D">
        <w:rPr>
          <w:rFonts w:ascii="Times New Roman" w:hAnsi="Times New Roman" w:cs="Times New Roman"/>
          <w:b/>
          <w:noProof/>
          <w:sz w:val="24"/>
          <w:szCs w:val="24"/>
        </w:rPr>
        <w:t xml:space="preserve">Крупнейшие компании мира по версии </w:t>
      </w:r>
      <w:r w:rsidRPr="0082342D">
        <w:rPr>
          <w:rFonts w:ascii="Times New Roman" w:hAnsi="Times New Roman" w:cs="Times New Roman"/>
          <w:b/>
          <w:sz w:val="24"/>
          <w:szCs w:val="24"/>
          <w:lang w:val="en-US"/>
        </w:rPr>
        <w:t>Fortune</w:t>
      </w:r>
      <w:r w:rsidRPr="0082342D">
        <w:rPr>
          <w:rFonts w:ascii="Times New Roman" w:hAnsi="Times New Roman" w:cs="Times New Roman"/>
          <w:b/>
          <w:sz w:val="24"/>
          <w:szCs w:val="24"/>
        </w:rPr>
        <w:t xml:space="preserve"> </w:t>
      </w:r>
      <w:r w:rsidRPr="0082342D">
        <w:rPr>
          <w:rFonts w:ascii="Times New Roman" w:hAnsi="Times New Roman" w:cs="Times New Roman"/>
          <w:b/>
          <w:sz w:val="24"/>
          <w:szCs w:val="24"/>
          <w:lang w:val="en-US"/>
        </w:rPr>
        <w:t>Global</w:t>
      </w:r>
      <w:r w:rsidRPr="0082342D">
        <w:rPr>
          <w:rFonts w:ascii="Times New Roman" w:hAnsi="Times New Roman" w:cs="Times New Roman"/>
          <w:b/>
          <w:sz w:val="24"/>
          <w:szCs w:val="24"/>
        </w:rPr>
        <w:t xml:space="preserve"> </w:t>
      </w:r>
      <w:r w:rsidRPr="0082342D">
        <w:rPr>
          <w:rFonts w:ascii="Times New Roman" w:hAnsi="Times New Roman" w:cs="Times New Roman"/>
          <w:b/>
          <w:noProof/>
          <w:sz w:val="24"/>
          <w:szCs w:val="24"/>
        </w:rPr>
        <w:t>500 [3]</w:t>
      </w:r>
    </w:p>
    <w:p w14:paraId="6DFB9E20" w14:textId="77777777" w:rsidR="002245D5" w:rsidRPr="0082342D" w:rsidRDefault="002245D5" w:rsidP="0082342D">
      <w:pPr>
        <w:pStyle w:val="a9"/>
        <w:shd w:val="clear" w:color="auto" w:fill="FFFFFF"/>
        <w:spacing w:before="0" w:beforeAutospacing="0" w:after="0" w:afterAutospacing="0"/>
        <w:ind w:firstLine="709"/>
        <w:jc w:val="both"/>
        <w:textAlignment w:val="baseline"/>
        <w:rPr>
          <w:color w:val="222222"/>
        </w:rPr>
      </w:pPr>
    </w:p>
    <w:tbl>
      <w:tblPr>
        <w:tblW w:w="9747" w:type="dxa"/>
        <w:tblLayout w:type="fixed"/>
        <w:tblLook w:val="04A0" w:firstRow="1" w:lastRow="0" w:firstColumn="1" w:lastColumn="0" w:noHBand="0" w:noVBand="1"/>
      </w:tblPr>
      <w:tblGrid>
        <w:gridCol w:w="2943"/>
        <w:gridCol w:w="2127"/>
        <w:gridCol w:w="3118"/>
        <w:gridCol w:w="1559"/>
      </w:tblGrid>
      <w:tr w:rsidR="002245D5" w:rsidRPr="0082342D" w14:paraId="26347EB8" w14:textId="77777777" w:rsidTr="002245D5">
        <w:trPr>
          <w:trHeight w:val="454"/>
        </w:trPr>
        <w:tc>
          <w:tcPr>
            <w:tcW w:w="2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E2DF0"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Крупнейшие компании мира</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14:paraId="4AE9E892"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Cтрана</w:t>
            </w:r>
          </w:p>
        </w:tc>
        <w:tc>
          <w:tcPr>
            <w:tcW w:w="3118" w:type="dxa"/>
            <w:tcBorders>
              <w:top w:val="single" w:sz="4" w:space="0" w:color="auto"/>
              <w:left w:val="nil"/>
              <w:bottom w:val="single" w:sz="4" w:space="0" w:color="auto"/>
              <w:right w:val="single" w:sz="4" w:space="0" w:color="auto"/>
            </w:tcBorders>
            <w:shd w:val="clear" w:color="auto" w:fill="auto"/>
            <w:noWrap/>
            <w:vAlign w:val="center"/>
            <w:hideMark/>
          </w:tcPr>
          <w:p w14:paraId="6400CAFA"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Cектор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CF6BDB6"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Чистая прибыль (млрд. долл.)</w:t>
            </w:r>
          </w:p>
        </w:tc>
      </w:tr>
      <w:tr w:rsidR="002245D5" w:rsidRPr="0082342D" w14:paraId="5B72E347"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440A08D0"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Walmart</w:t>
            </w:r>
          </w:p>
        </w:tc>
        <w:tc>
          <w:tcPr>
            <w:tcW w:w="2127" w:type="dxa"/>
            <w:tcBorders>
              <w:top w:val="nil"/>
              <w:left w:val="nil"/>
              <w:bottom w:val="single" w:sz="4" w:space="0" w:color="auto"/>
              <w:right w:val="single" w:sz="4" w:space="0" w:color="auto"/>
            </w:tcBorders>
            <w:shd w:val="clear" w:color="auto" w:fill="auto"/>
            <w:noWrap/>
            <w:vAlign w:val="center"/>
            <w:hideMark/>
          </w:tcPr>
          <w:p w14:paraId="340D7C03"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CША</w:t>
            </w:r>
          </w:p>
        </w:tc>
        <w:tc>
          <w:tcPr>
            <w:tcW w:w="3118" w:type="dxa"/>
            <w:tcBorders>
              <w:top w:val="nil"/>
              <w:left w:val="nil"/>
              <w:bottom w:val="single" w:sz="4" w:space="0" w:color="auto"/>
              <w:right w:val="single" w:sz="4" w:space="0" w:color="auto"/>
            </w:tcBorders>
            <w:shd w:val="clear" w:color="auto" w:fill="auto"/>
            <w:vAlign w:val="center"/>
            <w:hideMark/>
          </w:tcPr>
          <w:p w14:paraId="33135FB5"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Розничная торговля</w:t>
            </w:r>
          </w:p>
        </w:tc>
        <w:tc>
          <w:tcPr>
            <w:tcW w:w="1559" w:type="dxa"/>
            <w:tcBorders>
              <w:top w:val="nil"/>
              <w:left w:val="nil"/>
              <w:bottom w:val="single" w:sz="4" w:space="0" w:color="auto"/>
              <w:right w:val="single" w:sz="4" w:space="0" w:color="auto"/>
            </w:tcBorders>
            <w:shd w:val="clear" w:color="auto" w:fill="auto"/>
            <w:noWrap/>
            <w:vAlign w:val="center"/>
            <w:hideMark/>
          </w:tcPr>
          <w:p w14:paraId="799E8E4B"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485,873</w:t>
            </w:r>
          </w:p>
        </w:tc>
      </w:tr>
      <w:tr w:rsidR="002245D5" w:rsidRPr="0082342D" w14:paraId="68242C39"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572A3C17"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State Grid</w:t>
            </w:r>
          </w:p>
        </w:tc>
        <w:tc>
          <w:tcPr>
            <w:tcW w:w="2127" w:type="dxa"/>
            <w:tcBorders>
              <w:top w:val="nil"/>
              <w:left w:val="nil"/>
              <w:bottom w:val="single" w:sz="4" w:space="0" w:color="auto"/>
              <w:right w:val="single" w:sz="4" w:space="0" w:color="auto"/>
            </w:tcBorders>
            <w:shd w:val="clear" w:color="auto" w:fill="auto"/>
            <w:noWrap/>
            <w:vAlign w:val="center"/>
            <w:hideMark/>
          </w:tcPr>
          <w:p w14:paraId="40FCB529"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КНР</w:t>
            </w:r>
          </w:p>
        </w:tc>
        <w:tc>
          <w:tcPr>
            <w:tcW w:w="3118" w:type="dxa"/>
            <w:tcBorders>
              <w:top w:val="nil"/>
              <w:left w:val="nil"/>
              <w:bottom w:val="single" w:sz="4" w:space="0" w:color="auto"/>
              <w:right w:val="single" w:sz="4" w:space="0" w:color="auto"/>
            </w:tcBorders>
            <w:shd w:val="clear" w:color="auto" w:fill="auto"/>
            <w:vAlign w:val="center"/>
            <w:hideMark/>
          </w:tcPr>
          <w:p w14:paraId="2D792B2E"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Электроэнергетика</w:t>
            </w:r>
          </w:p>
        </w:tc>
        <w:tc>
          <w:tcPr>
            <w:tcW w:w="1559" w:type="dxa"/>
            <w:tcBorders>
              <w:top w:val="nil"/>
              <w:left w:val="nil"/>
              <w:bottom w:val="single" w:sz="4" w:space="0" w:color="auto"/>
              <w:right w:val="single" w:sz="4" w:space="0" w:color="auto"/>
            </w:tcBorders>
            <w:shd w:val="clear" w:color="auto" w:fill="auto"/>
            <w:noWrap/>
            <w:vAlign w:val="center"/>
            <w:hideMark/>
          </w:tcPr>
          <w:p w14:paraId="2B7C160B"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315,199</w:t>
            </w:r>
          </w:p>
        </w:tc>
      </w:tr>
      <w:tr w:rsidR="002245D5" w:rsidRPr="0082342D" w14:paraId="56B8B219"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325F52D2"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Sinopec Groupe</w:t>
            </w:r>
          </w:p>
        </w:tc>
        <w:tc>
          <w:tcPr>
            <w:tcW w:w="2127" w:type="dxa"/>
            <w:tcBorders>
              <w:top w:val="nil"/>
              <w:left w:val="nil"/>
              <w:bottom w:val="single" w:sz="4" w:space="0" w:color="auto"/>
              <w:right w:val="single" w:sz="4" w:space="0" w:color="auto"/>
            </w:tcBorders>
            <w:shd w:val="clear" w:color="auto" w:fill="auto"/>
            <w:noWrap/>
            <w:vAlign w:val="center"/>
            <w:hideMark/>
          </w:tcPr>
          <w:p w14:paraId="0E569900"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КНР</w:t>
            </w:r>
          </w:p>
        </w:tc>
        <w:tc>
          <w:tcPr>
            <w:tcW w:w="3118" w:type="dxa"/>
            <w:tcBorders>
              <w:top w:val="nil"/>
              <w:left w:val="nil"/>
              <w:bottom w:val="single" w:sz="4" w:space="0" w:color="auto"/>
              <w:right w:val="single" w:sz="4" w:space="0" w:color="auto"/>
            </w:tcBorders>
            <w:shd w:val="clear" w:color="auto" w:fill="auto"/>
            <w:vAlign w:val="center"/>
            <w:hideMark/>
          </w:tcPr>
          <w:p w14:paraId="2E637C2F"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Нефтехимическая отрасль</w:t>
            </w:r>
          </w:p>
        </w:tc>
        <w:tc>
          <w:tcPr>
            <w:tcW w:w="1559" w:type="dxa"/>
            <w:tcBorders>
              <w:top w:val="nil"/>
              <w:left w:val="nil"/>
              <w:bottom w:val="single" w:sz="4" w:space="0" w:color="auto"/>
              <w:right w:val="single" w:sz="4" w:space="0" w:color="auto"/>
            </w:tcBorders>
            <w:shd w:val="clear" w:color="auto" w:fill="auto"/>
            <w:noWrap/>
            <w:vAlign w:val="center"/>
            <w:hideMark/>
          </w:tcPr>
          <w:p w14:paraId="1DF87651"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267,518</w:t>
            </w:r>
          </w:p>
        </w:tc>
      </w:tr>
      <w:tr w:rsidR="002245D5" w:rsidRPr="0082342D" w14:paraId="1A278069"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15C5C032"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China National Petroleum</w:t>
            </w:r>
          </w:p>
        </w:tc>
        <w:tc>
          <w:tcPr>
            <w:tcW w:w="2127" w:type="dxa"/>
            <w:tcBorders>
              <w:top w:val="nil"/>
              <w:left w:val="nil"/>
              <w:bottom w:val="single" w:sz="4" w:space="0" w:color="auto"/>
              <w:right w:val="single" w:sz="4" w:space="0" w:color="auto"/>
            </w:tcBorders>
            <w:shd w:val="clear" w:color="auto" w:fill="auto"/>
            <w:noWrap/>
            <w:vAlign w:val="center"/>
            <w:hideMark/>
          </w:tcPr>
          <w:p w14:paraId="0E4E45F4"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КНР</w:t>
            </w:r>
          </w:p>
        </w:tc>
        <w:tc>
          <w:tcPr>
            <w:tcW w:w="3118" w:type="dxa"/>
            <w:tcBorders>
              <w:top w:val="nil"/>
              <w:left w:val="nil"/>
              <w:bottom w:val="single" w:sz="4" w:space="0" w:color="auto"/>
              <w:right w:val="single" w:sz="4" w:space="0" w:color="auto"/>
            </w:tcBorders>
            <w:shd w:val="clear" w:color="auto" w:fill="auto"/>
            <w:vAlign w:val="center"/>
            <w:hideMark/>
          </w:tcPr>
          <w:p w14:paraId="5FD990F5"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 xml:space="preserve">Нефтегазовая </w:t>
            </w:r>
            <w:r w:rsidRPr="0082342D">
              <w:rPr>
                <w:rFonts w:ascii="Times New Roman" w:eastAsia="Times New Roman" w:hAnsi="Times New Roman" w:cs="Times New Roman"/>
                <w:color w:val="000000"/>
                <w:sz w:val="24"/>
                <w:szCs w:val="24"/>
              </w:rPr>
              <w:lastRenderedPageBreak/>
              <w:t>промышленность</w:t>
            </w:r>
          </w:p>
        </w:tc>
        <w:tc>
          <w:tcPr>
            <w:tcW w:w="1559" w:type="dxa"/>
            <w:tcBorders>
              <w:top w:val="nil"/>
              <w:left w:val="nil"/>
              <w:bottom w:val="single" w:sz="4" w:space="0" w:color="auto"/>
              <w:right w:val="single" w:sz="4" w:space="0" w:color="auto"/>
            </w:tcBorders>
            <w:shd w:val="clear" w:color="auto" w:fill="auto"/>
            <w:noWrap/>
            <w:vAlign w:val="center"/>
            <w:hideMark/>
          </w:tcPr>
          <w:p w14:paraId="038BA848"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lastRenderedPageBreak/>
              <w:t>262,573</w:t>
            </w:r>
          </w:p>
        </w:tc>
      </w:tr>
      <w:tr w:rsidR="002245D5" w:rsidRPr="0082342D" w14:paraId="4BEB1591"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40787335"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lastRenderedPageBreak/>
              <w:t>Toyota Motor</w:t>
            </w:r>
          </w:p>
        </w:tc>
        <w:tc>
          <w:tcPr>
            <w:tcW w:w="2127" w:type="dxa"/>
            <w:tcBorders>
              <w:top w:val="nil"/>
              <w:left w:val="nil"/>
              <w:bottom w:val="single" w:sz="4" w:space="0" w:color="auto"/>
              <w:right w:val="single" w:sz="4" w:space="0" w:color="auto"/>
            </w:tcBorders>
            <w:shd w:val="clear" w:color="auto" w:fill="auto"/>
            <w:noWrap/>
            <w:vAlign w:val="center"/>
            <w:hideMark/>
          </w:tcPr>
          <w:p w14:paraId="6CDBDC98"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Япония</w:t>
            </w:r>
          </w:p>
        </w:tc>
        <w:tc>
          <w:tcPr>
            <w:tcW w:w="3118" w:type="dxa"/>
            <w:tcBorders>
              <w:top w:val="nil"/>
              <w:left w:val="nil"/>
              <w:bottom w:val="single" w:sz="4" w:space="0" w:color="auto"/>
              <w:right w:val="single" w:sz="4" w:space="0" w:color="auto"/>
            </w:tcBorders>
            <w:shd w:val="clear" w:color="auto" w:fill="auto"/>
            <w:vAlign w:val="center"/>
            <w:hideMark/>
          </w:tcPr>
          <w:p w14:paraId="266D2263"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Автомобилестроение</w:t>
            </w:r>
          </w:p>
        </w:tc>
        <w:tc>
          <w:tcPr>
            <w:tcW w:w="1559" w:type="dxa"/>
            <w:tcBorders>
              <w:top w:val="nil"/>
              <w:left w:val="nil"/>
              <w:bottom w:val="single" w:sz="4" w:space="0" w:color="auto"/>
              <w:right w:val="single" w:sz="4" w:space="0" w:color="auto"/>
            </w:tcBorders>
            <w:shd w:val="clear" w:color="auto" w:fill="auto"/>
            <w:noWrap/>
            <w:vAlign w:val="center"/>
            <w:hideMark/>
          </w:tcPr>
          <w:p w14:paraId="645920C2"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254,694</w:t>
            </w:r>
          </w:p>
        </w:tc>
      </w:tr>
      <w:tr w:rsidR="002245D5" w:rsidRPr="0082342D" w14:paraId="4236CBF8"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5F391C1D"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Volkswagen</w:t>
            </w:r>
          </w:p>
        </w:tc>
        <w:tc>
          <w:tcPr>
            <w:tcW w:w="2127" w:type="dxa"/>
            <w:tcBorders>
              <w:top w:val="nil"/>
              <w:left w:val="nil"/>
              <w:bottom w:val="single" w:sz="4" w:space="0" w:color="auto"/>
              <w:right w:val="single" w:sz="4" w:space="0" w:color="auto"/>
            </w:tcBorders>
            <w:shd w:val="clear" w:color="auto" w:fill="auto"/>
            <w:noWrap/>
            <w:vAlign w:val="center"/>
            <w:hideMark/>
          </w:tcPr>
          <w:p w14:paraId="7785C0E8"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Германия</w:t>
            </w:r>
          </w:p>
        </w:tc>
        <w:tc>
          <w:tcPr>
            <w:tcW w:w="3118" w:type="dxa"/>
            <w:tcBorders>
              <w:top w:val="nil"/>
              <w:left w:val="nil"/>
              <w:bottom w:val="single" w:sz="4" w:space="0" w:color="auto"/>
              <w:right w:val="single" w:sz="4" w:space="0" w:color="auto"/>
            </w:tcBorders>
            <w:shd w:val="clear" w:color="auto" w:fill="auto"/>
            <w:vAlign w:val="center"/>
            <w:hideMark/>
          </w:tcPr>
          <w:p w14:paraId="3550074D"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Автомобилестроение</w:t>
            </w:r>
          </w:p>
        </w:tc>
        <w:tc>
          <w:tcPr>
            <w:tcW w:w="1559" w:type="dxa"/>
            <w:tcBorders>
              <w:top w:val="nil"/>
              <w:left w:val="nil"/>
              <w:bottom w:val="single" w:sz="4" w:space="0" w:color="auto"/>
              <w:right w:val="single" w:sz="4" w:space="0" w:color="auto"/>
            </w:tcBorders>
            <w:shd w:val="clear" w:color="auto" w:fill="auto"/>
            <w:noWrap/>
            <w:vAlign w:val="center"/>
            <w:hideMark/>
          </w:tcPr>
          <w:p w14:paraId="3068C813"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240,264</w:t>
            </w:r>
          </w:p>
        </w:tc>
      </w:tr>
      <w:tr w:rsidR="002245D5" w:rsidRPr="0082342D" w14:paraId="3AF3C51E"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48FA965E"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Royal Dutch Shell</w:t>
            </w:r>
          </w:p>
        </w:tc>
        <w:tc>
          <w:tcPr>
            <w:tcW w:w="2127" w:type="dxa"/>
            <w:tcBorders>
              <w:top w:val="nil"/>
              <w:left w:val="nil"/>
              <w:bottom w:val="single" w:sz="4" w:space="0" w:color="auto"/>
              <w:right w:val="single" w:sz="4" w:space="0" w:color="auto"/>
            </w:tcBorders>
            <w:shd w:val="clear" w:color="auto" w:fill="auto"/>
            <w:vAlign w:val="center"/>
            <w:hideMark/>
          </w:tcPr>
          <w:p w14:paraId="49335C71"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 xml:space="preserve">Нидерланды – </w:t>
            </w:r>
          </w:p>
          <w:p w14:paraId="32FA049C"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Великобритания</w:t>
            </w:r>
          </w:p>
        </w:tc>
        <w:tc>
          <w:tcPr>
            <w:tcW w:w="3118" w:type="dxa"/>
            <w:tcBorders>
              <w:top w:val="nil"/>
              <w:left w:val="nil"/>
              <w:bottom w:val="single" w:sz="4" w:space="0" w:color="auto"/>
              <w:right w:val="single" w:sz="4" w:space="0" w:color="auto"/>
            </w:tcBorders>
            <w:shd w:val="clear" w:color="auto" w:fill="auto"/>
            <w:vAlign w:val="center"/>
            <w:hideMark/>
          </w:tcPr>
          <w:p w14:paraId="0F7FC7D8"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Нефтегазовая промышленность</w:t>
            </w:r>
          </w:p>
        </w:tc>
        <w:tc>
          <w:tcPr>
            <w:tcW w:w="1559" w:type="dxa"/>
            <w:tcBorders>
              <w:top w:val="nil"/>
              <w:left w:val="nil"/>
              <w:bottom w:val="single" w:sz="4" w:space="0" w:color="auto"/>
              <w:right w:val="single" w:sz="4" w:space="0" w:color="auto"/>
            </w:tcBorders>
            <w:shd w:val="clear" w:color="auto" w:fill="auto"/>
            <w:noWrap/>
            <w:vAlign w:val="center"/>
            <w:hideMark/>
          </w:tcPr>
          <w:p w14:paraId="109A0365"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240,033</w:t>
            </w:r>
          </w:p>
        </w:tc>
      </w:tr>
      <w:tr w:rsidR="002245D5" w:rsidRPr="0082342D" w14:paraId="553A2554"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7F99CEAC"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Berkshire Hathaway</w:t>
            </w:r>
          </w:p>
        </w:tc>
        <w:tc>
          <w:tcPr>
            <w:tcW w:w="2127" w:type="dxa"/>
            <w:tcBorders>
              <w:top w:val="nil"/>
              <w:left w:val="nil"/>
              <w:bottom w:val="single" w:sz="4" w:space="0" w:color="auto"/>
              <w:right w:val="single" w:sz="4" w:space="0" w:color="auto"/>
            </w:tcBorders>
            <w:shd w:val="clear" w:color="auto" w:fill="auto"/>
            <w:noWrap/>
            <w:vAlign w:val="center"/>
            <w:hideMark/>
          </w:tcPr>
          <w:p w14:paraId="683AA116"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CША</w:t>
            </w:r>
          </w:p>
        </w:tc>
        <w:tc>
          <w:tcPr>
            <w:tcW w:w="3118" w:type="dxa"/>
            <w:tcBorders>
              <w:top w:val="nil"/>
              <w:left w:val="nil"/>
              <w:bottom w:val="single" w:sz="4" w:space="0" w:color="auto"/>
              <w:right w:val="single" w:sz="4" w:space="0" w:color="auto"/>
            </w:tcBorders>
            <w:shd w:val="clear" w:color="auto" w:fill="auto"/>
            <w:vAlign w:val="center"/>
            <w:hideMark/>
          </w:tcPr>
          <w:p w14:paraId="393EFA2D"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Холдинговая многоотраслевая компания</w:t>
            </w:r>
          </w:p>
        </w:tc>
        <w:tc>
          <w:tcPr>
            <w:tcW w:w="1559" w:type="dxa"/>
            <w:tcBorders>
              <w:top w:val="nil"/>
              <w:left w:val="nil"/>
              <w:bottom w:val="single" w:sz="4" w:space="0" w:color="auto"/>
              <w:right w:val="single" w:sz="4" w:space="0" w:color="auto"/>
            </w:tcBorders>
            <w:shd w:val="clear" w:color="auto" w:fill="auto"/>
            <w:noWrap/>
            <w:vAlign w:val="center"/>
            <w:hideMark/>
          </w:tcPr>
          <w:p w14:paraId="3BA6D399"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223,604</w:t>
            </w:r>
          </w:p>
        </w:tc>
      </w:tr>
      <w:tr w:rsidR="002245D5" w:rsidRPr="0082342D" w14:paraId="687D95C2"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2213EE7B"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Apple</w:t>
            </w:r>
          </w:p>
        </w:tc>
        <w:tc>
          <w:tcPr>
            <w:tcW w:w="2127" w:type="dxa"/>
            <w:tcBorders>
              <w:top w:val="nil"/>
              <w:left w:val="nil"/>
              <w:bottom w:val="single" w:sz="4" w:space="0" w:color="auto"/>
              <w:right w:val="single" w:sz="4" w:space="0" w:color="auto"/>
            </w:tcBorders>
            <w:shd w:val="clear" w:color="auto" w:fill="auto"/>
            <w:noWrap/>
            <w:vAlign w:val="center"/>
            <w:hideMark/>
          </w:tcPr>
          <w:p w14:paraId="30A2ECA9"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CША</w:t>
            </w:r>
          </w:p>
        </w:tc>
        <w:tc>
          <w:tcPr>
            <w:tcW w:w="3118" w:type="dxa"/>
            <w:tcBorders>
              <w:top w:val="nil"/>
              <w:left w:val="nil"/>
              <w:bottom w:val="single" w:sz="4" w:space="0" w:color="auto"/>
              <w:right w:val="single" w:sz="4" w:space="0" w:color="auto"/>
            </w:tcBorders>
            <w:shd w:val="clear" w:color="auto" w:fill="auto"/>
            <w:vAlign w:val="center"/>
            <w:hideMark/>
          </w:tcPr>
          <w:p w14:paraId="3C8612B6"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Cектор высоких технологий</w:t>
            </w:r>
          </w:p>
        </w:tc>
        <w:tc>
          <w:tcPr>
            <w:tcW w:w="1559" w:type="dxa"/>
            <w:tcBorders>
              <w:top w:val="nil"/>
              <w:left w:val="nil"/>
              <w:bottom w:val="single" w:sz="4" w:space="0" w:color="auto"/>
              <w:right w:val="single" w:sz="4" w:space="0" w:color="auto"/>
            </w:tcBorders>
            <w:shd w:val="clear" w:color="auto" w:fill="auto"/>
            <w:noWrap/>
            <w:vAlign w:val="center"/>
            <w:hideMark/>
          </w:tcPr>
          <w:p w14:paraId="1E22D95A"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215,639</w:t>
            </w:r>
          </w:p>
        </w:tc>
      </w:tr>
      <w:tr w:rsidR="002245D5" w:rsidRPr="0082342D" w14:paraId="6347CC3A" w14:textId="77777777" w:rsidTr="002245D5">
        <w:trPr>
          <w:trHeight w:val="454"/>
        </w:trPr>
        <w:tc>
          <w:tcPr>
            <w:tcW w:w="2943" w:type="dxa"/>
            <w:tcBorders>
              <w:top w:val="nil"/>
              <w:left w:val="single" w:sz="4" w:space="0" w:color="auto"/>
              <w:bottom w:val="single" w:sz="4" w:space="0" w:color="auto"/>
              <w:right w:val="single" w:sz="4" w:space="0" w:color="auto"/>
            </w:tcBorders>
            <w:shd w:val="clear" w:color="auto" w:fill="auto"/>
            <w:noWrap/>
            <w:vAlign w:val="center"/>
            <w:hideMark/>
          </w:tcPr>
          <w:p w14:paraId="497383E4" w14:textId="77777777" w:rsidR="002245D5" w:rsidRPr="0082342D" w:rsidRDefault="002245D5" w:rsidP="0082342D">
            <w:pPr>
              <w:spacing w:line="240" w:lineRule="auto"/>
              <w:jc w:val="center"/>
              <w:rPr>
                <w:rFonts w:ascii="Times New Roman" w:eastAsia="Times New Roman" w:hAnsi="Times New Roman" w:cs="Times New Roman"/>
                <w:color w:val="222222"/>
                <w:sz w:val="24"/>
                <w:szCs w:val="24"/>
              </w:rPr>
            </w:pPr>
            <w:r w:rsidRPr="0082342D">
              <w:rPr>
                <w:rFonts w:ascii="Times New Roman" w:eastAsia="Times New Roman" w:hAnsi="Times New Roman" w:cs="Times New Roman"/>
                <w:color w:val="222222"/>
                <w:sz w:val="24"/>
                <w:szCs w:val="24"/>
              </w:rPr>
              <w:t>Exxon Mobile</w:t>
            </w:r>
          </w:p>
        </w:tc>
        <w:tc>
          <w:tcPr>
            <w:tcW w:w="2127" w:type="dxa"/>
            <w:tcBorders>
              <w:top w:val="nil"/>
              <w:left w:val="nil"/>
              <w:bottom w:val="single" w:sz="4" w:space="0" w:color="auto"/>
              <w:right w:val="single" w:sz="4" w:space="0" w:color="auto"/>
            </w:tcBorders>
            <w:shd w:val="clear" w:color="auto" w:fill="auto"/>
            <w:noWrap/>
            <w:vAlign w:val="center"/>
            <w:hideMark/>
          </w:tcPr>
          <w:p w14:paraId="42E174EF"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CША</w:t>
            </w:r>
          </w:p>
        </w:tc>
        <w:tc>
          <w:tcPr>
            <w:tcW w:w="3118" w:type="dxa"/>
            <w:tcBorders>
              <w:top w:val="nil"/>
              <w:left w:val="nil"/>
              <w:bottom w:val="single" w:sz="4" w:space="0" w:color="auto"/>
              <w:right w:val="single" w:sz="4" w:space="0" w:color="auto"/>
            </w:tcBorders>
            <w:shd w:val="clear" w:color="auto" w:fill="auto"/>
            <w:vAlign w:val="center"/>
            <w:hideMark/>
          </w:tcPr>
          <w:p w14:paraId="48970230"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Нефтегазовая промышленность</w:t>
            </w:r>
          </w:p>
        </w:tc>
        <w:tc>
          <w:tcPr>
            <w:tcW w:w="1559" w:type="dxa"/>
            <w:tcBorders>
              <w:top w:val="nil"/>
              <w:left w:val="nil"/>
              <w:bottom w:val="single" w:sz="4" w:space="0" w:color="auto"/>
              <w:right w:val="single" w:sz="4" w:space="0" w:color="auto"/>
            </w:tcBorders>
            <w:shd w:val="clear" w:color="auto" w:fill="auto"/>
            <w:noWrap/>
            <w:vAlign w:val="center"/>
            <w:hideMark/>
          </w:tcPr>
          <w:p w14:paraId="0A290DFC" w14:textId="77777777" w:rsidR="002245D5" w:rsidRPr="0082342D" w:rsidRDefault="002245D5" w:rsidP="0082342D">
            <w:pPr>
              <w:spacing w:line="240" w:lineRule="auto"/>
              <w:jc w:val="center"/>
              <w:rPr>
                <w:rFonts w:ascii="Times New Roman" w:eastAsia="Times New Roman" w:hAnsi="Times New Roman" w:cs="Times New Roman"/>
                <w:color w:val="000000"/>
                <w:sz w:val="24"/>
                <w:szCs w:val="24"/>
              </w:rPr>
            </w:pPr>
            <w:r w:rsidRPr="0082342D">
              <w:rPr>
                <w:rFonts w:ascii="Times New Roman" w:eastAsia="Times New Roman" w:hAnsi="Times New Roman" w:cs="Times New Roman"/>
                <w:color w:val="000000"/>
                <w:sz w:val="24"/>
                <w:szCs w:val="24"/>
              </w:rPr>
              <w:t>205,004</w:t>
            </w:r>
          </w:p>
        </w:tc>
      </w:tr>
    </w:tbl>
    <w:p w14:paraId="70DF9E56" w14:textId="77777777" w:rsidR="006A266D" w:rsidRPr="0082342D" w:rsidRDefault="006A266D" w:rsidP="0082342D">
      <w:pPr>
        <w:pStyle w:val="a9"/>
        <w:shd w:val="clear" w:color="auto" w:fill="FFFFFF"/>
        <w:spacing w:before="0" w:beforeAutospacing="0" w:after="0" w:afterAutospacing="0"/>
        <w:ind w:firstLine="709"/>
        <w:jc w:val="both"/>
        <w:textAlignment w:val="baseline"/>
        <w:rPr>
          <w:color w:val="222222"/>
        </w:rPr>
      </w:pPr>
    </w:p>
    <w:p w14:paraId="030A8878" w14:textId="77777777" w:rsidR="002245D5" w:rsidRPr="0082342D" w:rsidRDefault="002245D5" w:rsidP="0082342D">
      <w:pPr>
        <w:pStyle w:val="a9"/>
        <w:shd w:val="clear" w:color="auto" w:fill="FFFFFF"/>
        <w:spacing w:before="0" w:beforeAutospacing="0" w:after="0" w:afterAutospacing="0"/>
        <w:ind w:firstLine="709"/>
        <w:jc w:val="both"/>
        <w:textAlignment w:val="baseline"/>
        <w:rPr>
          <w:color w:val="222222"/>
        </w:rPr>
      </w:pPr>
      <w:r w:rsidRPr="0082342D">
        <w:rPr>
          <w:color w:val="222222"/>
        </w:rPr>
        <w:t>Таким образом, на глобальном рынке доминируют корпорации из Соединенных Штатов и Китая. По данным Fortune Global 500, совокупная выручка 500 крупнейших компаний мира в 2016г. достигла 27,7 трлн. долларов, общая прибыль составила 1,5 трлн. долларов.</w:t>
      </w:r>
    </w:p>
    <w:p w14:paraId="4158CADF" w14:textId="77777777" w:rsidR="002245D5" w:rsidRPr="0082342D" w:rsidRDefault="630840AF" w:rsidP="630840AF">
      <w:pPr>
        <w:pStyle w:val="a9"/>
        <w:shd w:val="clear" w:color="auto" w:fill="FFFFFF" w:themeFill="background1"/>
        <w:spacing w:before="0" w:beforeAutospacing="0" w:after="0" w:afterAutospacing="0"/>
        <w:ind w:firstLine="709"/>
        <w:jc w:val="both"/>
        <w:textAlignment w:val="baseline"/>
        <w:rPr>
          <w:color w:val="222222"/>
        </w:rPr>
      </w:pPr>
      <w:r w:rsidRPr="630840AF">
        <w:rPr>
          <w:color w:val="222222"/>
        </w:rPr>
        <w:t>Географически предприятия расположены в 34 государствах планеты, на них трудятся 67 миллионов человек.</w:t>
      </w:r>
    </w:p>
    <w:p w14:paraId="3D9924B0" w14:textId="77777777" w:rsidR="006A266D" w:rsidRPr="0082342D" w:rsidRDefault="002245D5" w:rsidP="0082342D">
      <w:pPr>
        <w:spacing w:line="240" w:lineRule="auto"/>
        <w:ind w:firstLine="709"/>
        <w:jc w:val="both"/>
        <w:rPr>
          <w:rFonts w:ascii="Times New Roman" w:hAnsi="Times New Roman" w:cs="Times New Roman"/>
          <w:noProof/>
          <w:sz w:val="24"/>
          <w:szCs w:val="24"/>
        </w:rPr>
      </w:pPr>
      <w:r w:rsidRPr="0082342D">
        <w:rPr>
          <w:rFonts w:ascii="Times New Roman" w:hAnsi="Times New Roman" w:cs="Times New Roman"/>
          <w:noProof/>
          <w:sz w:val="24"/>
          <w:szCs w:val="24"/>
        </w:rPr>
        <w:t>Существуют ли ТНК в России? Перечень российских фирм такого масштаба не совсем велик, так как в восточной Европе транснациональные корпорации только начинают формироваться, однако и здесь у</w:t>
      </w:r>
      <w:r w:rsidR="006A266D" w:rsidRPr="0082342D">
        <w:rPr>
          <w:rFonts w:ascii="Times New Roman" w:hAnsi="Times New Roman" w:cs="Times New Roman"/>
          <w:noProof/>
          <w:sz w:val="24"/>
          <w:szCs w:val="24"/>
        </w:rPr>
        <w:t xml:space="preserve">же имеются свои первопроходцы. </w:t>
      </w:r>
    </w:p>
    <w:p w14:paraId="172E3765" w14:textId="77777777" w:rsidR="002245D5" w:rsidRPr="0082342D" w:rsidRDefault="002245D5" w:rsidP="0082342D">
      <w:pPr>
        <w:spacing w:line="240" w:lineRule="auto"/>
        <w:ind w:firstLine="709"/>
        <w:jc w:val="both"/>
        <w:rPr>
          <w:rFonts w:ascii="Times New Roman" w:hAnsi="Times New Roman" w:cs="Times New Roman"/>
          <w:noProof/>
          <w:sz w:val="24"/>
          <w:szCs w:val="24"/>
        </w:rPr>
      </w:pPr>
      <w:r w:rsidRPr="0082342D">
        <w:rPr>
          <w:rFonts w:ascii="Times New Roman" w:hAnsi="Times New Roman" w:cs="Times New Roman"/>
          <w:noProof/>
          <w:sz w:val="24"/>
          <w:szCs w:val="24"/>
        </w:rPr>
        <w:t>Незначительное количество фирм близких к транснациональным корпорациям сформировались еще в СССР такие, как «Аэрофлот», «Ингосстрах». «Ингосстрах» обладает дочерними, ассоциированными фирмами и отделениями в Нидерландах, США, Англии, Германии, Франции, Индии, Австрии, Китае, также ряде стран СНГ.</w:t>
      </w:r>
    </w:p>
    <w:p w14:paraId="7F1929A2" w14:textId="77777777" w:rsidR="002245D5" w:rsidRPr="0082342D" w:rsidRDefault="002245D5" w:rsidP="0082342D">
      <w:pPr>
        <w:spacing w:line="240" w:lineRule="auto"/>
        <w:ind w:firstLine="709"/>
        <w:jc w:val="both"/>
        <w:rPr>
          <w:rFonts w:ascii="Times New Roman" w:hAnsi="Times New Roman" w:cs="Times New Roman"/>
          <w:sz w:val="24"/>
          <w:szCs w:val="24"/>
        </w:rPr>
      </w:pPr>
      <w:r w:rsidRPr="0082342D">
        <w:rPr>
          <w:rFonts w:ascii="Times New Roman" w:hAnsi="Times New Roman" w:cs="Times New Roman"/>
          <w:noProof/>
          <w:sz w:val="24"/>
          <w:szCs w:val="24"/>
        </w:rPr>
        <w:t>«Газпром» осуществляет контроль 34% мировых разведанных запасов природного газа, дает обеспечение практически пятой част всех западноевропейских потребностей в этом сырье. Существенные иностранные капиталовложения дают возможность «Газпрому» располагать банками, биржами, совместными и оффшорными компаниями. Корпорация обладает собственностью не только в Российской Федерации и в ближнем зарубежье, но и в индустриально развитых странах. Основным центром инвестиционной деятельности «Газпрома» считается Германия. Газовая сеть на территории предоставленного государства дает возможность независимо, без посредников, прогонять газ в любую точку Западной Европы – Бельгию, Голландию, Австрию, Францию, в том числе и в Великобританию. Многолетний лидер рейтинга «Газпром» уступио певрое место ПАО Сбербанк и опустился на третье место на начал</w:t>
      </w:r>
      <w:r w:rsidRPr="0082342D">
        <w:rPr>
          <w:rFonts w:ascii="Times New Roman" w:hAnsi="Times New Roman" w:cs="Times New Roman"/>
          <w:sz w:val="24"/>
          <w:szCs w:val="24"/>
        </w:rPr>
        <w:t>о 2018 года. Капитализация «Газпрома» за прошлый год снизилась на 11%, до 53,304 миллиарда долларов [4].</w:t>
      </w:r>
    </w:p>
    <w:p w14:paraId="44E871BC" w14:textId="77777777" w:rsidR="002245D5" w:rsidRPr="0082342D" w:rsidRDefault="002245D5" w:rsidP="0082342D">
      <w:pPr>
        <w:spacing w:line="240" w:lineRule="auto"/>
        <w:jc w:val="both"/>
        <w:rPr>
          <w:rFonts w:ascii="Times New Roman" w:hAnsi="Times New Roman" w:cs="Times New Roman"/>
          <w:sz w:val="24"/>
          <w:szCs w:val="24"/>
        </w:rPr>
      </w:pPr>
    </w:p>
    <w:p w14:paraId="144A5D23" w14:textId="77777777" w:rsidR="002245D5" w:rsidRPr="0082342D" w:rsidRDefault="002245D5" w:rsidP="0082342D">
      <w:pPr>
        <w:spacing w:line="240" w:lineRule="auto"/>
        <w:jc w:val="center"/>
        <w:rPr>
          <w:rFonts w:ascii="Times New Roman" w:hAnsi="Times New Roman" w:cs="Times New Roman"/>
          <w:sz w:val="24"/>
          <w:szCs w:val="24"/>
        </w:rPr>
      </w:pPr>
      <w:r w:rsidRPr="0082342D">
        <w:rPr>
          <w:rFonts w:ascii="Times New Roman" w:eastAsia="Times New Roman" w:hAnsi="Times New Roman" w:cs="Times New Roman"/>
          <w:noProof/>
          <w:color w:val="000000"/>
          <w:sz w:val="24"/>
          <w:szCs w:val="24"/>
          <w:lang w:eastAsia="ru-RU"/>
        </w:rPr>
        <w:lastRenderedPageBreak/>
        <w:drawing>
          <wp:inline distT="0" distB="0" distL="0" distR="0" wp14:anchorId="7B242718" wp14:editId="07777777">
            <wp:extent cx="6096851" cy="4086796"/>
            <wp:effectExtent l="19050" t="0" r="0" b="0"/>
            <wp:docPr id="3" name="Рисунок 1" descr="таблиц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лица.png"/>
                    <pic:cNvPicPr/>
                  </pic:nvPicPr>
                  <pic:blipFill>
                    <a:blip r:embed="rId23" cstate="print"/>
                    <a:stretch>
                      <a:fillRect/>
                    </a:stretch>
                  </pic:blipFill>
                  <pic:spPr>
                    <a:xfrm>
                      <a:off x="0" y="0"/>
                      <a:ext cx="6096851" cy="4086796"/>
                    </a:xfrm>
                    <a:prstGeom prst="rect">
                      <a:avLst/>
                    </a:prstGeom>
                  </pic:spPr>
                </pic:pic>
              </a:graphicData>
            </a:graphic>
          </wp:inline>
        </w:drawing>
      </w:r>
    </w:p>
    <w:p w14:paraId="40BCE3F1" w14:textId="77777777" w:rsidR="002245D5" w:rsidRPr="0082342D" w:rsidRDefault="002245D5" w:rsidP="0082342D">
      <w:pPr>
        <w:pStyle w:val="a9"/>
        <w:spacing w:before="0" w:beforeAutospacing="0" w:after="0" w:afterAutospacing="0"/>
        <w:jc w:val="center"/>
      </w:pPr>
      <w:r w:rsidRPr="0082342D">
        <w:t>Рис.1. Крупнейшие компании России по капитализации (млн.долл.)</w:t>
      </w:r>
    </w:p>
    <w:p w14:paraId="738610EB" w14:textId="77777777" w:rsidR="002245D5" w:rsidRPr="001973E4" w:rsidRDefault="002245D5" w:rsidP="0082342D">
      <w:pPr>
        <w:pStyle w:val="a9"/>
        <w:spacing w:before="0" w:beforeAutospacing="0" w:after="0" w:afterAutospacing="0"/>
        <w:ind w:firstLine="709"/>
        <w:jc w:val="both"/>
      </w:pPr>
    </w:p>
    <w:p w14:paraId="175EE721" w14:textId="77777777" w:rsidR="002245D5" w:rsidRPr="001973E4" w:rsidRDefault="002245D5" w:rsidP="0082342D">
      <w:pPr>
        <w:pStyle w:val="a9"/>
        <w:spacing w:before="0" w:beforeAutospacing="0" w:after="0" w:afterAutospacing="0"/>
        <w:ind w:firstLine="709"/>
        <w:jc w:val="both"/>
      </w:pPr>
      <w:r w:rsidRPr="001973E4">
        <w:t>Основной рублевый индекс (МосБиржи) за год снизился на 5,5%, а долларовый (РТС) – вырос лишь на 0,2%. Тем не менее, несмотря на снижение индекса, среди крупнейших по капитализации компаний большинство демонстрировали рост котировок в 2017 году. Согласно рейтингу, суммарная капитализация ТОП-100 российских компаний за прошедший год выросла на 1,3% или на 8,4 миллиарда долларов до 643 миллиарда долларов на 29 декабря 2017 года. Для сравнения, в 2016 году рост был намного больше – +58% или +233 миллиарда долларов. Медианная капитализация российских 100 публичных компаний не изменилась и составляла 1,8-1,9 миллиарда долларов. В свою очередь, минимальный размер капитализации, с которым можно было попасть в число ТОП-100 самых дорогих компаний по итогам 2017 года, составил 318 миллионов долларов, против 267 миллионов долларов в прошлогоднем рейтинге и 157 на 31 декабря 2015 года. Таким образом, нижняя планка для вхождения в число 100 самых дорогих компаний России за два года увеличилась вдвое [7].</w:t>
      </w:r>
    </w:p>
    <w:p w14:paraId="5455366F" w14:textId="77777777" w:rsidR="002245D5" w:rsidRPr="001973E4" w:rsidRDefault="002245D5" w:rsidP="0082342D">
      <w:pPr>
        <w:pStyle w:val="a9"/>
        <w:spacing w:before="0" w:beforeAutospacing="0" w:after="0" w:afterAutospacing="0"/>
        <w:ind w:firstLine="709"/>
        <w:jc w:val="both"/>
      </w:pPr>
      <w:r w:rsidRPr="001973E4">
        <w:t>В первой десятке, согласно рейтингу, также расположились компании: Сбербанк, Газпром, Роснефть, ЛУКОЙЛ, НОВАТЭК, Норильский никель, Газпром нефть, Татнефть, Сургутнефтегаз и НЛМК. Стоит отметить, что сразу две компании по итогам года покинули ТОП-10, и соответственно в десятке две компании-новичка. Покинули число десяти крупнейших по капитализации компаний России Магнит и Банк ВТБ.</w:t>
      </w:r>
    </w:p>
    <w:p w14:paraId="013726D7" w14:textId="77777777" w:rsidR="002245D5" w:rsidRPr="001973E4" w:rsidRDefault="002245D5" w:rsidP="0082342D">
      <w:pPr>
        <w:pStyle w:val="a9"/>
        <w:spacing w:before="0" w:beforeAutospacing="0" w:after="0" w:afterAutospacing="0"/>
        <w:ind w:firstLine="709"/>
        <w:jc w:val="both"/>
      </w:pPr>
      <w:r w:rsidRPr="001973E4">
        <w:t>Среди 100 самых дорогих компаний рыночная капитализация в 2017 году выросла у 55, что заметно меньше прошлогоднего результата (91 компания). Лидером по темпам роста рыночной капитализации среди ТОП-100 компаний рейтинга в 2017 года стала девелоперская компания Инград. Капитализация этой компании в течение года возросла более чем в 8 раз. Второй компанией по темпам роста стала компания Ленэнерго, капитализация которой выросла в 4,7 раза, что также в основном связанно с допэмиссией. В целом же у 5 компаний рост капитализации в 2017 году был кратным, что в большинстве случаев было обусловлено допэмиссиями. Для сравнения, в 2016 году 25 компаний показали кратный прирост капитализации, что чаще всего определялось динамикой акций [5].</w:t>
      </w:r>
    </w:p>
    <w:p w14:paraId="14D61A36"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lastRenderedPageBreak/>
        <w:t>Отечественная особенность переходного периода к рынку привела к тому, что в государстве появилось своего рода влияние: процесс вывоза денежных средств через транснациональную корпорацию наложился на резкую потребность в зарубежных инвестициях. В свою очередь недостаток зарубежных инвестиций был аргументирован несоответствием делового климата Российской Федерации мировым стандартам, что отпугивает потенциальных инвесторов. Однако, благодаря стремительным темпам становления процессов транснационализации в государстве очень быстро сформировывается новая бизнес-среда.</w:t>
      </w:r>
    </w:p>
    <w:p w14:paraId="795E1BE6" w14:textId="77777777" w:rsidR="002245D5" w:rsidRPr="0082342D" w:rsidRDefault="002245D5" w:rsidP="0082342D">
      <w:pPr>
        <w:spacing w:after="0" w:line="240" w:lineRule="auto"/>
        <w:ind w:firstLine="709"/>
        <w:jc w:val="both"/>
        <w:rPr>
          <w:rFonts w:ascii="Times New Roman" w:eastAsia="Times New Roman" w:hAnsi="Times New Roman" w:cs="Times New Roman"/>
          <w:sz w:val="24"/>
          <w:szCs w:val="24"/>
        </w:rPr>
      </w:pPr>
      <w:r w:rsidRPr="001973E4">
        <w:rPr>
          <w:rFonts w:ascii="Times New Roman" w:eastAsia="Times New Roman" w:hAnsi="Times New Roman" w:cs="Times New Roman"/>
          <w:sz w:val="24"/>
          <w:szCs w:val="24"/>
          <w:shd w:val="clear" w:color="auto" w:fill="FFFFFF"/>
        </w:rPr>
        <w:t>Несмотря на объемы вывозимого зарубеж российского капитала, Россия и сейчас занимает не самые высокие позиции в области капитала производственного характера на международном уровне. Удельный вес в суммарном объеме мировых накоплений инвестиций не превышает отметки 0,4 - 0,5%. Это не может удовлетворить потребности страны, а также не соответствует ее масштабу и возможностям. Поэтому, если рассматривать транснациональную политику</w:t>
      </w:r>
      <w:r w:rsidRPr="0082342D">
        <w:rPr>
          <w:rFonts w:ascii="Times New Roman" w:eastAsia="Times New Roman" w:hAnsi="Times New Roman" w:cs="Times New Roman"/>
          <w:color w:val="1C1C1C"/>
          <w:sz w:val="24"/>
          <w:szCs w:val="24"/>
          <w:shd w:val="clear" w:color="auto" w:fill="FFFFFF"/>
        </w:rPr>
        <w:t xml:space="preserve"> России через призму вывезенного капитала, ее степень можно считать незначительной [1]. </w:t>
      </w:r>
    </w:p>
    <w:p w14:paraId="186EA1A8" w14:textId="77777777" w:rsidR="002245D5" w:rsidRPr="0082342D" w:rsidRDefault="002245D5" w:rsidP="0082342D">
      <w:pPr>
        <w:spacing w:after="0" w:line="240" w:lineRule="auto"/>
        <w:ind w:firstLine="709"/>
        <w:jc w:val="both"/>
        <w:rPr>
          <w:rFonts w:ascii="Times New Roman" w:eastAsia="Times New Roman" w:hAnsi="Times New Roman" w:cs="Times New Roman"/>
          <w:sz w:val="24"/>
          <w:szCs w:val="24"/>
        </w:rPr>
      </w:pPr>
      <w:r w:rsidRPr="0082342D">
        <w:rPr>
          <w:rFonts w:ascii="Times New Roman" w:eastAsia="Times New Roman" w:hAnsi="Times New Roman" w:cs="Times New Roman"/>
          <w:color w:val="1C1C1C"/>
          <w:sz w:val="24"/>
          <w:szCs w:val="24"/>
          <w:shd w:val="clear" w:color="auto" w:fill="FFFFFF"/>
        </w:rPr>
        <w:t>Несмотря на этот факт, вывоз капитала, как прямых международных инвестиций, благоприятно влияет на формирование прочного основания для внешней торговли и товарного экспорта. Он повышает планку российских предприятий в конкурентной борьбе мирового уровня и способствует укреплению национальной экономики. Государственная политика формирует благоприятную атмосферу для возвращения части капитала..</w:t>
      </w:r>
    </w:p>
    <w:p w14:paraId="2BA9EBE2" w14:textId="77777777" w:rsidR="002245D5" w:rsidRPr="0082342D" w:rsidRDefault="002245D5" w:rsidP="0082342D">
      <w:pPr>
        <w:spacing w:after="0" w:line="240" w:lineRule="auto"/>
        <w:ind w:firstLine="709"/>
        <w:jc w:val="both"/>
        <w:rPr>
          <w:rFonts w:ascii="Times New Roman" w:eastAsia="Times New Roman" w:hAnsi="Times New Roman" w:cs="Times New Roman"/>
          <w:sz w:val="24"/>
          <w:szCs w:val="24"/>
        </w:rPr>
      </w:pPr>
      <w:r w:rsidRPr="0082342D">
        <w:rPr>
          <w:rFonts w:ascii="Times New Roman" w:eastAsia="Times New Roman" w:hAnsi="Times New Roman" w:cs="Times New Roman"/>
          <w:color w:val="1C1C1C"/>
          <w:sz w:val="24"/>
          <w:szCs w:val="24"/>
          <w:shd w:val="clear" w:color="auto" w:fill="FFFFFF"/>
        </w:rPr>
        <w:t>Капитал ТНК в данный момент находится на стадии консолидации. Но уже сейчас можно говорить о том, что он прошел все предварительные этапы трансформации. Работа по изучению деятельности отечественных ТНК затрудняется отсутствием эффективной системы корпоративной статистики, данные которой помогли бы в оценке зарубежной деятельности российских предприятий. Поэтому для анализа такой деятельности эксперты используют информацию, публикуемую компаниями при выходе на IPO, выпуске облигационных бумаг. Кроме того, за источник берется информация, размещаемая в бизнес – изданиях по всему миру. Нередко в связи с непрозрачностью совершаемых операций российскими ТНК, данные о них сильно искажаются. Особенно заметно это становится в области финансовых потоков с использованием оффшорных капиталов [8].</w:t>
      </w:r>
    </w:p>
    <w:p w14:paraId="7A0837CF" w14:textId="77777777" w:rsidR="002245D5" w:rsidRPr="0082342D" w:rsidRDefault="002245D5" w:rsidP="0082342D">
      <w:pPr>
        <w:spacing w:after="0" w:line="240" w:lineRule="auto"/>
        <w:ind w:firstLine="709"/>
        <w:jc w:val="both"/>
        <w:rPr>
          <w:rFonts w:ascii="Times New Roman" w:eastAsia="Times New Roman" w:hAnsi="Times New Roman" w:cs="Times New Roman"/>
          <w:sz w:val="24"/>
          <w:szCs w:val="24"/>
        </w:rPr>
      </w:pPr>
      <w:r w:rsidRPr="0082342D">
        <w:rPr>
          <w:rFonts w:ascii="Times New Roman" w:eastAsia="Times New Roman" w:hAnsi="Times New Roman" w:cs="Times New Roman"/>
          <w:color w:val="1C1C1C"/>
          <w:sz w:val="24"/>
          <w:szCs w:val="24"/>
          <w:shd w:val="clear" w:color="auto" w:fill="FFFFFF"/>
        </w:rPr>
        <w:t>Деятельность российских предприятий на мировом рынке уже давно стала неоспоримым фактом, с каждым годом ее объемы неуклонно растут. Российские компании отличаются спецификой в ведении международной деятельности, вложении инвестиций в деятельность иностранных предприятий и использовании многочисленных подразделений для осуществления мероприятий по вложению капитала.</w:t>
      </w:r>
    </w:p>
    <w:p w14:paraId="0541B785"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Воздействие транснациональных корпораций на формирование государственных производственных сил и общую социально-экономическую ситуацию в государстве:</w:t>
      </w:r>
    </w:p>
    <w:p w14:paraId="4272D729" w14:textId="77777777" w:rsidR="002245D5" w:rsidRPr="0082342D" w:rsidRDefault="002245D5" w:rsidP="0082342D">
      <w:pPr>
        <w:pStyle w:val="a7"/>
        <w:numPr>
          <w:ilvl w:val="0"/>
          <w:numId w:val="2"/>
        </w:numPr>
        <w:ind w:left="0" w:firstLine="709"/>
        <w:jc w:val="both"/>
        <w:rPr>
          <w:rFonts w:ascii="Times New Roman" w:hAnsi="Times New Roman" w:cs="Times New Roman"/>
        </w:rPr>
      </w:pPr>
      <w:r w:rsidRPr="0082342D">
        <w:rPr>
          <w:rFonts w:ascii="Times New Roman" w:hAnsi="Times New Roman" w:cs="Times New Roman"/>
        </w:rPr>
        <w:t>Предоставление высочайших стандартов для своих сотрудников, тем самым приближая условия оплаты и труда к мировому уровню. К примеру, «Норильский никель» это не только высочайшие зарплаты, больше тысячи долларов в месяц, фактически он дает обеспечение Норильску.</w:t>
      </w:r>
    </w:p>
    <w:p w14:paraId="2DE5FD92" w14:textId="77777777" w:rsidR="002245D5" w:rsidRPr="0082342D" w:rsidRDefault="002245D5" w:rsidP="0082342D">
      <w:pPr>
        <w:pStyle w:val="a7"/>
        <w:numPr>
          <w:ilvl w:val="0"/>
          <w:numId w:val="2"/>
        </w:numPr>
        <w:ind w:left="0" w:firstLine="709"/>
        <w:jc w:val="both"/>
        <w:rPr>
          <w:rFonts w:ascii="Times New Roman" w:hAnsi="Times New Roman" w:cs="Times New Roman"/>
        </w:rPr>
      </w:pPr>
      <w:r w:rsidRPr="0082342D">
        <w:rPr>
          <w:rFonts w:ascii="Times New Roman" w:hAnsi="Times New Roman" w:cs="Times New Roman"/>
        </w:rPr>
        <w:t>Транснациональные корпорации заинтересованы в стабильном формировании экономики материнской страны, так как серьезно укорены в ней. Всевозможные потрясения национальной экономики проявляют отрицательное воздействие на транснациональные корпорации. Потому ТНК в особенности заинтересованы в благополучие Российской Федерации.</w:t>
      </w:r>
    </w:p>
    <w:p w14:paraId="62A2B14C" w14:textId="77777777" w:rsidR="002245D5" w:rsidRPr="0082342D" w:rsidRDefault="002245D5" w:rsidP="0082342D">
      <w:pPr>
        <w:pStyle w:val="a7"/>
        <w:numPr>
          <w:ilvl w:val="0"/>
          <w:numId w:val="2"/>
        </w:numPr>
        <w:ind w:left="0" w:firstLine="709"/>
        <w:jc w:val="both"/>
        <w:rPr>
          <w:rFonts w:ascii="Times New Roman" w:hAnsi="Times New Roman" w:cs="Times New Roman"/>
        </w:rPr>
      </w:pPr>
      <w:r w:rsidRPr="0082342D">
        <w:rPr>
          <w:rFonts w:ascii="Times New Roman" w:hAnsi="Times New Roman" w:cs="Times New Roman"/>
        </w:rPr>
        <w:t>Транснациональные корпорации – каналы, сообразно которым на рынок Российской Федерации интегрируются инновационные методы ведения дел. Посредством них идет приобщение к культуре бизнеса, увеличивается качество корпоративного управления и бизнес-среды в целом.</w:t>
      </w:r>
    </w:p>
    <w:p w14:paraId="335539A3" w14:textId="77777777" w:rsidR="002245D5" w:rsidRPr="0082342D" w:rsidRDefault="002245D5" w:rsidP="0082342D">
      <w:pPr>
        <w:pStyle w:val="a7"/>
        <w:numPr>
          <w:ilvl w:val="0"/>
          <w:numId w:val="2"/>
        </w:numPr>
        <w:ind w:left="0" w:firstLine="709"/>
        <w:jc w:val="both"/>
        <w:rPr>
          <w:rFonts w:ascii="Times New Roman" w:hAnsi="Times New Roman" w:cs="Times New Roman"/>
        </w:rPr>
      </w:pPr>
      <w:r w:rsidRPr="0082342D">
        <w:rPr>
          <w:rFonts w:ascii="Times New Roman" w:hAnsi="Times New Roman" w:cs="Times New Roman"/>
        </w:rPr>
        <w:lastRenderedPageBreak/>
        <w:t>«Внутренние» компании Российской Федерации формируются сообразно наилучшим мировым образцам с внедрением современных технологий и сформировывают в государстве производственную инфраструктуру нового вида.</w:t>
      </w:r>
    </w:p>
    <w:p w14:paraId="05579577" w14:textId="77777777" w:rsidR="002245D5" w:rsidRPr="0082342D" w:rsidRDefault="002245D5" w:rsidP="0082342D">
      <w:pPr>
        <w:spacing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В заключение хочется повторить, что взятый Российской Федерацией курс на формирование крупнейших, мирового уровня компаний, способных занять достойное место в мировой экономике, по своей сути представляется стратегией прорыва для всей экономики России. Транснациональные корпорации имеют все шансы и обязаны сыграть значительную роль локомотива для нашего, по Горчакову, «сосредоточения сил». В этот же момент широкий выход ТНК России на просторы глобализированного мира несомненно поможет скорректировать и сам процесс глобализации, ослабив его отрицательные следствия не только для Российской Федерации, но и для остальных развивающихся государств.</w:t>
      </w:r>
    </w:p>
    <w:p w14:paraId="637805D2" w14:textId="77777777" w:rsidR="002245D5" w:rsidRPr="0082342D" w:rsidRDefault="002245D5" w:rsidP="0082342D">
      <w:pPr>
        <w:pStyle w:val="a7"/>
        <w:pBdr>
          <w:bottom w:val="single" w:sz="12" w:space="1" w:color="auto"/>
        </w:pBdr>
        <w:ind w:left="0" w:firstLine="709"/>
        <w:jc w:val="both"/>
        <w:rPr>
          <w:rFonts w:ascii="Times New Roman" w:eastAsia="Times New Roman" w:hAnsi="Times New Roman" w:cs="Times New Roman"/>
        </w:rPr>
      </w:pPr>
    </w:p>
    <w:p w14:paraId="772FEA51" w14:textId="77777777" w:rsidR="002245D5" w:rsidRPr="0082342D" w:rsidRDefault="002245D5" w:rsidP="0082342D">
      <w:pPr>
        <w:pStyle w:val="a7"/>
        <w:numPr>
          <w:ilvl w:val="0"/>
          <w:numId w:val="3"/>
        </w:numPr>
        <w:ind w:left="0" w:firstLine="709"/>
        <w:jc w:val="both"/>
        <w:rPr>
          <w:rFonts w:ascii="Times New Roman" w:eastAsia="Times New Roman" w:hAnsi="Times New Roman" w:cs="Times New Roman"/>
          <w:color w:val="000000" w:themeColor="text1"/>
        </w:rPr>
      </w:pPr>
      <w:r w:rsidRPr="0082342D">
        <w:rPr>
          <w:rFonts w:ascii="Times New Roman" w:eastAsia="Times New Roman" w:hAnsi="Times New Roman" w:cs="Times New Roman"/>
          <w:color w:val="000000" w:themeColor="text1"/>
          <w:shd w:val="clear" w:color="auto" w:fill="FFFFFF"/>
        </w:rPr>
        <w:t xml:space="preserve">Адам Ш. М. Место и роль транснациональных корпораций в современной мировой экономике // Молодой ученый. — 2017. — №11. — С. 183-186. — </w:t>
      </w:r>
      <w:r w:rsidRPr="0082342D">
        <w:rPr>
          <w:rFonts w:ascii="Times New Roman" w:hAnsi="Times New Roman" w:cs="Times New Roman"/>
          <w:color w:val="000000" w:themeColor="text1"/>
        </w:rPr>
        <w:t xml:space="preserve">[Электронный ресурс]. - Режим доступа: </w:t>
      </w:r>
      <w:r w:rsidRPr="0082342D">
        <w:rPr>
          <w:rFonts w:ascii="Times New Roman" w:eastAsia="Times New Roman" w:hAnsi="Times New Roman" w:cs="Times New Roman"/>
          <w:color w:val="000000" w:themeColor="text1"/>
          <w:shd w:val="clear" w:color="auto" w:fill="FFFFFF"/>
        </w:rPr>
        <w:t>https://moluch.ru/archive/145/40719/ (дата обращения: 19.04.2018).</w:t>
      </w:r>
    </w:p>
    <w:p w14:paraId="25FD15FF" w14:textId="77777777" w:rsidR="002245D5" w:rsidRPr="0082342D" w:rsidRDefault="002245D5" w:rsidP="0082342D">
      <w:pPr>
        <w:pStyle w:val="a7"/>
        <w:numPr>
          <w:ilvl w:val="0"/>
          <w:numId w:val="3"/>
        </w:numPr>
        <w:ind w:left="0" w:firstLine="709"/>
        <w:jc w:val="both"/>
        <w:rPr>
          <w:rFonts w:ascii="Times New Roman" w:eastAsia="Times New Roman" w:hAnsi="Times New Roman" w:cs="Times New Roman"/>
          <w:color w:val="000000" w:themeColor="text1"/>
        </w:rPr>
      </w:pPr>
      <w:r w:rsidRPr="0082342D">
        <w:rPr>
          <w:rFonts w:ascii="Times New Roman" w:eastAsia="Times New Roman" w:hAnsi="Times New Roman" w:cs="Times New Roman"/>
          <w:color w:val="000000" w:themeColor="text1"/>
          <w:shd w:val="clear" w:color="auto" w:fill="FFFFFF"/>
        </w:rPr>
        <w:t xml:space="preserve">Бодиенкова В.С., Десятниченко Д.Ю., Кондюкова Е.С. Влияние транснациональных корпораций на мировую экономику // Экономические отношения. – 2017. – Том 7. – № 3. – С. 269-278. </w:t>
      </w:r>
    </w:p>
    <w:p w14:paraId="0D78B2DC" w14:textId="77777777" w:rsidR="002245D5" w:rsidRPr="0082342D" w:rsidRDefault="002245D5" w:rsidP="0082342D">
      <w:pPr>
        <w:pStyle w:val="a7"/>
        <w:numPr>
          <w:ilvl w:val="0"/>
          <w:numId w:val="3"/>
        </w:numPr>
        <w:ind w:left="0" w:firstLine="709"/>
        <w:jc w:val="both"/>
        <w:rPr>
          <w:rFonts w:ascii="Times New Roman" w:eastAsia="Times New Roman" w:hAnsi="Times New Roman" w:cs="Times New Roman"/>
          <w:color w:val="000000" w:themeColor="text1"/>
        </w:rPr>
      </w:pPr>
      <w:r w:rsidRPr="0082342D">
        <w:rPr>
          <w:rFonts w:ascii="Times New Roman" w:eastAsia="Times New Roman" w:hAnsi="Times New Roman" w:cs="Times New Roman"/>
          <w:color w:val="000000" w:themeColor="text1"/>
          <w:shd w:val="clear" w:color="auto" w:fill="FFFFFF"/>
        </w:rPr>
        <w:t xml:space="preserve">Костылева А. В., Бычкова Л. В. Роль транснациональных корпораций в мировой экономике // Молодой ученый. — 2017. — №2. — С. 450-453. — </w:t>
      </w:r>
      <w:r w:rsidRPr="0082342D">
        <w:rPr>
          <w:rFonts w:ascii="Times New Roman" w:hAnsi="Times New Roman" w:cs="Times New Roman"/>
          <w:color w:val="000000" w:themeColor="text1"/>
        </w:rPr>
        <w:t xml:space="preserve">[Электронный ресурс]. - Режим доступа: </w:t>
      </w:r>
      <w:r w:rsidRPr="0082342D">
        <w:rPr>
          <w:rFonts w:ascii="Times New Roman" w:eastAsia="Times New Roman" w:hAnsi="Times New Roman" w:cs="Times New Roman"/>
          <w:color w:val="000000" w:themeColor="text1"/>
          <w:shd w:val="clear" w:color="auto" w:fill="FFFFFF"/>
        </w:rPr>
        <w:t>https://moluch.ru/archive/136/38254/ (дата обращения: 19.04.2018).</w:t>
      </w:r>
    </w:p>
    <w:p w14:paraId="5E0ADA75" w14:textId="77777777" w:rsidR="002245D5" w:rsidRPr="0082342D" w:rsidRDefault="002245D5" w:rsidP="0082342D">
      <w:pPr>
        <w:pStyle w:val="a7"/>
        <w:numPr>
          <w:ilvl w:val="0"/>
          <w:numId w:val="3"/>
        </w:numPr>
        <w:ind w:left="0" w:firstLine="709"/>
        <w:jc w:val="both"/>
        <w:rPr>
          <w:rStyle w:val="a4"/>
          <w:rFonts w:ascii="Times New Roman" w:eastAsia="Times New Roman" w:hAnsi="Times New Roman" w:cs="Times New Roman"/>
          <w:color w:val="000000" w:themeColor="text1"/>
        </w:rPr>
      </w:pPr>
      <w:r w:rsidRPr="0082342D">
        <w:rPr>
          <w:rFonts w:ascii="Times New Roman" w:eastAsia="Times New Roman" w:hAnsi="Times New Roman" w:cs="Times New Roman"/>
          <w:bCs/>
          <w:color w:val="000000" w:themeColor="text1"/>
        </w:rPr>
        <w:t>Крупнейшие компании мира – «</w:t>
      </w:r>
      <w:r w:rsidRPr="0082342D">
        <w:rPr>
          <w:rFonts w:ascii="Times New Roman" w:eastAsia="Times New Roman" w:hAnsi="Times New Roman" w:cs="Times New Roman"/>
          <w:bCs/>
          <w:color w:val="000000" w:themeColor="text1"/>
          <w:lang w:val="en-US"/>
        </w:rPr>
        <w:t>iFinance</w:t>
      </w:r>
      <w:r w:rsidRPr="0082342D">
        <w:rPr>
          <w:rFonts w:ascii="Times New Roman" w:eastAsia="Times New Roman" w:hAnsi="Times New Roman" w:cs="Times New Roman"/>
          <w:bCs/>
          <w:color w:val="000000" w:themeColor="text1"/>
        </w:rPr>
        <w:t xml:space="preserve">» за 2017 год </w:t>
      </w:r>
      <w:r w:rsidRPr="0082342D">
        <w:rPr>
          <w:rFonts w:ascii="Times New Roman" w:hAnsi="Times New Roman" w:cs="Times New Roman"/>
          <w:color w:val="000000" w:themeColor="text1"/>
        </w:rPr>
        <w:t xml:space="preserve">[Электронный ресурс]. - Режим доступа: </w:t>
      </w:r>
      <w:hyperlink r:id="rId24" w:history="1">
        <w:r w:rsidRPr="0082342D">
          <w:rPr>
            <w:rStyle w:val="a4"/>
            <w:rFonts w:ascii="Times New Roman" w:hAnsi="Times New Roman" w:cs="Times New Roman"/>
            <w:color w:val="000000" w:themeColor="text1"/>
          </w:rPr>
          <w:t>http://global-finances.ru/krupneyshie-kompanii-mira-2017/</w:t>
        </w:r>
      </w:hyperlink>
    </w:p>
    <w:p w14:paraId="0DB8F3F5" w14:textId="77777777" w:rsidR="002245D5" w:rsidRPr="0082342D" w:rsidRDefault="002245D5" w:rsidP="0082342D">
      <w:pPr>
        <w:pStyle w:val="a7"/>
        <w:numPr>
          <w:ilvl w:val="0"/>
          <w:numId w:val="3"/>
        </w:numPr>
        <w:ind w:left="0" w:firstLine="709"/>
        <w:jc w:val="both"/>
        <w:rPr>
          <w:rStyle w:val="a4"/>
          <w:rFonts w:ascii="Times New Roman" w:eastAsia="Times New Roman" w:hAnsi="Times New Roman" w:cs="Times New Roman"/>
          <w:color w:val="000000" w:themeColor="text1"/>
        </w:rPr>
      </w:pPr>
      <w:r w:rsidRPr="0082342D">
        <w:rPr>
          <w:rFonts w:ascii="Times New Roman" w:hAnsi="Times New Roman" w:cs="Times New Roman"/>
          <w:color w:val="000000" w:themeColor="text1"/>
        </w:rPr>
        <w:t xml:space="preserve">Рейтинг </w:t>
      </w:r>
      <w:r w:rsidRPr="0082342D">
        <w:rPr>
          <w:rFonts w:ascii="Times New Roman" w:eastAsia="Times New Roman" w:hAnsi="Times New Roman" w:cs="Times New Roman"/>
          <w:color w:val="000000" w:themeColor="text1"/>
        </w:rPr>
        <w:t xml:space="preserve">крупнейших по капитализации компаний России – </w:t>
      </w:r>
      <w:r w:rsidRPr="0082342D">
        <w:rPr>
          <w:rFonts w:ascii="Times New Roman" w:hAnsi="Times New Roman" w:cs="Times New Roman"/>
          <w:color w:val="000000" w:themeColor="text1"/>
        </w:rPr>
        <w:t xml:space="preserve"> “РиаРейтинг” за 2018 год [Электронный ресурс]. - Режим доступа: </w:t>
      </w:r>
      <w:hyperlink r:id="rId25" w:history="1">
        <w:r w:rsidRPr="0082342D">
          <w:rPr>
            <w:rStyle w:val="a4"/>
            <w:rFonts w:ascii="Times New Roman" w:hAnsi="Times New Roman" w:cs="Times New Roman"/>
            <w:color w:val="000000" w:themeColor="text1"/>
          </w:rPr>
          <w:t>http://www.riarating.ru/infografika/20180130/630080911.html</w:t>
        </w:r>
      </w:hyperlink>
    </w:p>
    <w:p w14:paraId="307C818C" w14:textId="77777777" w:rsidR="002245D5" w:rsidRPr="0082342D" w:rsidRDefault="002245D5" w:rsidP="0082342D">
      <w:pPr>
        <w:pStyle w:val="a7"/>
        <w:numPr>
          <w:ilvl w:val="0"/>
          <w:numId w:val="3"/>
        </w:numPr>
        <w:ind w:left="0" w:firstLine="709"/>
        <w:jc w:val="both"/>
        <w:rPr>
          <w:rStyle w:val="a4"/>
          <w:rFonts w:ascii="Times New Roman" w:eastAsia="Times New Roman" w:hAnsi="Times New Roman" w:cs="Times New Roman"/>
          <w:color w:val="000000" w:themeColor="text1"/>
        </w:rPr>
      </w:pPr>
      <w:r w:rsidRPr="0082342D">
        <w:rPr>
          <w:rFonts w:ascii="Times New Roman" w:eastAsia="Times New Roman" w:hAnsi="Times New Roman" w:cs="Times New Roman"/>
          <w:color w:val="000000" w:themeColor="text1"/>
          <w:shd w:val="clear" w:color="auto" w:fill="FFFFFF"/>
        </w:rPr>
        <w:t>Рейтинг крупнейших публичных компаний мира — «Forbes Global 2000» за 2017 год [Электронный ресурс]. — Журнал Forbes.</w:t>
      </w:r>
      <w:r w:rsidRPr="0082342D">
        <w:rPr>
          <w:rFonts w:ascii="Times New Roman" w:eastAsia="Times New Roman" w:hAnsi="Times New Roman" w:cs="Times New Roman"/>
          <w:color w:val="000000" w:themeColor="text1"/>
        </w:rPr>
        <w:t xml:space="preserve"> </w:t>
      </w:r>
      <w:r w:rsidRPr="0082342D">
        <w:rPr>
          <w:rFonts w:ascii="Times New Roman" w:hAnsi="Times New Roman" w:cs="Times New Roman"/>
          <w:color w:val="000000" w:themeColor="text1"/>
        </w:rPr>
        <w:t xml:space="preserve">Режим доступа:  </w:t>
      </w:r>
      <w:hyperlink r:id="rId26" w:history="1">
        <w:r w:rsidRPr="0082342D">
          <w:rPr>
            <w:rStyle w:val="a4"/>
            <w:rFonts w:ascii="Times New Roman" w:hAnsi="Times New Roman" w:cs="Times New Roman"/>
            <w:color w:val="000000" w:themeColor="text1"/>
          </w:rPr>
          <w:t>http://new.forbes.ru/rating/350675-200-krupneyshih-rossiyskih-kompaniy-2017</w:t>
        </w:r>
      </w:hyperlink>
    </w:p>
    <w:p w14:paraId="75F99BA0" w14:textId="77777777" w:rsidR="002245D5" w:rsidRPr="0082342D" w:rsidRDefault="002245D5" w:rsidP="0082342D">
      <w:pPr>
        <w:pStyle w:val="a7"/>
        <w:numPr>
          <w:ilvl w:val="0"/>
          <w:numId w:val="3"/>
        </w:numPr>
        <w:ind w:left="0" w:firstLine="709"/>
        <w:jc w:val="both"/>
        <w:rPr>
          <w:rStyle w:val="a4"/>
          <w:rFonts w:ascii="Times New Roman" w:eastAsia="Times New Roman" w:hAnsi="Times New Roman" w:cs="Times New Roman"/>
          <w:color w:val="000000" w:themeColor="text1"/>
        </w:rPr>
      </w:pPr>
      <w:r w:rsidRPr="0082342D">
        <w:rPr>
          <w:rFonts w:ascii="Times New Roman" w:hAnsi="Times New Roman" w:cs="Times New Roman"/>
          <w:color w:val="000000" w:themeColor="text1"/>
        </w:rPr>
        <w:t>Рейтинг 500 крупнейших компаний мира – «</w:t>
      </w:r>
      <w:r w:rsidRPr="0082342D">
        <w:rPr>
          <w:rFonts w:ascii="Times New Roman" w:eastAsia="Times New Roman" w:hAnsi="Times New Roman" w:cs="Times New Roman"/>
          <w:color w:val="000000" w:themeColor="text1"/>
          <w:shd w:val="clear" w:color="auto" w:fill="FFFFFF"/>
        </w:rPr>
        <w:t xml:space="preserve">The Global 500: The Top 10» за 2018 год </w:t>
      </w:r>
      <w:r w:rsidRPr="0082342D">
        <w:rPr>
          <w:rFonts w:ascii="Times New Roman" w:hAnsi="Times New Roman" w:cs="Times New Roman"/>
          <w:color w:val="000000" w:themeColor="text1"/>
        </w:rPr>
        <w:t xml:space="preserve">[Электронный ресурс]. – </w:t>
      </w:r>
      <w:r w:rsidRPr="0082342D">
        <w:rPr>
          <w:rFonts w:ascii="Times New Roman" w:hAnsi="Times New Roman" w:cs="Times New Roman"/>
          <w:color w:val="000000" w:themeColor="text1"/>
          <w:lang w:val="en-US"/>
        </w:rPr>
        <w:t>Fortune</w:t>
      </w:r>
      <w:r w:rsidRPr="0082342D">
        <w:rPr>
          <w:rFonts w:ascii="Times New Roman" w:hAnsi="Times New Roman" w:cs="Times New Roman"/>
          <w:color w:val="000000" w:themeColor="text1"/>
        </w:rPr>
        <w:t xml:space="preserve"> </w:t>
      </w:r>
      <w:r w:rsidRPr="0082342D">
        <w:rPr>
          <w:rFonts w:ascii="Times New Roman" w:hAnsi="Times New Roman" w:cs="Times New Roman"/>
          <w:color w:val="000000" w:themeColor="text1"/>
          <w:lang w:val="en-US"/>
        </w:rPr>
        <w:t>Global</w:t>
      </w:r>
      <w:r w:rsidRPr="0082342D">
        <w:rPr>
          <w:rFonts w:ascii="Times New Roman" w:hAnsi="Times New Roman" w:cs="Times New Roman"/>
          <w:color w:val="000000" w:themeColor="text1"/>
        </w:rPr>
        <w:t xml:space="preserve"> 500. Режим доступа: </w:t>
      </w:r>
      <w:hyperlink r:id="rId27" w:history="1">
        <w:r w:rsidRPr="0082342D">
          <w:rPr>
            <w:rStyle w:val="a4"/>
            <w:rFonts w:ascii="Times New Roman" w:hAnsi="Times New Roman" w:cs="Times New Roman"/>
            <w:color w:val="000000" w:themeColor="text1"/>
          </w:rPr>
          <w:t>http://fortune.com/global500/</w:t>
        </w:r>
      </w:hyperlink>
    </w:p>
    <w:p w14:paraId="4F25D4ED" w14:textId="77777777" w:rsidR="002245D5" w:rsidRPr="0082342D" w:rsidRDefault="002245D5" w:rsidP="0082342D">
      <w:pPr>
        <w:pStyle w:val="a7"/>
        <w:numPr>
          <w:ilvl w:val="0"/>
          <w:numId w:val="3"/>
        </w:numPr>
        <w:ind w:left="0" w:firstLine="709"/>
        <w:jc w:val="both"/>
        <w:rPr>
          <w:rStyle w:val="a4"/>
          <w:rFonts w:ascii="Times New Roman" w:eastAsia="Times New Roman" w:hAnsi="Times New Roman" w:cs="Times New Roman"/>
          <w:color w:val="000000" w:themeColor="text1"/>
        </w:rPr>
      </w:pPr>
      <w:r w:rsidRPr="0082342D">
        <w:rPr>
          <w:rFonts w:ascii="Times New Roman" w:eastAsia="Times New Roman" w:hAnsi="Times New Roman" w:cs="Times New Roman"/>
          <w:color w:val="000000" w:themeColor="text1"/>
          <w:shd w:val="clear" w:color="auto" w:fill="FFFFFF"/>
          <w:lang w:val="en-US"/>
        </w:rPr>
        <w:t>World Investment Report 2017 [</w:t>
      </w:r>
      <w:r w:rsidRPr="0082342D">
        <w:rPr>
          <w:rFonts w:ascii="Times New Roman" w:eastAsia="Times New Roman" w:hAnsi="Times New Roman" w:cs="Times New Roman"/>
          <w:color w:val="000000" w:themeColor="text1"/>
          <w:shd w:val="clear" w:color="auto" w:fill="FFFFFF"/>
        </w:rPr>
        <w:t>Текст</w:t>
      </w:r>
      <w:r w:rsidRPr="0082342D">
        <w:rPr>
          <w:rFonts w:ascii="Times New Roman" w:eastAsia="Times New Roman" w:hAnsi="Times New Roman" w:cs="Times New Roman"/>
          <w:color w:val="000000" w:themeColor="text1"/>
          <w:shd w:val="clear" w:color="auto" w:fill="FFFFFF"/>
          <w:lang w:val="en-US"/>
        </w:rPr>
        <w:t xml:space="preserve">]: </w:t>
      </w:r>
      <w:r w:rsidRPr="0082342D">
        <w:rPr>
          <w:rFonts w:ascii="Times New Roman" w:eastAsia="Times New Roman" w:hAnsi="Times New Roman" w:cs="Times New Roman"/>
          <w:color w:val="000000" w:themeColor="text1"/>
          <w:shd w:val="clear" w:color="auto" w:fill="FFFFFF"/>
        </w:rPr>
        <w:t>ежегодный</w:t>
      </w:r>
      <w:r w:rsidRPr="0082342D">
        <w:rPr>
          <w:rFonts w:ascii="Times New Roman" w:eastAsia="Times New Roman" w:hAnsi="Times New Roman" w:cs="Times New Roman"/>
          <w:color w:val="000000" w:themeColor="text1"/>
          <w:shd w:val="clear" w:color="auto" w:fill="FFFFFF"/>
          <w:lang w:val="en-US"/>
        </w:rPr>
        <w:t xml:space="preserve"> </w:t>
      </w:r>
      <w:r w:rsidRPr="0082342D">
        <w:rPr>
          <w:rFonts w:ascii="Times New Roman" w:eastAsia="Times New Roman" w:hAnsi="Times New Roman" w:cs="Times New Roman"/>
          <w:color w:val="000000" w:themeColor="text1"/>
          <w:shd w:val="clear" w:color="auto" w:fill="FFFFFF"/>
        </w:rPr>
        <w:t>доклад</w:t>
      </w:r>
      <w:r w:rsidRPr="0082342D">
        <w:rPr>
          <w:rFonts w:ascii="Times New Roman" w:eastAsia="Times New Roman" w:hAnsi="Times New Roman" w:cs="Times New Roman"/>
          <w:color w:val="000000" w:themeColor="text1"/>
          <w:shd w:val="clear" w:color="auto" w:fill="FFFFFF"/>
          <w:lang w:val="en-US"/>
        </w:rPr>
        <w:t xml:space="preserve"> / UNCTAD. — Geneva: UNCTAD, 2017. </w:t>
      </w:r>
      <w:r w:rsidRPr="0082342D">
        <w:rPr>
          <w:rFonts w:ascii="Times New Roman" w:hAnsi="Times New Roman" w:cs="Times New Roman"/>
          <w:color w:val="000000" w:themeColor="text1"/>
          <w:lang w:val="en-US"/>
        </w:rPr>
        <w:t>[</w:t>
      </w:r>
      <w:r w:rsidRPr="0082342D">
        <w:rPr>
          <w:rFonts w:ascii="Times New Roman" w:hAnsi="Times New Roman" w:cs="Times New Roman"/>
          <w:color w:val="000000" w:themeColor="text1"/>
        </w:rPr>
        <w:t>Электронный ресурс</w:t>
      </w:r>
      <w:r w:rsidRPr="0082342D">
        <w:rPr>
          <w:rFonts w:ascii="Times New Roman" w:hAnsi="Times New Roman" w:cs="Times New Roman"/>
          <w:color w:val="000000" w:themeColor="text1"/>
          <w:lang w:val="en-US"/>
        </w:rPr>
        <w:t xml:space="preserve">]. - </w:t>
      </w:r>
      <w:r w:rsidRPr="0082342D">
        <w:rPr>
          <w:rFonts w:ascii="Times New Roman" w:hAnsi="Times New Roman" w:cs="Times New Roman"/>
          <w:color w:val="000000" w:themeColor="text1"/>
        </w:rPr>
        <w:t xml:space="preserve">Режим доступа: </w:t>
      </w:r>
      <w:hyperlink r:id="rId28" w:history="1">
        <w:r w:rsidRPr="0082342D">
          <w:rPr>
            <w:rStyle w:val="a4"/>
            <w:rFonts w:ascii="Times New Roman" w:hAnsi="Times New Roman" w:cs="Times New Roman"/>
            <w:color w:val="000000" w:themeColor="text1"/>
          </w:rPr>
          <w:t>http://worldinvestmentreport.unctad.org/</w:t>
        </w:r>
      </w:hyperlink>
    </w:p>
    <w:p w14:paraId="463F29E8" w14:textId="77777777" w:rsidR="006A266D" w:rsidRDefault="006A266D" w:rsidP="002245D5">
      <w:pPr>
        <w:spacing w:line="240" w:lineRule="auto"/>
        <w:rPr>
          <w:rFonts w:ascii="Times New Roman" w:hAnsi="Times New Roman"/>
          <w:sz w:val="24"/>
          <w:szCs w:val="28"/>
        </w:rPr>
      </w:pPr>
    </w:p>
    <w:p w14:paraId="1D3FF7C4" w14:textId="77777777" w:rsidR="001F333E" w:rsidRPr="0082342D" w:rsidRDefault="001F333E" w:rsidP="001F333E">
      <w:pPr>
        <w:keepNext/>
        <w:spacing w:before="120" w:after="120" w:line="240" w:lineRule="auto"/>
        <w:outlineLvl w:val="3"/>
        <w:rPr>
          <w:rFonts w:ascii="Times New Roman" w:eastAsia="Calibri" w:hAnsi="Times New Roman" w:cs="Times New Roman"/>
          <w:b/>
          <w:bCs/>
          <w:sz w:val="24"/>
          <w:szCs w:val="24"/>
        </w:rPr>
      </w:pPr>
      <w:r w:rsidRPr="0082342D">
        <w:rPr>
          <w:rFonts w:ascii="Times New Roman" w:eastAsia="Calibri" w:hAnsi="Times New Roman" w:cs="Times New Roman"/>
          <w:b/>
          <w:bCs/>
          <w:sz w:val="24"/>
          <w:szCs w:val="24"/>
        </w:rPr>
        <w:t>Рубрика: Экономика и управление народным хозяйством (по отраслям и сферам деятельности)</w:t>
      </w:r>
    </w:p>
    <w:p w14:paraId="7E4E4E2B" w14:textId="77777777" w:rsidR="001F333E" w:rsidRPr="0082342D" w:rsidRDefault="001F333E" w:rsidP="001F333E">
      <w:pPr>
        <w:spacing w:after="0" w:line="240" w:lineRule="auto"/>
        <w:jc w:val="both"/>
        <w:rPr>
          <w:rFonts w:ascii="Times New Roman" w:eastAsia="Calibri" w:hAnsi="Times New Roman" w:cs="Times New Roman"/>
          <w:sz w:val="24"/>
          <w:szCs w:val="24"/>
        </w:rPr>
      </w:pPr>
      <w:r w:rsidRPr="0082342D">
        <w:rPr>
          <w:rFonts w:ascii="Times New Roman" w:eastAsia="Calibri" w:hAnsi="Times New Roman" w:cs="Times New Roman"/>
          <w:sz w:val="24"/>
          <w:szCs w:val="24"/>
        </w:rPr>
        <w:t>УДК: 330.322.01</w:t>
      </w:r>
    </w:p>
    <w:p w14:paraId="1DD0A20F" w14:textId="77777777" w:rsidR="001F333E" w:rsidRPr="0082342D" w:rsidRDefault="001F333E" w:rsidP="001F333E">
      <w:pPr>
        <w:keepNext/>
        <w:spacing w:before="240" w:after="240" w:line="240" w:lineRule="auto"/>
        <w:jc w:val="center"/>
        <w:outlineLvl w:val="0"/>
        <w:rPr>
          <w:rFonts w:ascii="Times New Roman" w:eastAsia="Times New Roman" w:hAnsi="Times New Roman" w:cs="Times New Roman"/>
          <w:b/>
          <w:bCs/>
          <w:caps/>
          <w:kern w:val="28"/>
          <w:sz w:val="24"/>
          <w:szCs w:val="24"/>
        </w:rPr>
      </w:pPr>
      <w:r w:rsidRPr="0082342D">
        <w:rPr>
          <w:rFonts w:ascii="Times New Roman" w:eastAsia="Times New Roman" w:hAnsi="Times New Roman" w:cs="Times New Roman"/>
          <w:b/>
          <w:bCs/>
          <w:caps/>
          <w:kern w:val="28"/>
          <w:sz w:val="24"/>
          <w:szCs w:val="24"/>
        </w:rPr>
        <w:t>МОДЕЛЬ ФИНАНСОВО-ИНВЕСТИЦИОННОЙ СТРАТЕГИИ организаций в условиях глобализации</w:t>
      </w:r>
    </w:p>
    <w:p w14:paraId="64877A4B" w14:textId="77777777" w:rsidR="001F333E" w:rsidRPr="0082342D" w:rsidRDefault="001F333E" w:rsidP="001F333E">
      <w:pPr>
        <w:spacing w:after="0" w:line="240" w:lineRule="auto"/>
        <w:jc w:val="center"/>
        <w:rPr>
          <w:rFonts w:ascii="Times New Roman" w:eastAsia="Calibri" w:hAnsi="Times New Roman" w:cs="Times New Roman"/>
          <w:b/>
          <w:bCs/>
          <w:sz w:val="24"/>
          <w:szCs w:val="24"/>
          <w:lang w:eastAsia="ru-RU"/>
        </w:rPr>
      </w:pPr>
      <w:r w:rsidRPr="0082342D">
        <w:rPr>
          <w:rFonts w:ascii="Times New Roman" w:eastAsia="Calibri" w:hAnsi="Times New Roman" w:cs="Times New Roman"/>
          <w:b/>
          <w:bCs/>
          <w:sz w:val="24"/>
          <w:szCs w:val="24"/>
          <w:lang w:eastAsia="ru-RU"/>
        </w:rPr>
        <w:t>Ким В.В.</w:t>
      </w:r>
    </w:p>
    <w:p w14:paraId="390763AA" w14:textId="77777777" w:rsidR="001F333E" w:rsidRPr="0082342D" w:rsidRDefault="001F333E" w:rsidP="001F333E">
      <w:pPr>
        <w:spacing w:line="240" w:lineRule="auto"/>
        <w:jc w:val="center"/>
        <w:rPr>
          <w:rFonts w:ascii="Times New Roman" w:eastAsia="Calibri" w:hAnsi="Times New Roman" w:cs="Times New Roman"/>
          <w:bCs/>
          <w:sz w:val="24"/>
          <w:szCs w:val="24"/>
          <w:lang w:eastAsia="ru-RU"/>
        </w:rPr>
      </w:pPr>
      <w:r w:rsidRPr="0082342D">
        <w:rPr>
          <w:rFonts w:ascii="Times New Roman" w:eastAsia="Calibri" w:hAnsi="Times New Roman" w:cs="Times New Roman"/>
          <w:bCs/>
          <w:sz w:val="24"/>
          <w:szCs w:val="24"/>
          <w:lang w:eastAsia="ru-RU"/>
        </w:rPr>
        <w:t>магистрант 1 курс, кафедра экономики</w:t>
      </w:r>
    </w:p>
    <w:p w14:paraId="2185B95C" w14:textId="77777777" w:rsidR="001F333E" w:rsidRPr="0082342D" w:rsidRDefault="001F333E" w:rsidP="001F333E">
      <w:pPr>
        <w:spacing w:after="0" w:line="240" w:lineRule="auto"/>
        <w:jc w:val="center"/>
        <w:rPr>
          <w:rFonts w:ascii="Times New Roman" w:eastAsia="Calibri" w:hAnsi="Times New Roman" w:cs="Times New Roman"/>
          <w:b/>
          <w:bCs/>
          <w:sz w:val="24"/>
          <w:szCs w:val="24"/>
          <w:lang w:eastAsia="ru-RU"/>
        </w:rPr>
      </w:pPr>
      <w:r w:rsidRPr="0082342D">
        <w:rPr>
          <w:rFonts w:ascii="Times New Roman" w:eastAsia="Calibri" w:hAnsi="Times New Roman" w:cs="Times New Roman"/>
          <w:b/>
          <w:bCs/>
          <w:sz w:val="24"/>
          <w:szCs w:val="24"/>
          <w:lang w:eastAsia="ru-RU"/>
        </w:rPr>
        <w:t>Щеглов М.В.</w:t>
      </w:r>
    </w:p>
    <w:p w14:paraId="3B609E58" w14:textId="77777777" w:rsidR="001F333E" w:rsidRPr="0082342D" w:rsidRDefault="001F333E" w:rsidP="001F333E">
      <w:pPr>
        <w:spacing w:line="240" w:lineRule="auto"/>
        <w:jc w:val="center"/>
        <w:rPr>
          <w:rFonts w:ascii="Times New Roman" w:eastAsia="Calibri" w:hAnsi="Times New Roman" w:cs="Times New Roman"/>
          <w:bCs/>
          <w:sz w:val="24"/>
          <w:szCs w:val="24"/>
          <w:lang w:eastAsia="ru-RU"/>
        </w:rPr>
      </w:pPr>
      <w:r w:rsidRPr="0082342D">
        <w:rPr>
          <w:rFonts w:ascii="Times New Roman" w:eastAsia="Calibri" w:hAnsi="Times New Roman" w:cs="Times New Roman"/>
          <w:bCs/>
          <w:sz w:val="24"/>
          <w:szCs w:val="24"/>
          <w:lang w:eastAsia="ru-RU"/>
        </w:rPr>
        <w:t>магистрант 2 курс, кафедра экономики</w:t>
      </w:r>
    </w:p>
    <w:p w14:paraId="1D836D2C" w14:textId="77777777" w:rsidR="001F333E" w:rsidRPr="0082342D" w:rsidRDefault="001F333E" w:rsidP="001F333E">
      <w:pPr>
        <w:spacing w:after="0" w:line="240" w:lineRule="auto"/>
        <w:jc w:val="center"/>
        <w:rPr>
          <w:rFonts w:ascii="Times New Roman" w:eastAsia="Calibri" w:hAnsi="Times New Roman" w:cs="Times New Roman"/>
          <w:b/>
          <w:bCs/>
          <w:sz w:val="24"/>
          <w:szCs w:val="24"/>
          <w:lang w:eastAsia="ru-RU"/>
        </w:rPr>
      </w:pPr>
      <w:r w:rsidRPr="0082342D">
        <w:rPr>
          <w:rFonts w:ascii="Times New Roman" w:eastAsia="Calibri" w:hAnsi="Times New Roman" w:cs="Times New Roman"/>
          <w:b/>
          <w:bCs/>
          <w:sz w:val="24"/>
          <w:szCs w:val="24"/>
          <w:lang w:eastAsia="ru-RU"/>
        </w:rPr>
        <w:t>Люй Гуанхай</w:t>
      </w:r>
    </w:p>
    <w:p w14:paraId="2E5BFDAB" w14:textId="77777777" w:rsidR="001F333E" w:rsidRPr="0082342D" w:rsidRDefault="001F333E" w:rsidP="001F333E">
      <w:pPr>
        <w:spacing w:line="240" w:lineRule="auto"/>
        <w:jc w:val="center"/>
        <w:rPr>
          <w:rFonts w:ascii="Times New Roman" w:eastAsia="Calibri" w:hAnsi="Times New Roman" w:cs="Times New Roman"/>
          <w:bCs/>
          <w:sz w:val="24"/>
          <w:szCs w:val="24"/>
          <w:lang w:eastAsia="ru-RU"/>
        </w:rPr>
      </w:pPr>
      <w:r w:rsidRPr="0082342D">
        <w:rPr>
          <w:rFonts w:ascii="Times New Roman" w:eastAsia="Calibri" w:hAnsi="Times New Roman" w:cs="Times New Roman"/>
          <w:bCs/>
          <w:sz w:val="24"/>
          <w:szCs w:val="24"/>
          <w:lang w:eastAsia="ru-RU"/>
        </w:rPr>
        <w:t>аспирант 1 курс, кафедра экономики</w:t>
      </w:r>
    </w:p>
    <w:p w14:paraId="26C50B60" w14:textId="77777777" w:rsidR="001F333E" w:rsidRPr="0082342D" w:rsidRDefault="001F333E" w:rsidP="001F333E">
      <w:pPr>
        <w:spacing w:after="0" w:line="240" w:lineRule="auto"/>
        <w:jc w:val="center"/>
        <w:rPr>
          <w:rFonts w:ascii="Times New Roman" w:eastAsia="Calibri" w:hAnsi="Times New Roman" w:cs="Times New Roman"/>
          <w:i/>
          <w:sz w:val="24"/>
          <w:szCs w:val="24"/>
        </w:rPr>
      </w:pPr>
      <w:r w:rsidRPr="0082342D">
        <w:rPr>
          <w:rFonts w:ascii="Times New Roman" w:eastAsia="Calibri" w:hAnsi="Times New Roman" w:cs="Times New Roman"/>
          <w:i/>
          <w:sz w:val="24"/>
          <w:szCs w:val="24"/>
        </w:rPr>
        <w:lastRenderedPageBreak/>
        <w:t>Владивостокский государственный университет экономики и сервиса</w:t>
      </w:r>
    </w:p>
    <w:p w14:paraId="5AA4289F" w14:textId="77777777" w:rsidR="001F333E" w:rsidRPr="0082342D" w:rsidRDefault="001F333E" w:rsidP="001F333E">
      <w:pPr>
        <w:spacing w:after="0" w:line="240" w:lineRule="auto"/>
        <w:jc w:val="center"/>
        <w:rPr>
          <w:rFonts w:ascii="Times New Roman" w:eastAsia="Calibri" w:hAnsi="Times New Roman" w:cs="Times New Roman"/>
          <w:i/>
          <w:sz w:val="24"/>
          <w:szCs w:val="24"/>
        </w:rPr>
      </w:pPr>
      <w:r w:rsidRPr="0082342D">
        <w:rPr>
          <w:rFonts w:ascii="Times New Roman" w:eastAsia="Calibri" w:hAnsi="Times New Roman" w:cs="Times New Roman"/>
          <w:i/>
          <w:sz w:val="24"/>
          <w:szCs w:val="24"/>
        </w:rPr>
        <w:t>ул. Гоголя, 41, г. Владивосток, Приморский край, Россия, 690014</w:t>
      </w:r>
    </w:p>
    <w:p w14:paraId="3B7B4B86" w14:textId="77777777" w:rsidR="001F333E" w:rsidRPr="0082342D" w:rsidRDefault="001F333E" w:rsidP="001F333E">
      <w:pPr>
        <w:spacing w:after="0" w:line="240" w:lineRule="auto"/>
        <w:jc w:val="center"/>
        <w:rPr>
          <w:rFonts w:ascii="Times New Roman" w:eastAsia="Calibri" w:hAnsi="Times New Roman" w:cs="Times New Roman"/>
          <w:i/>
          <w:sz w:val="24"/>
          <w:szCs w:val="24"/>
        </w:rPr>
      </w:pPr>
    </w:p>
    <w:p w14:paraId="658E2D58" w14:textId="77777777" w:rsidR="001F333E" w:rsidRPr="0082342D" w:rsidRDefault="001F333E" w:rsidP="001F333E">
      <w:pPr>
        <w:spacing w:after="0" w:line="240" w:lineRule="auto"/>
        <w:ind w:firstLine="709"/>
        <w:jc w:val="both"/>
        <w:rPr>
          <w:rFonts w:ascii="Times New Roman" w:hAnsi="Times New Roman" w:cs="Times New Roman"/>
          <w:i/>
          <w:sz w:val="24"/>
          <w:szCs w:val="24"/>
        </w:rPr>
      </w:pPr>
      <w:r w:rsidRPr="0082342D">
        <w:rPr>
          <w:rFonts w:ascii="Times New Roman" w:hAnsi="Times New Roman" w:cs="Times New Roman"/>
          <w:i/>
          <w:sz w:val="24"/>
          <w:szCs w:val="24"/>
        </w:rPr>
        <w:t xml:space="preserve">Инвестиции в основной капитал выступают средством обеспечения выхода из экономического кризиса и технического переоснащения предприятий стран.  Интенсификация инвестиционной деятельности как одно из основных направлений стабилизации экономической системы требует комплексного обеспечения стратегического развития инвестиционной деятельности. Целью статьи является обоснование методического подхода к формированию инвестиционной стратегии сотрудничества. Выявлено, что разработку и реализацию финансово-инвестиционной стратегии необходимо рассматривать как процесс управления инвестиционными проектами и финансовыми ресурсами. Содержание финансово-инвестиционной стратегии можно также рассматривать как теоретическое отражение совокупности взаимосвязанных и взаимообусловленных функций финансов предприятия и финансов инвестиционного процесса в реализации инвестиционных проектов. Научная новизна исследования состоит в развитии теоретических и методических положений по формированию финансово-инвестиционной стратегии в части обоснования направлений инвестирования субъектов хозяйствования, выбора методов и источников их финансового обеспечения. </w:t>
      </w:r>
    </w:p>
    <w:p w14:paraId="7B6E4ACD" w14:textId="77777777" w:rsidR="001F333E" w:rsidRPr="0082342D" w:rsidRDefault="001F333E" w:rsidP="001973E4">
      <w:pPr>
        <w:spacing w:after="0" w:line="240" w:lineRule="auto"/>
        <w:ind w:firstLine="708"/>
        <w:jc w:val="both"/>
        <w:rPr>
          <w:rFonts w:ascii="Times New Roman" w:hAnsi="Times New Roman" w:cs="Times New Roman"/>
          <w:i/>
          <w:sz w:val="24"/>
          <w:szCs w:val="24"/>
        </w:rPr>
      </w:pPr>
      <w:r w:rsidRPr="0082342D">
        <w:rPr>
          <w:rFonts w:ascii="Times New Roman" w:hAnsi="Times New Roman" w:cs="Times New Roman"/>
          <w:b/>
          <w:i/>
          <w:sz w:val="24"/>
          <w:szCs w:val="24"/>
        </w:rPr>
        <w:t>Ключевые слова:</w:t>
      </w:r>
      <w:r w:rsidRPr="0082342D">
        <w:rPr>
          <w:rFonts w:ascii="Times New Roman" w:hAnsi="Times New Roman" w:cs="Times New Roman"/>
          <w:i/>
          <w:sz w:val="24"/>
          <w:szCs w:val="24"/>
        </w:rPr>
        <w:t xml:space="preserve"> инвестиции; эффективность развития; финансово-инвестиционная стратегия; факторы внешней среды; конъюнктура рынка; стратегические цели.</w:t>
      </w:r>
    </w:p>
    <w:p w14:paraId="5370DD40" w14:textId="77777777" w:rsidR="001F333E" w:rsidRPr="0082342D" w:rsidRDefault="001F333E" w:rsidP="001F333E">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82342D">
        <w:rPr>
          <w:rFonts w:ascii="Times New Roman" w:eastAsia="Times New Roman" w:hAnsi="Times New Roman" w:cs="Times New Roman"/>
          <w:b/>
          <w:bCs/>
          <w:caps/>
          <w:kern w:val="28"/>
          <w:sz w:val="24"/>
          <w:szCs w:val="24"/>
          <w:lang w:val="en-US"/>
        </w:rPr>
        <w:t>MODEL OF THE FINANCIAL AND INVESTMENT STRATEGY OF ORGANIZATIONS IN THE CONDITIONS OF GLOBALIZATION</w:t>
      </w:r>
    </w:p>
    <w:p w14:paraId="4CB43E4C" w14:textId="77777777" w:rsidR="001F333E" w:rsidRPr="0082342D" w:rsidRDefault="001F333E" w:rsidP="001F333E">
      <w:pPr>
        <w:spacing w:after="0" w:line="240" w:lineRule="auto"/>
        <w:ind w:firstLine="709"/>
        <w:jc w:val="both"/>
        <w:rPr>
          <w:rFonts w:ascii="Times New Roman" w:hAnsi="Times New Roman" w:cs="Times New Roman"/>
          <w:i/>
          <w:sz w:val="24"/>
          <w:szCs w:val="24"/>
          <w:lang w:val="en-US"/>
        </w:rPr>
      </w:pPr>
      <w:r w:rsidRPr="0082342D">
        <w:rPr>
          <w:rFonts w:ascii="Times New Roman" w:hAnsi="Times New Roman" w:cs="Times New Roman"/>
          <w:i/>
          <w:sz w:val="24"/>
          <w:szCs w:val="24"/>
          <w:lang w:val="en-US"/>
        </w:rPr>
        <w:t>Investments in fixed assets are a means of securing an exit from the economic crisis and the technical re-equipment of enterprises in countries. Intensification of investment activity as one of the main directions of stabilization of the economic system requires comprehensive provision of strategic development of investment activities. The purpose of the article is to substantiate a methodical approach to the formation of an investment strategy for cooperation. It was revealed that the development and implementation of the financial and investment strategy should be viewed as a process of managing investment projects and financial resources. The content of the financial and investment strategy can also be considered as a theoretical reflection of the aggregate of interrelated and interrelated functions of the enterprise finance and investment process finance in the goal-oriented implementation of investment projects. The scientific novelty of the research consists in the development of theoretical and methodological provisions for the formation of a financial and investment strategy in terms of justifying the directions of investing in business entities, choosing methods and sources of their financial security.</w:t>
      </w:r>
    </w:p>
    <w:p w14:paraId="3FB20EE3" w14:textId="77777777" w:rsidR="001F333E" w:rsidRPr="0082342D" w:rsidRDefault="001F333E" w:rsidP="001973E4">
      <w:pPr>
        <w:spacing w:after="0" w:line="240" w:lineRule="auto"/>
        <w:ind w:firstLine="708"/>
        <w:jc w:val="both"/>
        <w:rPr>
          <w:rFonts w:ascii="Times New Roman" w:hAnsi="Times New Roman" w:cs="Times New Roman"/>
          <w:i/>
          <w:sz w:val="24"/>
          <w:szCs w:val="24"/>
          <w:lang w:val="en-US"/>
        </w:rPr>
      </w:pPr>
      <w:r w:rsidRPr="0082342D">
        <w:rPr>
          <w:rFonts w:ascii="Times New Roman" w:hAnsi="Times New Roman" w:cs="Times New Roman"/>
          <w:b/>
          <w:i/>
          <w:sz w:val="24"/>
          <w:szCs w:val="24"/>
          <w:lang w:val="en-US"/>
        </w:rPr>
        <w:t>Key words:</w:t>
      </w:r>
      <w:r w:rsidRPr="0082342D">
        <w:rPr>
          <w:rFonts w:ascii="Times New Roman" w:hAnsi="Times New Roman" w:cs="Times New Roman"/>
          <w:i/>
          <w:sz w:val="24"/>
          <w:szCs w:val="24"/>
          <w:lang w:val="en-US"/>
        </w:rPr>
        <w:t xml:space="preserve"> investments; development effectiveness; financial and investment strategy; environmental factors; market conditions; strategic goals.</w:t>
      </w:r>
    </w:p>
    <w:p w14:paraId="3A0FF5F2" w14:textId="77777777" w:rsidR="001F333E" w:rsidRPr="0082342D" w:rsidRDefault="001F333E" w:rsidP="001F333E">
      <w:pPr>
        <w:spacing w:after="0" w:line="240" w:lineRule="auto"/>
        <w:ind w:firstLine="709"/>
        <w:jc w:val="both"/>
        <w:rPr>
          <w:rFonts w:ascii="Times New Roman" w:hAnsi="Times New Roman" w:cs="Times New Roman"/>
          <w:i/>
          <w:sz w:val="24"/>
          <w:szCs w:val="24"/>
          <w:lang w:val="en-US"/>
        </w:rPr>
      </w:pPr>
    </w:p>
    <w:p w14:paraId="5ED5335D" w14:textId="77777777" w:rsidR="001F333E" w:rsidRPr="0082342D" w:rsidRDefault="001F333E" w:rsidP="001F333E">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 xml:space="preserve">Постановка проблемы и ее связь с важными научными и практическими проблемами. </w:t>
      </w:r>
      <w:r w:rsidRPr="0082342D">
        <w:rPr>
          <w:rFonts w:ascii="Times New Roman" w:hAnsi="Times New Roman" w:cs="Times New Roman"/>
          <w:sz w:val="24"/>
          <w:szCs w:val="24"/>
        </w:rPr>
        <w:t>Необходимость модернизации и дальнейшего развития сотрудничества как доминанты устойчивого экономического развития стран ставит вопрос о динамике факторов, напрямую влияющих на инвестиционный потенциал, инновационную деятельность и уровень ее финансирования. Своевременная разработка инвестиционной стратегии является своевременной и актуальной. Ее наличие позволит наиболее эффективно нивелировать отрицательное влияние неблагоприятных экономических факторов, а также планировать и реализовывать проекты совершенствования производственной, маркетинговой, социальной и управленческих сфер.</w:t>
      </w:r>
    </w:p>
    <w:p w14:paraId="7D01B264"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Анализ исследований и публикаций, в которых отображается решение данной проблемы.</w:t>
      </w:r>
      <w:r w:rsidRPr="0082342D">
        <w:rPr>
          <w:rFonts w:ascii="Times New Roman" w:hAnsi="Times New Roman" w:cs="Times New Roman"/>
          <w:sz w:val="24"/>
          <w:szCs w:val="24"/>
        </w:rPr>
        <w:t xml:space="preserve"> В экономической литературе на сегодняшний день разработка, формирование и реализация инвестиционной стратегии широко представлены такими учеными как: Л.Л. Игонина [1], В.А. Черненко [2], С.С. Дзусова [3], Л. Гитман, </w:t>
      </w:r>
      <w:r w:rsidRPr="0082342D">
        <w:rPr>
          <w:rFonts w:ascii="Times New Roman" w:hAnsi="Times New Roman" w:cs="Times New Roman"/>
          <w:sz w:val="24"/>
          <w:szCs w:val="24"/>
          <w:lang w:val="en-US"/>
        </w:rPr>
        <w:t>M</w:t>
      </w:r>
      <w:r w:rsidRPr="0082342D">
        <w:rPr>
          <w:rFonts w:ascii="Times New Roman" w:hAnsi="Times New Roman" w:cs="Times New Roman"/>
          <w:sz w:val="24"/>
          <w:szCs w:val="24"/>
        </w:rPr>
        <w:t xml:space="preserve">.  Джонк [4], У. Шарп [5], И.А. </w:t>
      </w:r>
      <w:r w:rsidRPr="0082342D">
        <w:rPr>
          <w:rFonts w:ascii="Times New Roman" w:hAnsi="Times New Roman" w:cs="Times New Roman"/>
          <w:sz w:val="24"/>
          <w:szCs w:val="24"/>
        </w:rPr>
        <w:lastRenderedPageBreak/>
        <w:t xml:space="preserve">Бланк [6], М.Ю. Маковецкий [7], В.В. Ковалев [8], Н.И. Морозко [9], </w:t>
      </w:r>
      <w:r w:rsidRPr="0082342D">
        <w:rPr>
          <w:rFonts w:ascii="Times New Roman" w:hAnsi="Times New Roman" w:cs="Times New Roman"/>
          <w:sz w:val="24"/>
          <w:szCs w:val="24"/>
          <w:lang w:val="en-US"/>
        </w:rPr>
        <w:t>C</w:t>
      </w:r>
      <w:r w:rsidRPr="0082342D">
        <w:rPr>
          <w:rFonts w:ascii="Times New Roman" w:hAnsi="Times New Roman" w:cs="Times New Roman"/>
          <w:sz w:val="24"/>
          <w:szCs w:val="24"/>
        </w:rPr>
        <w:t xml:space="preserve">. Анникова [10], но не в полной мере рассмотрена финансово-инвестиционная стратегия применительно к промышленным предприятиям России. </w:t>
      </w:r>
    </w:p>
    <w:p w14:paraId="2D4E9CC8"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Цель</w:t>
      </w:r>
      <w:r w:rsidRPr="0082342D">
        <w:rPr>
          <w:rFonts w:ascii="Times New Roman" w:hAnsi="Times New Roman" w:cs="Times New Roman"/>
          <w:sz w:val="24"/>
          <w:szCs w:val="24"/>
        </w:rPr>
        <w:t xml:space="preserve"> статьи состоит в развитии теоретических и методических основ формирования инвестиционной стратегии организций для разработки комплекса научно обоснованных мер по повышению качества финансового обеспечения инвестиционной деятельности как основы развития экономики. Для получения результатов использованы </w:t>
      </w:r>
      <w:r w:rsidRPr="0082342D">
        <w:rPr>
          <w:rFonts w:ascii="Times New Roman" w:hAnsi="Times New Roman" w:cs="Times New Roman"/>
          <w:b/>
          <w:sz w:val="24"/>
          <w:szCs w:val="24"/>
        </w:rPr>
        <w:t>методы исследования</w:t>
      </w:r>
      <w:r w:rsidRPr="0082342D">
        <w:rPr>
          <w:rFonts w:ascii="Times New Roman" w:hAnsi="Times New Roman" w:cs="Times New Roman"/>
          <w:sz w:val="24"/>
          <w:szCs w:val="24"/>
        </w:rPr>
        <w:t xml:space="preserve">: теоретического анализа и обобщения; индукции и дедукции; анализа и синтеза.  </w:t>
      </w:r>
    </w:p>
    <w:p w14:paraId="338B0600"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 xml:space="preserve">Изложение основного материала исследования. </w:t>
      </w:r>
      <w:r w:rsidRPr="0082342D">
        <w:rPr>
          <w:rFonts w:ascii="Times New Roman" w:hAnsi="Times New Roman" w:cs="Times New Roman"/>
          <w:sz w:val="24"/>
          <w:szCs w:val="24"/>
        </w:rPr>
        <w:t>Сотрудничество значительно усложняет финансовое обеспечение инвестиционной деятельности, направленной на обновление основных средств.  Из-за введения в действие международных санкций резко сократился доступ российских организаций и банков к международной системе долгосрочных заимствований и произошел спад притока иностранных инвестиций.  Решение этих вопросов в среднесрочной и долгосрочной перспективе связано со спецификой рыночных позиций, отраслевой структурой и финансовым обеспечением инвестиционной деятельности предприятий, что невозможно без повышения качества стратегического планирования инвестиционной деятельности на основе анализа и оценки диверсифицированных источников ее финансирования в сложившихся международных и внутренних экономических условиях.</w:t>
      </w:r>
    </w:p>
    <w:p w14:paraId="5CD96E64"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Теоретический анализ сущности инвестиций и финансового обеспечения инвестиционной стратегии проведен в работах многих отечественных и зарубежных выдающихся ученых. Вместе  с  тем,  изучение  и  анализ  опубликованных  по  данному  направлению  концепций,  методик  и  практических  разработок  позволили  сделать  вывод о  том,  что  целесообразно  адаптировать  теоретические  основы  формирования инвестиционной  стратегии  предприятий  к  современным  экономическим  реалиям,  разработать  методический  аппарат  для  выбора  соответствующих  направлений  инвестирования  и  источников  финансирования  реальных  инвестиций</w:t>
      </w:r>
    </w:p>
    <w:p w14:paraId="47534B37"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Исходя из проведенного исследования мнений учёных, считаем возможным предложить алгоритм формирования инвестиционной стратегии рисунок 1. Рассмотрим более подробно последовательность основных этапов предложенного алгоритма разработки и реализации финансово - инвестиционной стратегии предпринимательских структур. </w:t>
      </w:r>
    </w:p>
    <w:p w14:paraId="505136CC"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1.  Формирование общих целей финансово-инвестиционной стратегии. </w:t>
      </w:r>
    </w:p>
    <w:p w14:paraId="7B1E823B"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В рамках финансового менеджмента необходимо руководствоваться стратегическими целями, без которых невозможно осуществление регулирования процесса принятия управленческих решений на каждой стадии реализации финансово-инвестиционной стратегии. Комплекс целей финансово-инвестиционной стратегии должен обеспечивать отбор инвестиционных проектов с учетом фактора    риска, а также способов их финансирования [11]. По мнению В.А.  Горемыкина функциями целеполагания в инвестировании являются [12]: </w:t>
      </w:r>
    </w:p>
    <w:p w14:paraId="4DF53FC7"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сравнение текущего состояния предприятия и планируемого; </w:t>
      </w:r>
    </w:p>
    <w:p w14:paraId="3E50B37B"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расставление приоритетов и альтернатив при реализации стратегии; </w:t>
      </w:r>
    </w:p>
    <w:p w14:paraId="4D3D901B"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механизм регулирования инвестиционной деятельности;  </w:t>
      </w:r>
    </w:p>
    <w:p w14:paraId="7C89F5F2"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обеспечение согласованной работы всех структурных подразделений;  </w:t>
      </w:r>
    </w:p>
    <w:p w14:paraId="6D26BE6F" w14:textId="77777777" w:rsidR="001F333E" w:rsidRPr="0082342D" w:rsidRDefault="001F333E" w:rsidP="0082342D">
      <w:pPr>
        <w:spacing w:after="0" w:line="240" w:lineRule="auto"/>
        <w:ind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контроля выполнения задач и их соответствия целевым нормативам. </w:t>
      </w:r>
    </w:p>
    <w:p w14:paraId="5630AD66" w14:textId="77777777" w:rsidR="00F04EDC" w:rsidRPr="00F04EDC" w:rsidRDefault="00F04EDC" w:rsidP="00F04EDC">
      <w:pPr>
        <w:spacing w:after="0" w:line="240" w:lineRule="auto"/>
        <w:ind w:firstLine="397"/>
        <w:jc w:val="both"/>
        <w:rPr>
          <w:rFonts w:ascii="Times New Roman" w:eastAsia="Times New Roman" w:hAnsi="Times New Roman" w:cs="Times New Roman"/>
          <w:sz w:val="20"/>
          <w:szCs w:val="20"/>
          <w:lang w:eastAsia="ru-RU"/>
        </w:rPr>
      </w:pPr>
    </w:p>
    <w:p w14:paraId="61829076" w14:textId="77777777" w:rsidR="001F333E" w:rsidRDefault="001F333E" w:rsidP="0082342D">
      <w:pPr>
        <w:rPr>
          <w:sz w:val="28"/>
          <w:szCs w:val="28"/>
        </w:rPr>
      </w:pPr>
    </w:p>
    <w:p w14:paraId="2BA226A1" w14:textId="77777777" w:rsidR="001F333E" w:rsidRDefault="001F333E" w:rsidP="001F333E">
      <w:pPr>
        <w:jc w:val="center"/>
        <w:rPr>
          <w:sz w:val="28"/>
          <w:szCs w:val="28"/>
        </w:rPr>
      </w:pPr>
    </w:p>
    <w:p w14:paraId="17AD93B2" w14:textId="77777777" w:rsidR="001973E4" w:rsidRDefault="001973E4" w:rsidP="0082342D">
      <w:pPr>
        <w:rPr>
          <w:sz w:val="28"/>
          <w:szCs w:val="28"/>
        </w:rPr>
      </w:pPr>
    </w:p>
    <w:p w14:paraId="0DE4B5B7" w14:textId="77777777" w:rsidR="001973E4" w:rsidRDefault="001973E4" w:rsidP="0082342D">
      <w:pPr>
        <w:rPr>
          <w:sz w:val="28"/>
          <w:szCs w:val="28"/>
        </w:rPr>
      </w:pPr>
    </w:p>
    <w:p w14:paraId="442473B6" w14:textId="77777777" w:rsidR="001F333E" w:rsidRDefault="007014C7" w:rsidP="0082342D">
      <w:pPr>
        <w:rPr>
          <w:sz w:val="28"/>
          <w:szCs w:val="28"/>
        </w:rPr>
      </w:pPr>
      <w:r>
        <w:rPr>
          <w:noProof/>
          <w:lang w:eastAsia="ru-RU"/>
        </w:rPr>
        <w:lastRenderedPageBreak/>
        <w:pict w14:anchorId="136F0E20">
          <v:group id="Группа 120" o:spid="_x0000_s1048" style="position:absolute;margin-left:16.1pt;margin-top:.8pt;width:486.45pt;height:734.4pt;z-index:251729920" coordsize="58102,87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">
            <v:rect id="Прямоугольник 10" o:spid="_x0000_s1049" style="position:absolute;left:2476;top:48482;width:16097;height:495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GgYcIA&#10;AADcAAAADwAAAGRycy9kb3ducmV2LnhtbERPS2uDQBC+F/Iflgnk1qx6sMW6CSUQiAcpTSO9Du74&#10;oO6suJto/n22UOhtPr7n5PvFDOJGk+stK4i3EQji2uqeWwWXr+PzKwjnkTUOlknBnRzsd6unHDNt&#10;Z/6k29m3IoSwy1BB5/2YSenqjgy6rR2JA9fYyaAPcGqlnnAO4WaQSRSl0mDPoaHDkQ4d1T/nq1FQ&#10;pmWZYFF9V0V1KNxLrD98o5XarJf3NxCeFv8v/nOfdJifxPD7TLhA7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oaBhwgAAANwAAAAPAAAAAAAAAAAAAAAAAJgCAABkcnMvZG93&#10;bnJldi54bWxQSwUGAAAAAAQABAD1AAAAhwMAAAAA&#10;" fillcolor="white [3201]" strokecolor="#f79646 [3209]" strokeweight="2pt">
              <v:textbox>
                <w:txbxContent>
                  <w:p w14:paraId="42ECD2F5"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Финансовые ресурсы </w:t>
                    </w:r>
                  </w:p>
                  <w:p w14:paraId="46037D00"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собственные + заемные</w:t>
                    </w:r>
                  </w:p>
                </w:txbxContent>
              </v:textbox>
            </v:rect>
            <v:rect id="Прямоугольник 11" o:spid="_x0000_s1050" style="position:absolute;left:19050;top:48482;width:19431;height:476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FsEA&#10;AADcAAAADwAAAGRycy9kb3ducmV2LnhtbERPS4vCMBC+C/sfwizsTVN7cKWaigiCPRRZtXgdmukD&#10;m0lpstr99xtB8DYf33PWm9F04k6Day0rmM8iEMSl1S3XCi7n/XQJwnlkjZ1lUvBHDjbpx2SNibYP&#10;/qH7ydcihLBLUEHjfZ9I6cqGDLqZ7YkDV9nBoA9wqKUe8BHCTSfjKFpIgy2HhgZ72jVU3k6/RkG+&#10;yPMYs+JaZMUuc99zffSVVurrc9yuQHga/Vv8ch90mB/H8HwmXCD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zPhbBAAAA3AAAAA8AAAAAAAAAAAAAAAAAmAIAAGRycy9kb3du&#10;cmV2LnhtbFBLBQYAAAAABAAEAPUAAACGAwAAAAA=&#10;" fillcolor="white [3201]" strokecolor="#f79646 [3209]" strokeweight="2pt">
              <v:textbox>
                <w:txbxContent>
                  <w:p w14:paraId="78EBED94"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Финансовые ресурсы собственные + привлеченные</w:t>
                    </w:r>
                  </w:p>
                </w:txbxContent>
              </v:textbox>
            </v:rect>
            <v:rect id="Прямоугольник 12" o:spid="_x0000_s1051" style="position:absolute;left:39528;top:48482;width:18574;height:457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bjcIA&#10;AADcAAAADwAAAGRycy9kb3ducmV2LnhtbERPTWvDMAy9D/YfjAq7LU4yaEdWt5TAYDmEsrZhVxGr&#10;SVgsB9trs38/Fwa96fE+td7OZhQXcn6wrCBLUhDErdUDdwpOx/fnVxA+IGscLZOCX/Kw3Tw+rLHQ&#10;9sqfdDmETsQQ9gUq6EOYCil925NBn9iJOHJn6wyGCF0ntcNrDDejzNN0KQ0OHBt6nKjsqf0+/BgF&#10;9bKuc6yar6ZqysqvMr0PZ63U02LevYEINIe7+N/9oeP8/AVuz8QL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P5uNwgAAANwAAAAPAAAAAAAAAAAAAAAAAJgCAABkcnMvZG93&#10;bnJldi54bWxQSwUGAAAAAAQABAD1AAAAhwMAAAAA&#10;" fillcolor="white [3201]" strokecolor="#f79646 [3209]" strokeweight="2pt">
              <v:textbox>
                <w:txbxContent>
                  <w:p w14:paraId="3DDBE06E"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Фин. ресурсы собственные </w:t>
                    </w:r>
                  </w:p>
                  <w:p w14:paraId="496B2269"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привлеченные + заемные</w:t>
                    </w:r>
                  </w:p>
                </w:txbxContent>
              </v:textbox>
            </v:rect>
            <v:roundrect id="Скругленный прямоугольник 2" o:spid="_x0000_s1052" style="position:absolute;left:16954;width:20003;height:600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QWEMEA&#10;AADcAAAADwAAAGRycy9kb3ducmV2LnhtbERPTWvCQBC9C/0PyxR6Ed0YVCS6CaVFao/GQq9DdkyC&#10;2dmQncb033cLhd7m8T7nUEyuUyMNofVsYLVMQBFX3rZcG/i4HBc7UEGQLXaeycA3BSjyh9kBM+vv&#10;fKaxlFrFEA4ZGmhE+kzrUDXkMCx9Txy5qx8cSoRDre2A9xjuOp0myVY7bDk2NNjTS0PVrfxyBsLn&#10;mM5ft6JXGz4mI/Zv7zthY54ep+c9KKFJ/sV/7pON89M1/D4TL9D5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kFhDBAAAA3AAAAA8AAAAAAAAAAAAAAAAAmAIAAGRycy9kb3du&#10;cmV2LnhtbFBLBQYAAAAABAAEAPUAAACGAwAAAAA=&#10;" fillcolor="white [3201]" strokecolor="#f79646 [3209]" strokeweight="2pt">
              <v:textbox>
                <w:txbxContent>
                  <w:p w14:paraId="05C9070B"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Формирование общих целей </w:t>
                    </w:r>
                  </w:p>
                  <w:p w14:paraId="2C141497"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Финансово-инвестиционной </w:t>
                    </w:r>
                  </w:p>
                  <w:p w14:paraId="3D1B3A7E" w14:textId="77777777" w:rsidR="007014C7" w:rsidRPr="00F04EDC" w:rsidRDefault="007014C7" w:rsidP="001F333E">
                    <w:pPr>
                      <w:jc w:val="center"/>
                      <w:rPr>
                        <w:rFonts w:ascii="Times New Roman" w:hAnsi="Times New Roman" w:cs="Times New Roman"/>
                        <w:sz w:val="20"/>
                        <w:szCs w:val="20"/>
                      </w:rPr>
                    </w:pPr>
                    <w:r w:rsidRPr="00F04EDC">
                      <w:rPr>
                        <w:rFonts w:ascii="Times New Roman" w:hAnsi="Times New Roman" w:cs="Times New Roman"/>
                        <w:sz w:val="20"/>
                        <w:szCs w:val="20"/>
                      </w:rPr>
                      <w:t>стратегии</w:t>
                    </w:r>
                  </w:p>
                </w:txbxContent>
              </v:textbox>
            </v:roundrect>
            <v:rect id="Прямоугольник 3" o:spid="_x0000_s1053" style="position:absolute;left:16192;top:7620;width:21050;height:590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mYsIA&#10;AADcAAAADwAAAGRycy9kb3ducmV2LnhtbERPTWvDMAy9D/YfjAq7LU4Ca0dWt5TAYDmEsrZhVxGr&#10;SVgsB9trs38/Fwa96fE+td7OZhQXcn6wrCBLUhDErdUDdwpOx/fnVxA+IGscLZOCX/Kw3Tw+rLHQ&#10;9sqfdDmETsQQ9gUq6EOYCil925NBn9iJOHJn6wyGCF0ntcNrDDejzNN0KQ0OHBt6nKjsqf0+/BgF&#10;9bKuc6yar6ZqysqvMr0PZ63U02LevYEINIe7+N/9oeP8/AVuz8QL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mqZiwgAAANwAAAAPAAAAAAAAAAAAAAAAAJgCAABkcnMvZG93&#10;bnJldi54bWxQSwUGAAAAAAQABAD1AAAAhwMAAAAA&#10;" fillcolor="white [3201]" strokecolor="#f79646 [3209]" strokeweight="2pt">
              <v:textbox>
                <w:txbxContent>
                  <w:p w14:paraId="443E4BC6"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Комплексная оценка внешних и </w:t>
                    </w:r>
                  </w:p>
                  <w:p w14:paraId="594A32B2"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внутренних факторов влияния </w:t>
                    </w:r>
                  </w:p>
                  <w:p w14:paraId="33132DA3"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на потенциал организации</w:t>
                    </w:r>
                  </w:p>
                </w:txbxContent>
              </v:textbox>
            </v:rect>
            <v:roundrect id="Скругленный прямоугольник 4" o:spid="_x0000_s1054" style="position:absolute;left:16668;top:15240;width:20098;height:8477;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ot/MAA&#10;AADcAAAADwAAAGRycy9kb3ducmV2LnhtbERPTWvCQBC9C/6HZYReRDcGGkLqKkWR6lFb8Dpkp0lo&#10;djZkpzH9965Q8DaP9znr7ehaNVAfGs8GVssEFHHpbcOVga/PwyIHFQTZYuuZDPxRgO1mOlljYf2N&#10;zzRcpFIxhEOBBmqRrtA6lDU5DEvfEUfu2/cOJcK+0rbHWwx3rU6TJNMOG44NNXa0q6n8ufw6A+E6&#10;pPN9Jnr1yodkwO7jlAsb8zIb399ACY3yFP+7jzbOTzN4PBMv0J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zot/MAAAADcAAAADwAAAAAAAAAAAAAAAACYAgAAZHJzL2Rvd25y&#10;ZXYueG1sUEsFBgAAAAAEAAQA9QAAAIUDAAAAAA==&#10;" fillcolor="white [3201]" strokecolor="#f79646 [3209]" strokeweight="2pt">
              <v:textbox>
                <w:txbxContent>
                  <w:p w14:paraId="429A400A"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Выбор и постановка целей </w:t>
                    </w:r>
                  </w:p>
                  <w:p w14:paraId="0A71BCA6"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инвестиционной деятельности </w:t>
                    </w:r>
                  </w:p>
                  <w:p w14:paraId="7FE63F91"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по обновлению основных </w:t>
                    </w:r>
                  </w:p>
                  <w:p w14:paraId="741C8914"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фондов организации</w:t>
                    </w:r>
                  </w:p>
                </w:txbxContent>
              </v:textbox>
            </v:roundrect>
            <v:roundrect id="Скругленный прямоугольник 5" o:spid="_x0000_s1055" style="position:absolute;top:26955;width:14097;height:10859;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aIZ8AA&#10;AADcAAAADwAAAGRycy9kb3ducmV2LnhtbERPS2vCQBC+C/0PywhepG4M+CC6SqmI9VgVeh2yYxLM&#10;zobsNMZ/3xWE3ubje85627taddSGyrOB6SQBRZx7W3Fh4HLevy9BBUG2WHsmAw8KsN28DdaYWX/n&#10;b+pOUqgYwiFDA6VIk2kd8pIcholviCN39a1DibAttG3xHsNdrdMkmWuHFceGEhv6LCm/nX6dgfDT&#10;pePdXPR0xvukw+ZwXAobMxr2HytQQr38i1/uLxvnpwt4PhMv0J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HaIZ8AAAADcAAAADwAAAAAAAAAAAAAAAACYAgAAZHJzL2Rvd25y&#10;ZXYueG1sUEsFBgAAAAAEAAQA9QAAAIUDAAAAAA==&#10;" fillcolor="white [3201]" strokecolor="#f79646 [3209]" strokeweight="2pt">
              <v:textbox>
                <w:txbxContent>
                  <w:p w14:paraId="3B04067F"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Масштабное обновление </w:t>
                    </w:r>
                  </w:p>
                  <w:p w14:paraId="6F50F384"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ОФ и замена их на </w:t>
                    </w:r>
                  </w:p>
                  <w:p w14:paraId="252087EB"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инновационные средства </w:t>
                    </w:r>
                  </w:p>
                  <w:p w14:paraId="1A39AC39"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производства</w:t>
                    </w:r>
                  </w:p>
                </w:txbxContent>
              </v:textbox>
            </v:roundrect>
            <v:roundrect id="Скругленный прямоугольник 6" o:spid="_x0000_s1056" style="position:absolute;left:14573;top:26955;width:15430;height:1076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kcFcIA&#10;AADcAAAADwAAAGRycy9kb3ducmV2LnhtbESPQWvCQBCF70L/wzIFL1I3BhRJXaW0iPVYLfQ6ZMck&#10;mJ0N2WmM/945FHqb4b1575vNbgytGahPTWQHi3kGhriMvuHKwfd5/7IGkwTZYxuZHNwpwW77NNlg&#10;4eONv2g4SWU0hFOBDmqRrrA2lTUFTPPYEat2iX1A0bWvrO/xpuGhtXmWrWzAhrWhxo7eayqvp9/g&#10;IP0M+exjJXax5H02YHc4roWdmz6Pb69ghEb5N/9df3rFz5VWn9EJ7P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6RwVwgAAANwAAAAPAAAAAAAAAAAAAAAAAJgCAABkcnMvZG93&#10;bnJldi54bWxQSwUGAAAAAAQABAD1AAAAhwMAAAAA&#10;" fillcolor="white [3201]" strokecolor="#f79646 [3209]" strokeweight="2pt">
              <v:textbox>
                <w:txbxContent>
                  <w:p w14:paraId="0755CCCA"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Частичная замена </w:t>
                    </w:r>
                  </w:p>
                  <w:p w14:paraId="7397924C"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устаревающих основных </w:t>
                    </w:r>
                  </w:p>
                  <w:p w14:paraId="083AF94C"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фондов на новые –</w:t>
                    </w:r>
                  </w:p>
                  <w:p w14:paraId="3CA50DED"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аналогичного типа</w:t>
                    </w:r>
                  </w:p>
                </w:txbxContent>
              </v:textbox>
            </v:roundrect>
            <v:roundrect id="Скругленный прямоугольник 7" o:spid="_x0000_s1057" style="position:absolute;left:30384;top:26955;width:16288;height:10859;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W5jr8A&#10;AADcAAAADwAAAGRycy9kb3ducmV2LnhtbERPTWvCQBC9C/0PywheRDcGFE1dpVTEeqwKXofsNAlm&#10;Z0N2GuO/7wpCb/N4n7Pe9q5WHbWh8mxgNk1AEefeVlwYuJz3kyWoIMgWa89k4EEBtpu3wRoz6+/8&#10;Td1JChVDOGRooBRpMq1DXpLDMPUNceR+fOtQImwLbVu8x3BX6zRJFtphxbGhxIY+S8pvp19nIFy7&#10;dLxbiJ7NeZ902ByOS2FjRsP+4x2UUC//4pf7y8b56Qqez8QL9O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pbmOvwAAANwAAAAPAAAAAAAAAAAAAAAAAJgCAABkcnMvZG93bnJl&#10;di54bWxQSwUGAAAAAAQABAD1AAAAhAMAAAAA&#10;" fillcolor="white [3201]" strokecolor="#f79646 [3209]" strokeweight="2pt">
              <v:textbox>
                <w:txbxContent>
                  <w:p w14:paraId="59E06DF4"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Замена наиболее </w:t>
                    </w:r>
                  </w:p>
                  <w:p w14:paraId="57600F77"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изношенных основных </w:t>
                    </w:r>
                  </w:p>
                  <w:p w14:paraId="083B0C3E"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фондов на бывшие в </w:t>
                    </w:r>
                  </w:p>
                  <w:p w14:paraId="6F581035"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употреблении, но с </w:t>
                    </w:r>
                  </w:p>
                  <w:p w14:paraId="3E7D00B6"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большим ресурсом</w:t>
                    </w:r>
                  </w:p>
                </w:txbxContent>
              </v:textbox>
            </v:roundrect>
            <v:roundrect id="Скругленный прямоугольник 8" o:spid="_x0000_s1058" style="position:absolute;left:47053;top:26955;width:10668;height:1095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GzsMA&#10;AADcAAAADwAAAGRycy9kb3ducmV2LnhtbESPQWvCQBCF7wX/wzKCl6IbLRWJriIVsT3WFrwO2TEJ&#10;ZmdDdhrjv+8cCr3N8N68981mN4TG9NSlOrKD+SwDQ1xEX3Pp4PvrOF2BSYLssYlMDh6UYLcdPW0w&#10;9/HOn9SfpTQawilHB5VIm1ubiooCpllsiVW7xi6g6NqV1nd41/DQ2EWWLW3AmrWhwpbeKipu55/g&#10;IF36xfNhKXb+ysesx/b0sRJ2bjIe9mswQoP8m/+u373ivyi+PqMT2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aGzsMAAADcAAAADwAAAAAAAAAAAAAAAACYAgAAZHJzL2Rv&#10;d25yZXYueG1sUEsFBgAAAAAEAAQA9QAAAIgDAAAAAA==&#10;" fillcolor="white [3201]" strokecolor="#f79646 [3209]" strokeweight="2pt">
              <v:textbox>
                <w:txbxContent>
                  <w:p w14:paraId="22F9AEF1"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Частичный ремонт </w:t>
                    </w:r>
                  </w:p>
                  <w:p w14:paraId="70373BAA"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наиболее изношенных </w:t>
                    </w:r>
                  </w:p>
                  <w:p w14:paraId="6FF2AAB7"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основных фондов</w:t>
                    </w:r>
                  </w:p>
                </w:txbxContent>
              </v:textbox>
            </v:roundrect>
            <v:roundrect id="Скругленный прямоугольник 9" o:spid="_x0000_s1059" style="position:absolute;left:16859;top:39909;width:19717;height:5906;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ojVcEA&#10;AADcAAAADwAAAGRycy9kb3ducmV2LnhtbERPTWvCQBC9C/0PyxR6Ed1EUSS6CaVFao/GQq9DdkyC&#10;2dmQncb033cLhd7m8T7nUEyuUyMNofVsIF0moIgrb1uuDXxcjosdqCDIFjvPZOCbAhT5w+yAmfV3&#10;PtNYSq1iCIcMDTQifaZ1qBpyGJa+J47c1Q8OJcKh1nbAewx3nV4lyVY7bDk2NNjTS0PVrfxyBsLn&#10;uJq/bkWnGz4mI/Zv7zthY54ep+c9KKFJ/sV/7pON89cp/D4TL9D5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KI1XBAAAA3AAAAA8AAAAAAAAAAAAAAAAAmAIAAGRycy9kb3du&#10;cmV2LnhtbFBLBQYAAAAABAAEAPUAAACGAwAAAAA=&#10;" fillcolor="white [3201]" strokecolor="#f79646 [3209]" strokeweight="2pt">
              <v:textbox>
                <w:txbxContent>
                  <w:p w14:paraId="028C55BB"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Оценка финансового </w:t>
                    </w:r>
                  </w:p>
                  <w:p w14:paraId="010BA579"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обеспечения инвестиционной </w:t>
                    </w:r>
                  </w:p>
                  <w:p w14:paraId="6B94CA87"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стратегии организации</w:t>
                    </w:r>
                  </w:p>
                </w:txbxContent>
              </v:textbox>
            </v:roundrect>
            <v:roundrect id="Скругленный прямоугольник 13" o:spid="_x0000_s1060" style="position:absolute;left:7048;top:55911;width:40005;height:6096;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9IsEA&#10;AADcAAAADwAAAGRycy9kb3ducmV2LnhtbERPTWvCQBC9C/0PyxR6Ed0YUSS6CaVFao/GQq9DdkyC&#10;2dmQncb033cLhd7m8T7nUEyuUyMNofVsYLVMQBFX3rZcG/i4HBc7UEGQLXaeycA3BSjyh9kBM+vv&#10;fKaxlFrFEA4ZGmhE+kzrUDXkMCx9Txy5qx8cSoRDre2A9xjuOp0myVY7bDk2NNjTS0PVrfxyBsLn&#10;mM5ft6JXGz4mI/Zv7zthY54ep+c9KKFJ/sV/7pON89cp/D4TL9D5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YvSLBAAAA3AAAAA8AAAAAAAAAAAAAAAAAmAIAAGRycy9kb3du&#10;cmV2LnhtbFBLBQYAAAAABAAEAPUAAACGAwAAAAA=&#10;" fillcolor="white [3201]" strokecolor="#f79646 [3209]" strokeweight="2pt">
              <v:textbox>
                <w:txbxContent>
                  <w:p w14:paraId="5B675B3C"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Выбор наиболее эффективного варианта финансирования, покрывающего цель инвестиционной деятельности по замене </w:t>
                    </w:r>
                  </w:p>
                  <w:p w14:paraId="0F51EAFD"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основных фондов</w:t>
                    </w:r>
                  </w:p>
                </w:txbxContent>
              </v:textbox>
            </v:roundrect>
            <v:roundrect id="Скругленный прямоугольник 16" o:spid="_x0000_s1061" style="position:absolute;left:9715;top:64103;width:34576;height:295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YucEA&#10;AADcAAAADwAAAGRycy9kb3ducmV2LnhtbERPTWvCQBC9F/wPywheim5iqEh0DVIJbY+1Ba9DdkyC&#10;2dmQncb033cLhd7m8T5nX0yuUyMNofVsIF0loIgrb1uuDXx+lMstqCDIFjvPZOCbAhSH2cMec+vv&#10;/E7jWWoVQzjkaKAR6XOtQ9WQw7DyPXHkrn5wKBEOtbYD3mO46/Q6STbaYcuxocGenhuqbucvZyBc&#10;xvXjaSM6feIyGbF/edsKG7OYT8cdKKFJ/sV/7lcb52cZ/D4TL9CH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6UGLnBAAAA3AAAAA8AAAAAAAAAAAAAAAAAmAIAAGRycy9kb3du&#10;cmV2LnhtbFBLBQYAAAAABAAEAPUAAACGAwAAAAA=&#10;" fillcolor="white [3201]" strokecolor="#f79646 [3209]" strokeweight="2pt">
              <v:textbox>
                <w:txbxContent>
                  <w:p w14:paraId="06EB549E"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Выбор цели финансово-инвестиционной стратегии</w:t>
                    </w:r>
                  </w:p>
                </w:txbxContent>
              </v:textbox>
            </v:roundrect>
            <v:roundrect id="Скругленный прямоугольник 17" o:spid="_x0000_s1062" style="position:absolute;left:7620;top:68865;width:38766;height:533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AzcEA&#10;AADcAAAADwAAAGRycy9kb3ducmV2LnhtbERPTWvCQBC9F/oflin0UsxGW0ViVikWqT0aBa9DdkxC&#10;s7MhO8b033eFQm/zeJ+Tb0bXqoH60Hg2ME1SUMSltw1XBk7H3WQJKgiyxdYzGfihAJv140OOmfU3&#10;PtBQSKViCIcMDdQiXaZ1KGtyGBLfEUfu4nuHEmFfadvjLYa7Vs/SdKEdNhwbauxoW1P5XVydgXAe&#10;Zi8fC9HTOe/SAbvPr6WwMc9P4/sKlNAo/+I/997G+a9vcH8mXq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9gM3BAAAA3AAAAA8AAAAAAAAAAAAAAAAAmAIAAGRycy9kb3du&#10;cmV2LnhtbFBLBQYAAAAABAAEAPUAAACGAwAAAAA=&#10;" fillcolor="white [3201]" strokecolor="#f79646 [3209]" strokeweight="2pt">
              <v:textbox>
                <w:txbxContent>
                  <w:p w14:paraId="71087590"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Определение временного промежутка, на который будет </w:t>
                    </w:r>
                  </w:p>
                  <w:p w14:paraId="403756C6"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производиться разработка финансово-инвестиционной стратегии</w:t>
                    </w:r>
                  </w:p>
                </w:txbxContent>
              </v:textbox>
            </v:roundrect>
            <v:roundrect id="Скругленный прямоугольник 18" o:spid="_x0000_s1063" style="position:absolute;left:5238;top:76009;width:43625;height:514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ElVsEA&#10;AADcAAAADwAAAGRycy9kb3ducmV2LnhtbERPTWvCQBC9F/wPywheim5iiUh0DVIJbY+1Ba9DdkyC&#10;2dmQncb033cLhd7m8T5nX0yuUyMNofVsIF0loIgrb1uuDXx+lMstqCDIFjvPZOCbAhSH2cMec+vv&#10;/E7jWWoVQzjkaKAR6XOtQ9WQw7DyPXHkrn5wKBEOtbYD3mO46/Q6STbaYcuxocGenhuqbucvZyBc&#10;xvXjaSM6zbhMRuxf3rbCxizm03EHSmiSf/Gf+9XG+U8Z/D4TL9CH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4xJVbBAAAA3AAAAA8AAAAAAAAAAAAAAAAAmAIAAGRycy9kb3du&#10;cmV2LnhtbFBLBQYAAAAABAAEAPUAAACGAwAAAAA=&#10;" fillcolor="white [3201]" strokecolor="#f79646 [3209]" strokeweight="2pt">
              <v:textbox>
                <w:txbxContent>
                  <w:p w14:paraId="557C18DD"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Обеспечение реализации финансово-инвестиционной стратегии на тактическом и оперативном уровне</w:t>
                    </w:r>
                  </w:p>
                </w:txbxContent>
              </v:textbox>
            </v:roundrect>
            <v:roundrect id="Скругленный прямоугольник 19" o:spid="_x0000_s1064" style="position:absolute;left:6381;top:82772;width:41339;height:4286;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O7IcAA&#10;AADcAAAADwAAAGRycy9kb3ducmV2LnhtbERPS2vCQBC+F/wPywheSt2oGCTNRsQitUcf4HXITpPQ&#10;7GzITmP8991Cobf5+J6Tb0fXqoH60Hg2sJgnoIhLbxuuDFwvh5cNqCDIFlvPZOBBAbbF5CnHzPo7&#10;n2g4S6ViCIcMDdQiXaZ1KGtyGOa+I47cp+8dSoR9pW2P9xjuWr1MklQ7bDg21NjRvqby6/ztDITb&#10;sHx+S0Uv1nxIBuzePzbCxsym4+4VlNAo/+I/99HG+asUfp+JF+ji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uO7IcAAAADcAAAADwAAAAAAAAAAAAAAAACYAgAAZHJzL2Rvd25y&#10;ZXYueG1sUEsFBgAAAAAEAAQA9QAAAIUDAAAAAA==&#10;" fillcolor="white [3201]" strokecolor="#f79646 [3209]" strokeweight="2pt">
              <v:textbox>
                <w:txbxContent>
                  <w:p w14:paraId="21190881"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 xml:space="preserve">Контроль за реализацией финансово-инвестиционной стратегии и </w:t>
                    </w:r>
                  </w:p>
                  <w:p w14:paraId="029802F0" w14:textId="77777777" w:rsidR="007014C7" w:rsidRPr="00F04EDC" w:rsidRDefault="007014C7"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достижением поставленных целей</w:t>
                    </w:r>
                  </w:p>
                </w:txbxContent>
              </v:textbox>
            </v:roundrect>
            <v:shape id="Прямая со стрелкой 20" o:spid="_x0000_s1065" type="#_x0000_t32" style="position:absolute;left:28384;top:6096;width:0;height:17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tE8L8AAADcAAAADwAAAGRycy9kb3ducmV2LnhtbERP22oCMRB9L/gPYYS+FM3aispqFBEK&#10;20cvHzBsxs3iZrIk2Uv/vikIvs3hXGd3GG0jevKhdqxgMc9AEJdO11wpuF2/ZxsQISJrbByTgl8K&#10;cNhP3naYazfwmfpLrEQK4ZCjAhNjm0sZSkMWw9y1xIm7O28xJugrqT0OKdw28jPLVtJizanBYEsn&#10;Q+Xj0lkFrmfzs/yw8SG78nrErjgNvlDqfToetyAijfElfroLneZ/reH/mXSB3P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QtE8L8AAADcAAAADwAAAAAAAAAAAAAAAACh&#10;AgAAZHJzL2Rvd25yZXYueG1sUEsFBgAAAAAEAAQA+QAAAI0DAAAAAA==&#10;" strokecolor="black [3040]">
              <v:stroke endarrow="block"/>
            </v:shape>
            <v:shape id="Прямая со стрелкой 21" o:spid="_x0000_s1066" type="#_x0000_t32" style="position:absolute;left:28289;top:13525;width:0;height:190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TQgsIAAADcAAAADwAAAGRycy9kb3ducmV2LnhtbESPzWoDMQyE74G+g1Ehl9B4m4RStnFC&#10;CBS2xyZ9ALFW10vW8mJ7f/r21SGQm8SMZj7tj7Pv1EgxtYENvK4LUMR1sC03Bn6uny/voFJGttgF&#10;JgN/lOB4eFrssbRh4m8aL7lREsKpRAMu577UOtWOPKZ16IlF+w3RY5Y1NtpGnCTcd3pTFG/aY8vS&#10;4LCns6P6dhm8gTCy+9qtfL7pob6ecKjOU6yMWT7Ppw9Qmeb8MN+vKyv4W6GVZ2QCf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TQgsIAAADcAAAADwAAAAAAAAAAAAAA&#10;AAChAgAAZHJzL2Rvd25yZXYueG1sUEsFBgAAAAAEAAQA+QAAAJADAAAAAA==&#10;" strokecolor="black [3040]">
              <v:stroke endarrow="block"/>
            </v:shape>
            <v:shape id="Прямая со стрелкой 22" o:spid="_x0000_s1067" type="#_x0000_t32" style="position:absolute;left:7524;top:23622;width:21051;height:323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FdMEAAADcAAAADwAAAGRycy9kb3ducmV2LnhtbERPTYvCMBC9L/gfwgje1lQFWbtGEUEQ&#10;PYit4B6HZmy720xKEzX+eyMIe5vH+5z5MphG3KhztWUFo2ECgriwuuZSwSnffH6BcB5ZY2OZFDzI&#10;wXLR+5hjqu2dj3TLfCliCLsUFVTet6mUrqjIoBvaljhyF9sZ9BF2pdQd3mO4aeQ4SabSYM2xocKW&#10;1hUVf9nVKNidfy+5PNUBTRamu32yOTQ/I6UG/bD6BuEp+H/x273Vcf5kBq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5cV0wQAAANwAAAAPAAAAAAAAAAAAAAAA&#10;AKECAABkcnMvZG93bnJldi54bWxQSwUGAAAAAAQABAD5AAAAjwMAAAAA&#10;" strokecolor="black [3040]">
              <v:stroke endarrow="block"/>
            </v:shape>
            <v:shape id="Прямая со стрелкой 23" o:spid="_x0000_s1068" type="#_x0000_t32" style="position:absolute;left:22669;top:23717;width:6096;height:323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kflMQAAADcAAAADwAAAGRycy9kb3ducmV2LnhtbESPQWvCQBCF7wX/wzKCt7qxiJToKiII&#10;ogdpFNrjkB2TaHY2ZLe6/nvnUOhthvfmvW8Wq+Radac+NJ4NTMYZKOLS24YrA+fT9v0TVIjIFlvP&#10;ZOBJAVbLwdsCc+sf/EX3IlZKQjjkaKCOscu1DmVNDsPYd8SiXXzvMMraV9r2+JBw1+qPLJtphw1L&#10;Q40dbWoqb8WvM7D/vl5O+twkdEWa7Q/Z9tj+TIwZDdN6DipSiv/mv+udFfyp4MszMoFe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2R+UxAAAANwAAAAPAAAAAAAAAAAA&#10;AAAAAKECAABkcnMvZG93bnJldi54bWxQSwUGAAAAAAQABAD5AAAAkgMAAAAA&#10;" strokecolor="black [3040]">
              <v:stroke endarrow="block"/>
            </v:shape>
            <v:shape id="Прямая со стрелкой 24" o:spid="_x0000_s1069" type="#_x0000_t32" style="position:absolute;left:29051;top:23812;width:5048;height:31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gKYr4AAADcAAAADwAAAGRycy9kb3ducmV2LnhtbERP24rCMBB9F/yHMMK+iKYuskg1ighC&#10;fVzdDxiasSk2k5KkF//eCMK+zeFcZ3cYbSN68qF2rGC1zEAQl07XXCn4u50XGxAhImtsHJOCJwU4&#10;7KeTHebaDfxL/TVWIoVwyFGBibHNpQylIYth6VrixN2dtxgT9JXUHocUbhv5nWU/0mLNqcFgSydD&#10;5ePaWQWuZ3NZz218yK68HbErToMvlPqajcctiEhj/Bd/3IVO89creD+TLpD7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NqApivgAAANwAAAAPAAAAAAAAAAAAAAAAAKEC&#10;AABkcnMvZG93bnJldi54bWxQSwUGAAAAAAQABAD5AAAAjAMAAAAA&#10;" strokecolor="black [3040]">
              <v:stroke endarrow="block"/>
            </v:shape>
            <v:shape id="Прямая со стрелкой 25" o:spid="_x0000_s1070" type="#_x0000_t32" style="position:absolute;left:29051;top:23812;width:22003;height:30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UFb4AAADcAAAADwAAAGRycy9kb3ducmV2LnhtbERP24rCMBB9X/Afwgi+LGuqiCzVKCII&#10;9XHVDxiasSk2k5KkF//eCMK+zeFcZ7sfbSN68qF2rGAxz0AQl07XXCm4XU8/vyBCRNbYOCYFTwqw&#10;302+tphrN/Af9ZdYiRTCIUcFJsY2lzKUhiyGuWuJE3d33mJM0FdSexxSuG3kMsvW0mLNqcFgS0dD&#10;5ePSWQWuZ3Nefdv4kF15PWBXHAdfKDWbjocNiEhj/Bd/3IVO81dLeD+TLpC7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9epQVvgAAANwAAAAPAAAAAAAAAAAAAAAAAKEC&#10;AABkcnMvZG93bnJldi54bWxQSwUGAAAAAAQABAD5AAAAjAMAAAAA&#10;" strokecolor="black [3040]">
              <v:stroke endarrow="block"/>
            </v:shape>
            <v:shape id="Прямая со стрелкой 26" o:spid="_x0000_s1071" type="#_x0000_t32" style="position:absolute;left:7239;top:37814;width:19145;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Yxjr4AAADcAAAADwAAAGRycy9kb3ducmV2LnhtbERP24rCMBB9F/yHMMK+iKauskg1ighC&#10;91HdDxiasSk2k5KkF//eLCzs2xzOdfbH0TaiJx9qxwpWywwEcel0zZWCn/tlsQURIrLGxjEpeFGA&#10;42E62WOu3cBX6m+xEimEQ44KTIxtLmUoDVkMS9cSJ+7hvMWYoK+k9jikcNvIzyz7khZrTg0GWzob&#10;Kp+3zipwPZvvzdzGp+zK+wm74jz4QqmP2XjagYg0xn/xn7vQaf5mDb/PpAvk4Q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SNjGOvgAAANwAAAAPAAAAAAAAAAAAAAAAAKEC&#10;AABkcnMvZG93bnJldi54bWxQSwUGAAAAAAQABAD5AAAAjAMAAAAA&#10;" strokecolor="black [3040]">
              <v:stroke endarrow="block"/>
            </v:shape>
            <v:shape id="Прямая со стрелкой 27" o:spid="_x0000_s1072" type="#_x0000_t32" style="position:absolute;left:22574;top:37719;width:4096;height:21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p+r4AAADcAAAADwAAAGRycy9kb3ducmV2LnhtbERP24rCMBB9X/Afwgi+LGuqlEWqUUQQ&#10;uo/qfsDQzDbFZlKS9OLfbwTBtzmc6+wOk23FQD40jhWslhkI4srphmsFv7fz1wZEiMgaW8ek4EEB&#10;DvvZxw4L7Ua+0HCNtUghHApUYGLsCilDZchiWLqOOHF/zluMCfpaao9jCretXGfZt7TYcGow2NHJ&#10;UHW/9laBG9j85J823mVf3Y7Yl6fRl0ot5tNxCyLSFN/il7vUaX6ew/OZdIHc/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d36n6vgAAANwAAAAPAAAAAAAAAAAAAAAAAKEC&#10;AABkcnMvZG93bnJldi54bWxQSwUGAAAAAAQABAD5AAAAjAMAAAAA&#10;" strokecolor="black [3040]">
              <v:stroke endarrow="block"/>
            </v:shape>
            <v:shape id="Прямая со стрелкой 28" o:spid="_x0000_s1073" type="#_x0000_t32" style="position:absolute;left:32575;top:37909;width:5715;height:190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68DMEAAADcAAAADwAAAGRycy9kb3ducmV2LnhtbERPTYvCMBC9C/6HMII3TRVXpGsUEQTR&#10;w2IruMehGdvuNpPSRM3++40geJvH+5zlOphG3KlztWUFk3ECgriwuuZSwTnfjRYgnEfW2FgmBX/k&#10;YL3q95aYavvgE90zX4oYwi5FBZX3bSqlKyoy6Ma2JY7c1XYGfYRdKXWHjxhuGjlNkrk0WHNsqLCl&#10;bUXFb3YzCg6Xn2suz3VAk4X54ZjsvprviVLDQdh8gvAU/Fv8cu91nD/7gOcz8QK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rrwMwQAAANwAAAAPAAAAAAAAAAAAAAAA&#10;AKECAABkcnMvZG93bnJldi54bWxQSwUGAAAAAAQABAD5AAAAjwMAAAAA&#10;" strokecolor="black [3040]">
              <v:stroke endarrow="block"/>
            </v:shape>
            <v:shape id="Прямая со стрелкой 29" o:spid="_x0000_s1074" type="#_x0000_t32" style="position:absolute;left:33909;top:37909;width:18573;height:190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wie8AAAADcAAAADwAAAGRycy9kb3ducmV2LnhtbERPTYvCMBC9C/6HMII3TRUpUo0igiDu&#10;QbYKehyasa02k9JkNf77zcKCt3m8z1mug2nEkzpXW1YwGScgiAuray4VnE+70RyE88gaG8uk4E0O&#10;1qt+b4mZti/+pmfuSxFD2GWooPK+zaR0RUUG3di2xJG72c6gj7Arpe7wFcNNI6dJkkqDNceGClva&#10;VlQ88h+j4HC5307yXAc0eUgPX8nu2FwnSg0HYbMA4Sn4j/jfvddx/iyFv2fiBXL1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h8InvAAAAA3AAAAA8AAAAAAAAAAAAAAAAA&#10;oQIAAGRycy9kb3ducmV2LnhtbFBLBQYAAAAABAAEAPkAAACOAwAAAAA=&#10;" strokecolor="black [3040]">
              <v:stroke endarrow="block"/>
            </v:shape>
            <v:shape id="Прямая со стрелкой 30" o:spid="_x0000_s1075" type="#_x0000_t32" style="position:absolute;left:11715;top:45910;width:16574;height:257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CH4MEAAADcAAAADwAAAGRycy9kb3ducmV2LnhtbERPTYvCMBC9L/gfwgje1lQRV7pGEUEQ&#10;PYit4B6HZmy720xKEzX+eyMIe5vH+5z5MphG3KhztWUFo2ECgriwuuZSwSnffM5AOI+ssbFMCh7k&#10;YLnofcwx1fbOR7plvhQxhF2KCirv21RKV1Rk0A1tSxy5i+0M+gi7UuoO7zHcNHKcJFNpsObYUGFL&#10;64qKv+xqFOzOv5dcnuqAJgvT3T7ZHJqfkVKDflh9g/AU/L/47d7qOH/yBa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MIfgwQAAANwAAAAPAAAAAAAAAAAAAAAA&#10;AKECAABkcnMvZG93bnJldi54bWxQSwUGAAAAAAQABAD5AAAAjwMAAAAA&#10;" strokecolor="black [3040]">
              <v:stroke endarrow="block"/>
            </v:shape>
            <v:shape id="Прямая со стрелкой 32" o:spid="_x0000_s1076" type="#_x0000_t32" style="position:absolute;left:28479;top:45910;width:0;height:266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j/8IAAADcAAAADwAAAGRycy9kb3ducmV2LnhtbESPzWoDMQyE74W8g1Ggl5J4W0IImzgh&#10;BArbY5M8gFgr6yVrebG9P3376lDoTWJGM58Op9l3aqSY2sAG3tcFKOI62JYbA/fb52oHKmVki11g&#10;MvBDCU7HxcsBSxsm/qbxmhslIZxKNOBy7kutU+3IY1qHnli0R4ges6yx0TbiJOG+0x9FsdUeW5YG&#10;hz1dHNXP6+ANhJHd1+bN56ce6tsZh+oyxcqY1+V83oPKNOd/8991ZQV/I7TyjEygj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Kj/8IAAADcAAAADwAAAAAAAAAAAAAA&#10;AAChAgAAZHJzL2Rvd25yZXYueG1sUEsFBgAAAAAEAAQA+QAAAJADAAAAAA==&#10;" strokecolor="black [3040]">
              <v:stroke endarrow="block"/>
            </v:shape>
            <v:shape id="Прямая со стрелкой 33" o:spid="_x0000_s1077" type="#_x0000_t32" style="position:absolute;left:28860;top:45815;width:18479;height:2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4GZL4AAADcAAAADwAAAGRycy9kb3ducmV2LnhtbERP24rCMBB9F/yHMMK+iKYuIms1ighC&#10;91HdDxiasSk2k5KkF//eLCzs2xzOdfbH0TaiJx9qxwpWywwEcel0zZWCn/tl8QUiRGSNjWNS8KIA&#10;x8N0ssdcu4Gv1N9iJVIIhxwVmBjbXMpQGrIYlq4lTtzDeYsxQV9J7XFI4baRn1m2kRZrTg0GWzob&#10;Kp+3zipwPZvv9dzGp+zK+wm74jz4QqmP2XjagYg0xn/xn7vQaf56C7/PpAvk4Q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z3gZkvgAAANwAAAAPAAAAAAAAAAAAAAAAAKEC&#10;AABkcnMvZG93bnJldi54bWxQSwUGAAAAAAQABAD5AAAAjAMAAAAA&#10;" strokecolor="black [3040]">
              <v:stroke endarrow="block"/>
            </v:shape>
            <v:shape id="Прямая со стрелкой 43" o:spid="_x0000_s1078" type="#_x0000_t32" style="position:absolute;left:11334;top:53530;width:14859;height:228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05JMIAAADcAAAADwAAAGRycy9kb3ducmV2LnhtbESPzWoDMQyE74G+g1Ehl9B4G5JStnFC&#10;CBS2xyZ9ALFW10vW8mJ7f/r21SGQm8SMZj7tj7Pv1EgxtYENvK4LUMR1sC03Bn6uny/voFJGttgF&#10;JgN/lOB4eFrssbRh4m8aL7lREsKpRAMu577UOtWOPKZ16IlF+w3RY5Y1NtpGnCTcd3pTFG/aY8vS&#10;4LCns6P6dhm8gTCy+9qufL7pob6ecKjOU6yMWT7Ppw9Qmeb8MN+vKyv4O8GXZ2QCf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z05JMIAAADcAAAADwAAAAAAAAAAAAAA&#10;AAChAgAAZHJzL2Rvd25yZXYueG1sUEsFBgAAAAAEAAQA+QAAAJADAAAAAA==&#10;" strokecolor="black [3040]">
              <v:stroke endarrow="block"/>
            </v:shape>
            <v:shape id="Прямая со стрелкой 45" o:spid="_x0000_s1079" type="#_x0000_t32" style="position:absolute;left:28670;top:53149;width:0;height:29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cv74AAADcAAAADwAAAGRycy9kb3ducmV2LnhtbERP24rCMBB9X9h/CLPgy7KmiitLNYoI&#10;Qn308gFDMzbFZlKS9OLfG0HYtzmc66y3o21ETz7UjhXMphkI4tLpmisF18vh5w9EiMgaG8ek4EEB&#10;tpvPjzXm2g18ov4cK5FCOOSowMTY5lKG0pDFMHUtceJuzluMCfpKao9DCreNnGfZUlqsOTUYbGlv&#10;qLyfO6vA9WyOi28b77IrLzvsiv3gC6UmX+NuBSLSGP/Fb3eh0/zfGbyeSRfIzR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cZy/vgAAANwAAAAPAAAAAAAAAAAAAAAAAKEC&#10;AABkcnMvZG93bnJldi54bWxQSwUGAAAAAAQABAD5AAAAjAMAAAAA&#10;" strokecolor="black [3040]">
              <v:stroke endarrow="block"/>
            </v:shape>
            <v:shape id="Прямая со стрелкой 56" o:spid="_x0000_s1080" type="#_x0000_t32" style="position:absolute;left:31908;top:53244;width:16288;height:247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6ypcIAAADcAAAADwAAAGRycy9kb3ducmV2LnhtbERPTWvCQBC9F/wPywi91Y1Cg6SuUgRB&#10;7KGYCHocsmOSNjsbsttk++9dQfA2j/c5q00wrRiod41lBfNZAoK4tLrhSsGp2L0tQTiPrLG1TAr+&#10;ycFmPXlZYabtyEcacl+JGMIuQwW1910mpStrMuhmtiOO3NX2Bn2EfSV1j2MMN61cJEkqDTYcG2rs&#10;aFtT+Zv/GQWH88+1kKcmoMlDevhKdt/tZa7U6zR8foDwFPxT/HDvdZz/voD7M/ECu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6ypcIAAADcAAAADwAAAAAAAAAAAAAA&#10;AAChAgAAZHJzL2Rvd25yZXYueG1sUEsFBgAAAAAEAAQA+QAAAJADAAAAAA==&#10;" strokecolor="black [3040]">
              <v:stroke endarrow="block"/>
            </v:shape>
            <v:shape id="Прямая со стрелкой 65" o:spid="_x0000_s1081" type="#_x0000_t32" style="position:absolute;left:28956;top:61912;width:0;height:238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U78AAADcAAAADwAAAGRycy9kb3ducmV2LnhtbERP22oCMRB9L/gPYYS+FM3aqshqFBEK&#10;20cvHzBsxs3iZrIk2Uv/vikIvs3hXGd3GG0jevKhdqxgMc9AEJdO11wpuF2/ZxsQISJrbByTgl8K&#10;cNhP3naYazfwmfpLrEQK4ZCjAhNjm0sZSkMWw9y1xIm7O28xJugrqT0OKdw28jPL1tJizanBYEsn&#10;Q+Xj0lkFrmfzs/yw8SG78nrErjgNvlDqfToetyAijfElfroLneavvuD/mXSB3P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nU78AAADcAAAADwAAAAAAAAAAAAAAAACh&#10;AgAAZHJzL2Rvd25yZXYueG1sUEsFBgAAAAAEAAQA+QAAAI0DAAAAAA==&#10;" strokecolor="black [3040]">
              <v:stroke endarrow="block"/>
            </v:shape>
            <v:shape id="Прямая со стрелкой 67" o:spid="_x0000_s1082" type="#_x0000_t32" style="position:absolute;left:28956;top:67246;width:0;height:20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Y/J74AAADcAAAADwAAAGRycy9kb3ducmV2LnhtbERP24rCMBB9F/yHMMK+iKYuukg1ighC&#10;91HdDxiasSk2k5KkF//eLCzs2xzOdfbH0TaiJx9qxwpWywwEcel0zZWCn/tlsQURIrLGxjEpeFGA&#10;42E62WOu3cBX6m+xEimEQ44KTIxtLmUoDVkMS9cSJ+7hvMWYoK+k9jikcNvIzyz7khZrTg0GWzob&#10;Kp+3zipwPZvv9dzGp+zK+wm74jz4QqmP2XjagYg0xn/xn7vQaf5mDb/PpAvk4Q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YBj8nvgAAANwAAAAPAAAAAAAAAAAAAAAAAKEC&#10;AABkcnMvZG93bnJldi54bWxQSwUGAAAAAAQABAD5AAAAjAMAAAAA&#10;" strokecolor="black [3040]">
              <v:stroke endarrow="block"/>
            </v:shape>
            <v:shape id="_x0000_s1083" type="#_x0000_t32" style="position:absolute;left:29146;top:74390;width:0;height:20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qavL4AAADcAAAADwAAAGRycy9kb3ducmV2LnhtbERP24rCMBB9F/yHMMK+iKYuukg1ighC&#10;91HdDxiasSk2k5KkF//eLCzs2xzOdfbH0TaiJx9qxwpWywwEcel0zZWCn/tlsQURIrLGxjEpeFGA&#10;42E62WOu3cBX6m+xEimEQ44KTIxtLmUoDVkMS9cSJ+7hvMWYoK+k9jikcNvIzyz7khZrTg0GWzob&#10;Kp+3zipwPZvv9dzGp+zK+wm74jz4QqmP2XjagYg0xn/xn7vQaf5mA7/PpAvk4Q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3Spq8vgAAANwAAAAPAAAAAAAAAAAAAAAAAKEC&#10;AABkcnMvZG93bnJldi54bWxQSwUGAAAAAAQABAD5AAAAjAMAAAAA&#10;" strokecolor="black [3040]">
              <v:stroke endarrow="block"/>
            </v:shape>
            <v:shape id="Прямая со стрелкой 79" o:spid="_x0000_s1084" type="#_x0000_t32" style="position:absolute;left:29146;top:81153;width:0;height:180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Ey74AAADcAAAADwAAAGRycy9kb3ducmV2LnhtbERP24rCMBB9X/Afwgi+iKbKKks1iggL&#10;9XF1P2BoxqbYTEqSXvbvjSDs2xzOdfbH0TaiJx9qxwpWywwEcel0zZWC39v34gtEiMgaG8ek4I8C&#10;HA+Tjz3m2g38Q/01ViKFcMhRgYmxzaUMpSGLYela4sTdnbcYE/SV1B6HFG4buc6yrbRYc2ow2NLZ&#10;UPm4dlaB69lcPuc2PmRX3k7YFefBF0rNpuNpByLSGP/Fb3eh0/zNFl7PpAvk4Q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mATLvgAAANwAAAAPAAAAAAAAAAAAAAAAAKEC&#10;AABkcnMvZG93bnJldi54bWxQSwUGAAAAAAQABAD5AAAAjAMAAAAA&#10;" strokecolor="black [3040]">
              <v:stroke endarrow="block"/>
            </v:shape>
          </v:group>
        </w:pict>
      </w:r>
    </w:p>
    <w:p w14:paraId="66204FF1" w14:textId="77777777" w:rsidR="001F333E" w:rsidRDefault="001F333E" w:rsidP="001F333E">
      <w:pPr>
        <w:jc w:val="center"/>
        <w:rPr>
          <w:sz w:val="28"/>
          <w:szCs w:val="28"/>
        </w:rPr>
      </w:pPr>
    </w:p>
    <w:p w14:paraId="2DBF0D7D" w14:textId="77777777" w:rsidR="001F333E" w:rsidRDefault="001F333E" w:rsidP="001F333E">
      <w:pPr>
        <w:jc w:val="center"/>
        <w:rPr>
          <w:sz w:val="28"/>
          <w:szCs w:val="28"/>
        </w:rPr>
      </w:pPr>
    </w:p>
    <w:p w14:paraId="6B62F1B3" w14:textId="77777777" w:rsidR="001F333E" w:rsidRDefault="001F333E" w:rsidP="001F333E">
      <w:pPr>
        <w:jc w:val="center"/>
        <w:rPr>
          <w:sz w:val="28"/>
          <w:szCs w:val="28"/>
        </w:rPr>
      </w:pPr>
    </w:p>
    <w:p w14:paraId="02F2C34E" w14:textId="77777777" w:rsidR="001F333E" w:rsidRDefault="001F333E" w:rsidP="001F333E">
      <w:pPr>
        <w:jc w:val="center"/>
        <w:rPr>
          <w:sz w:val="28"/>
          <w:szCs w:val="28"/>
        </w:rPr>
      </w:pPr>
    </w:p>
    <w:p w14:paraId="680A4E5D" w14:textId="77777777" w:rsidR="001F333E" w:rsidRDefault="001F333E" w:rsidP="001F333E">
      <w:pPr>
        <w:jc w:val="center"/>
        <w:rPr>
          <w:sz w:val="28"/>
          <w:szCs w:val="28"/>
        </w:rPr>
      </w:pPr>
    </w:p>
    <w:p w14:paraId="19219836" w14:textId="77777777" w:rsidR="001F333E" w:rsidRDefault="001F333E" w:rsidP="001F333E">
      <w:pPr>
        <w:spacing w:line="240" w:lineRule="auto"/>
        <w:jc w:val="center"/>
        <w:rPr>
          <w:szCs w:val="24"/>
        </w:rPr>
      </w:pPr>
    </w:p>
    <w:p w14:paraId="296FEF7D" w14:textId="77777777" w:rsidR="00F04EDC" w:rsidRDefault="00F04EDC" w:rsidP="001F333E">
      <w:pPr>
        <w:spacing w:line="240" w:lineRule="auto"/>
        <w:jc w:val="center"/>
        <w:rPr>
          <w:szCs w:val="24"/>
        </w:rPr>
      </w:pPr>
    </w:p>
    <w:p w14:paraId="7194DBDC" w14:textId="77777777" w:rsidR="00F04EDC" w:rsidRDefault="00F04EDC" w:rsidP="001F333E">
      <w:pPr>
        <w:spacing w:line="240" w:lineRule="auto"/>
        <w:jc w:val="center"/>
        <w:rPr>
          <w:szCs w:val="24"/>
        </w:rPr>
      </w:pPr>
    </w:p>
    <w:p w14:paraId="769D0D3C" w14:textId="77777777" w:rsidR="00F04EDC" w:rsidRDefault="00F04EDC" w:rsidP="001F333E">
      <w:pPr>
        <w:spacing w:line="240" w:lineRule="auto"/>
        <w:jc w:val="center"/>
        <w:rPr>
          <w:szCs w:val="24"/>
        </w:rPr>
      </w:pPr>
    </w:p>
    <w:p w14:paraId="54CD245A" w14:textId="77777777" w:rsidR="00F04EDC" w:rsidRDefault="00F04EDC" w:rsidP="001F333E">
      <w:pPr>
        <w:spacing w:line="240" w:lineRule="auto"/>
        <w:jc w:val="center"/>
        <w:rPr>
          <w:szCs w:val="24"/>
        </w:rPr>
      </w:pPr>
    </w:p>
    <w:p w14:paraId="1231BE67" w14:textId="77777777" w:rsidR="00F04EDC" w:rsidRDefault="00F04EDC" w:rsidP="001F333E">
      <w:pPr>
        <w:spacing w:line="240" w:lineRule="auto"/>
        <w:jc w:val="center"/>
        <w:rPr>
          <w:szCs w:val="24"/>
        </w:rPr>
      </w:pPr>
    </w:p>
    <w:p w14:paraId="36FEB5B0" w14:textId="77777777" w:rsidR="00F04EDC" w:rsidRDefault="00F04EDC" w:rsidP="001F333E">
      <w:pPr>
        <w:spacing w:line="240" w:lineRule="auto"/>
        <w:jc w:val="center"/>
        <w:rPr>
          <w:szCs w:val="24"/>
        </w:rPr>
      </w:pPr>
    </w:p>
    <w:p w14:paraId="30D7AA69" w14:textId="77777777" w:rsidR="00F04EDC" w:rsidRDefault="00F04EDC" w:rsidP="001F333E">
      <w:pPr>
        <w:spacing w:line="240" w:lineRule="auto"/>
        <w:jc w:val="center"/>
        <w:rPr>
          <w:szCs w:val="24"/>
        </w:rPr>
      </w:pPr>
    </w:p>
    <w:p w14:paraId="7196D064" w14:textId="77777777" w:rsidR="00F04EDC" w:rsidRDefault="00F04EDC" w:rsidP="001F333E">
      <w:pPr>
        <w:spacing w:line="240" w:lineRule="auto"/>
        <w:jc w:val="center"/>
        <w:rPr>
          <w:szCs w:val="24"/>
        </w:rPr>
      </w:pPr>
    </w:p>
    <w:p w14:paraId="34FF1C98" w14:textId="77777777" w:rsidR="00F04EDC" w:rsidRDefault="00F04EDC" w:rsidP="001F333E">
      <w:pPr>
        <w:spacing w:line="240" w:lineRule="auto"/>
        <w:jc w:val="center"/>
        <w:rPr>
          <w:szCs w:val="24"/>
        </w:rPr>
      </w:pPr>
    </w:p>
    <w:p w14:paraId="6D072C0D" w14:textId="77777777" w:rsidR="00F04EDC" w:rsidRDefault="00F04EDC" w:rsidP="001F333E">
      <w:pPr>
        <w:spacing w:line="240" w:lineRule="auto"/>
        <w:jc w:val="center"/>
        <w:rPr>
          <w:szCs w:val="24"/>
        </w:rPr>
      </w:pPr>
    </w:p>
    <w:p w14:paraId="48A21919" w14:textId="77777777" w:rsidR="00F04EDC" w:rsidRDefault="00F04EDC" w:rsidP="001F333E">
      <w:pPr>
        <w:spacing w:line="240" w:lineRule="auto"/>
        <w:jc w:val="center"/>
        <w:rPr>
          <w:szCs w:val="24"/>
        </w:rPr>
      </w:pPr>
    </w:p>
    <w:p w14:paraId="6BD18F9B" w14:textId="77777777" w:rsidR="00F04EDC" w:rsidRDefault="00F04EDC" w:rsidP="001F333E">
      <w:pPr>
        <w:spacing w:line="240" w:lineRule="auto"/>
        <w:jc w:val="center"/>
        <w:rPr>
          <w:szCs w:val="24"/>
        </w:rPr>
      </w:pPr>
    </w:p>
    <w:p w14:paraId="238601FE" w14:textId="77777777" w:rsidR="00F04EDC" w:rsidRDefault="00F04EDC" w:rsidP="001F333E">
      <w:pPr>
        <w:spacing w:line="240" w:lineRule="auto"/>
        <w:jc w:val="center"/>
        <w:rPr>
          <w:szCs w:val="24"/>
        </w:rPr>
      </w:pPr>
    </w:p>
    <w:p w14:paraId="0F3CABC7" w14:textId="77777777" w:rsidR="00F04EDC" w:rsidRDefault="00F04EDC" w:rsidP="001F333E">
      <w:pPr>
        <w:spacing w:line="240" w:lineRule="auto"/>
        <w:jc w:val="center"/>
        <w:rPr>
          <w:szCs w:val="24"/>
        </w:rPr>
      </w:pPr>
    </w:p>
    <w:p w14:paraId="5B08B5D1" w14:textId="77777777" w:rsidR="00F04EDC" w:rsidRDefault="00F04EDC" w:rsidP="001F333E">
      <w:pPr>
        <w:spacing w:line="240" w:lineRule="auto"/>
        <w:jc w:val="center"/>
        <w:rPr>
          <w:szCs w:val="24"/>
        </w:rPr>
      </w:pPr>
    </w:p>
    <w:p w14:paraId="16DEB4AB" w14:textId="77777777" w:rsidR="00F04EDC" w:rsidRDefault="00F04EDC" w:rsidP="001F333E">
      <w:pPr>
        <w:spacing w:line="240" w:lineRule="auto"/>
        <w:jc w:val="center"/>
        <w:rPr>
          <w:szCs w:val="24"/>
        </w:rPr>
      </w:pPr>
    </w:p>
    <w:p w14:paraId="0AD9C6F4" w14:textId="77777777" w:rsidR="00F04EDC" w:rsidRDefault="00F04EDC" w:rsidP="001F333E">
      <w:pPr>
        <w:spacing w:line="240" w:lineRule="auto"/>
        <w:jc w:val="center"/>
        <w:rPr>
          <w:szCs w:val="24"/>
        </w:rPr>
      </w:pPr>
    </w:p>
    <w:p w14:paraId="4B1F511A" w14:textId="77777777" w:rsidR="00F04EDC" w:rsidRDefault="00F04EDC" w:rsidP="001F333E">
      <w:pPr>
        <w:spacing w:line="240" w:lineRule="auto"/>
        <w:jc w:val="center"/>
        <w:rPr>
          <w:szCs w:val="24"/>
        </w:rPr>
      </w:pPr>
    </w:p>
    <w:p w14:paraId="65F9C3DC" w14:textId="77777777" w:rsidR="00F04EDC" w:rsidRDefault="00F04EDC" w:rsidP="001F333E">
      <w:pPr>
        <w:spacing w:line="240" w:lineRule="auto"/>
        <w:jc w:val="center"/>
        <w:rPr>
          <w:szCs w:val="24"/>
        </w:rPr>
      </w:pPr>
    </w:p>
    <w:p w14:paraId="5023141B" w14:textId="77777777" w:rsidR="00F04EDC" w:rsidRDefault="00F04EDC" w:rsidP="001F333E">
      <w:pPr>
        <w:spacing w:line="240" w:lineRule="auto"/>
        <w:jc w:val="center"/>
        <w:rPr>
          <w:szCs w:val="24"/>
        </w:rPr>
      </w:pPr>
    </w:p>
    <w:p w14:paraId="1F3B1409" w14:textId="77777777" w:rsidR="00F04EDC" w:rsidRDefault="00F04EDC" w:rsidP="001F333E">
      <w:pPr>
        <w:spacing w:line="240" w:lineRule="auto"/>
        <w:jc w:val="center"/>
        <w:rPr>
          <w:szCs w:val="24"/>
        </w:rPr>
      </w:pPr>
    </w:p>
    <w:p w14:paraId="562C75D1" w14:textId="77777777" w:rsidR="00F04EDC" w:rsidRDefault="00F04EDC" w:rsidP="001F333E">
      <w:pPr>
        <w:spacing w:line="240" w:lineRule="auto"/>
        <w:jc w:val="center"/>
        <w:rPr>
          <w:szCs w:val="24"/>
        </w:rPr>
      </w:pPr>
    </w:p>
    <w:p w14:paraId="664355AD" w14:textId="77777777" w:rsidR="00F04EDC" w:rsidRDefault="00F04EDC" w:rsidP="001F333E">
      <w:pPr>
        <w:spacing w:line="240" w:lineRule="auto"/>
        <w:jc w:val="center"/>
        <w:rPr>
          <w:szCs w:val="24"/>
        </w:rPr>
      </w:pPr>
    </w:p>
    <w:p w14:paraId="6786811B" w14:textId="77777777" w:rsidR="001F333E" w:rsidRPr="00F04EDC" w:rsidRDefault="001F333E" w:rsidP="00F04EDC">
      <w:pPr>
        <w:spacing w:after="0" w:line="240" w:lineRule="auto"/>
        <w:jc w:val="center"/>
        <w:rPr>
          <w:rFonts w:ascii="Times New Roman" w:hAnsi="Times New Roman" w:cs="Times New Roman"/>
          <w:sz w:val="20"/>
          <w:szCs w:val="20"/>
        </w:rPr>
      </w:pPr>
      <w:r w:rsidRPr="00F04EDC">
        <w:rPr>
          <w:rFonts w:ascii="Times New Roman" w:hAnsi="Times New Roman" w:cs="Times New Roman"/>
          <w:sz w:val="20"/>
          <w:szCs w:val="20"/>
        </w:rPr>
        <w:t>Рисунок 1 – Модель формирования финансово-инвестиционной стратегии организаций</w:t>
      </w:r>
    </w:p>
    <w:p w14:paraId="1A965116" w14:textId="77777777" w:rsidR="001F333E" w:rsidRPr="00F04EDC" w:rsidRDefault="001F333E" w:rsidP="00F04EDC">
      <w:pPr>
        <w:spacing w:after="0" w:line="240" w:lineRule="auto"/>
        <w:jc w:val="center"/>
        <w:rPr>
          <w:rFonts w:ascii="Times New Roman" w:hAnsi="Times New Roman" w:cs="Times New Roman"/>
          <w:sz w:val="20"/>
          <w:szCs w:val="20"/>
        </w:rPr>
      </w:pPr>
    </w:p>
    <w:p w14:paraId="3520F653" w14:textId="77777777" w:rsidR="001F333E" w:rsidRPr="0082342D" w:rsidRDefault="001F333E" w:rsidP="0082342D">
      <w:pPr>
        <w:spacing w:after="0" w:line="240" w:lineRule="auto"/>
        <w:jc w:val="both"/>
        <w:rPr>
          <w:rFonts w:ascii="Times New Roman" w:hAnsi="Times New Roman" w:cs="Times New Roman"/>
          <w:sz w:val="24"/>
          <w:szCs w:val="24"/>
        </w:rPr>
      </w:pPr>
      <w:r w:rsidRPr="0082342D">
        <w:rPr>
          <w:rFonts w:ascii="Times New Roman" w:hAnsi="Times New Roman" w:cs="Times New Roman"/>
          <w:sz w:val="24"/>
          <w:szCs w:val="24"/>
        </w:rPr>
        <w:t xml:space="preserve">Поставленные цели финансово-инвестиционной стратегии являются единым взаимосвязанным блоком, следовательно, на стадии формирования финансово-инвестиционной стратегии руководство должно принять управленческое решение о приоритетности и значимости каждой цели из этого блока. </w:t>
      </w:r>
    </w:p>
    <w:p w14:paraId="1BEB9012"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2.  Комплексная оценка внешних и внутренних факторов влияния на потенциал предприятия.  </w:t>
      </w:r>
    </w:p>
    <w:p w14:paraId="4281E58A"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Исследование, проводимое в рамках этого шага, направлено на изучение экономических и правовых условий, регламентирующих инвестиционную деятельность, а также тенденций к их изменению [13]. При определении потенциала предприятия производится анализ внешних факторов влияния, в рамках которых рассматривают прогнозы развития экономической, социальной, политической и технологической сфер, а также производственный прогноз, тенденции изменения рыночного окружения и структурные сдвиги [14].</w:t>
      </w:r>
    </w:p>
    <w:p w14:paraId="31A08129"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При рассмотрении экономической сферы, ключевыми показателями для анализа являются: уровень инфляции, занятости, тенденции изменений деловой активности, а также денежного оборота [15].  </w:t>
      </w:r>
    </w:p>
    <w:p w14:paraId="1F597F3D"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3.  Выбор и постановка целей инвестиционной деятельности по обновлению основных фондов предприятия. По результатам исследования внешних и внутренних факторов, влияющих на деятельность предприятия, поставленные ранее общие цели финансово-инвестиционной стратегии уточняются, «локализуются» на конкретных направлениях.  </w:t>
      </w:r>
    </w:p>
    <w:p w14:paraId="3BDB37E5"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4.  Оценка финансового обеспечения инвестиционной деятельности предприятия. </w:t>
      </w:r>
    </w:p>
    <w:p w14:paraId="3BE1814D"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Источниками финансирования инвестиционной деятельности на предприятиях являются: </w:t>
      </w:r>
    </w:p>
    <w:p w14:paraId="54D99B67"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собственные средства такие как: амортизация, прибыль после налогообложения и т.д.; </w:t>
      </w:r>
    </w:p>
    <w:p w14:paraId="19122333"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привлеченные средства: полученные от продажи ценных бумаг инвестиционного характера; венчурный капитал и паевые взносы; </w:t>
      </w:r>
    </w:p>
    <w:p w14:paraId="07F395C4"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заемные средства (кредиты банков и других организаций). </w:t>
      </w:r>
    </w:p>
    <w:p w14:paraId="052C8CE3"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Так же, частью источников финансирования инвестиционной деятельности являются операции кредитно-депозитного вида.  Они подразумевают под собой размещение свободных финансовых ресурсов хозяйствующих субъектов в банки, на депозитном счете для дальнейшего использования в виде инвестиционных кредитов. </w:t>
      </w:r>
    </w:p>
    <w:p w14:paraId="0E6AF483"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Необходимо заметить, что вовлекаемые в инвестиционную деятельность ресурсы могут иметь различную форму. Это повысит уровень мобильности такого источника финансовых ресурсов.  Эти формы могут зависеть от:  </w:t>
      </w:r>
    </w:p>
    <w:p w14:paraId="00B364E8"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конкретного вида кредита;</w:t>
      </w:r>
    </w:p>
    <w:p w14:paraId="77E7E4C8"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способа начисления платы за его использование; </w:t>
      </w:r>
    </w:p>
    <w:p w14:paraId="019D6CE9"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вида процентных ставок (например, сложное начисление процентов, плавающая простая процентная ставка, фиксированная простая процентная ставка); </w:t>
      </w:r>
    </w:p>
    <w:p w14:paraId="3246B3D7"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способа предоставления кредита (вексельный, акцептно-рамбурсный, кредит по открытому счету). </w:t>
      </w:r>
    </w:p>
    <w:p w14:paraId="3A5D6C44"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По нашему мнению, финансирование инвестиционной деятельности следует рассматривать как комплекс мероприятий, направленных на обеспечение предприятия финансовыми ресурсами для выполнения поставленных задач в рамках реализации финансово-инвестиционной стратегии.</w:t>
      </w:r>
    </w:p>
    <w:p w14:paraId="3BB8FCA6"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С учетом влияния внешней среды, следует различать ряд этапов при реализации финансово-инвестиционной стратегии:  </w:t>
      </w:r>
    </w:p>
    <w:p w14:paraId="08A4641B"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lastRenderedPageBreak/>
        <w:t xml:space="preserve">- привлечение финансовых, трудовых, природных и т.д.  ресурсов.  При этом хозяйствующий субъект, осуществляющий инвестиционную деятельность, вступает в финансовые отношения на различных рынках (на рынке труда, капитала, сырьевом, и т.д.); </w:t>
      </w:r>
    </w:p>
    <w:p w14:paraId="36A31A64"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обеспечение возврата затраченных финансовых ресурсов; </w:t>
      </w:r>
    </w:p>
    <w:p w14:paraId="23A9422C"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оформление отношений различного рода и уровня с инвесторами и государственными структурами (платежные, страховые отношения); </w:t>
      </w:r>
    </w:p>
    <w:p w14:paraId="58435107"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 информационное обеспечение инвестиционной деятельности. </w:t>
      </w:r>
    </w:p>
    <w:p w14:paraId="6D7DD810"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Так как на каждом этапе реализации инвестиционных задач в рамках финансово-инвестиционной стратегии необходимо использование финансовых ресурсов различных видов, следует рассмотреть теоретические основы оптимизации финансовых источников для планируемых инвестиций. </w:t>
      </w:r>
    </w:p>
    <w:p w14:paraId="2AFF4CFC"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5. Конкретизация цели финансово-инвестиционной стратегии.</w:t>
      </w:r>
    </w:p>
    <w:p w14:paraId="2925C9CA"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Конкретизация цели финансово-инвестиционной стратегии осуществляется путем перебора различных источников финансовых ресурсов и их соотнесения с ранее поставленными целями или при помощи метода анализа иерархий.  </w:t>
      </w:r>
    </w:p>
    <w:p w14:paraId="55C63891"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6.  Определение временного промежутка, на который рассчитана разрабатываемая финансово-инвестиционная стратегия.  В современных экономических условиях наиболее приемлемым для предприятия горизонтом формирования стратегии является период – от трех до пяти лет.  </w:t>
      </w:r>
    </w:p>
    <w:p w14:paraId="286364E2"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7.  Обеспечение реализации финансово-инвестиционной стратегии на тактическом и оперативном уровне. </w:t>
      </w:r>
    </w:p>
    <w:p w14:paraId="6671382F"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При реализации финансово-инвестиционной стратегии дополнительно принимаются и реализуются решения ранее не запланированные, но необходимые для реагирования на изменения факторов внешней и внутренней среды.  При этом, корректировка финансово-инвестиционной стратегии неизбежна, так как на предприятие будут оказывать влияние непредвиденные факторы внешней среды. Однако необходимо отметить, что сохранение эффективности всей финансово-инвестиционной стратегии возможно лишь при системной оценке принимаемых стратегических решений [16]. </w:t>
      </w:r>
    </w:p>
    <w:p w14:paraId="1BD0CAD8"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8. Контроль реализации финансово-инвестиционной стратегии [17].  </w:t>
      </w:r>
    </w:p>
    <w:p w14:paraId="48CD15EC"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В рамках данного этапа обеспечивается постоянный контроль хода реализации финансово-инвестиционной стратегии, для обеспечения реализации запланированных целей, путем выявления и нивелирования возникающих проблем. </w:t>
      </w:r>
    </w:p>
    <w:p w14:paraId="55689BA4" w14:textId="77777777" w:rsidR="001F333E" w:rsidRPr="0082342D" w:rsidRDefault="001F333E"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 xml:space="preserve">Выводы исследования и перспективы дальнейших исследований. </w:t>
      </w:r>
      <w:r w:rsidRPr="0082342D">
        <w:rPr>
          <w:rFonts w:ascii="Times New Roman" w:hAnsi="Times New Roman" w:cs="Times New Roman"/>
          <w:sz w:val="24"/>
          <w:szCs w:val="24"/>
        </w:rPr>
        <w:t>Результаты проведенного исследования базируются на авторской позиции, согласно которой управление финансами инвестиционного процесса субъектов хозяйствования, функционирующих в условиях сокращения внешних и внутренних источников финансовых ресурсов, снижения финансовой устойчивости, ограничения инвестиционных возможностей, должно основываться на разработке финансово-инвестиционной стратегии. Разработанная структурно-логическая модель формирования финансово-инвестиционной стратегии субъектов хозяйствования стран позволит повысить как качество стратегического планирования, так и реализацию разработанной стратегии на оперативно-тактическом уровне. Практическая значимость исследования заключается в том, что полученные результаты могут быть использованы как на промышленных предприятиях, так и на предприятиях других отраслей с целью повышения эффективности инвестиционной деятельности и ее финансового обеспечения.</w:t>
      </w:r>
    </w:p>
    <w:p w14:paraId="7DE3E3AE" w14:textId="77777777" w:rsidR="001F333E" w:rsidRPr="0082342D" w:rsidRDefault="001F333E" w:rsidP="00F04EDC">
      <w:pPr>
        <w:spacing w:after="0" w:line="240" w:lineRule="auto"/>
        <w:ind w:firstLine="709"/>
        <w:rPr>
          <w:rFonts w:ascii="Times New Roman" w:hAnsi="Times New Roman" w:cs="Times New Roman"/>
          <w:sz w:val="24"/>
          <w:szCs w:val="24"/>
        </w:rPr>
      </w:pPr>
      <w:r w:rsidRPr="0082342D">
        <w:rPr>
          <w:rFonts w:ascii="Times New Roman" w:hAnsi="Times New Roman" w:cs="Times New Roman"/>
          <w:sz w:val="24"/>
          <w:szCs w:val="24"/>
        </w:rPr>
        <w:t>_______________________________________________</w:t>
      </w:r>
    </w:p>
    <w:p w14:paraId="69936EDA"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Игонина Л.Л. Финансовый потенциал инвестиционного процесса в российской экономике //Дайджест-финансы. - 2016. - № 2 (268). -  С. 2-11.</w:t>
      </w:r>
    </w:p>
    <w:p w14:paraId="7C88AB77"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Черненко В.А., Гончарук Е.В. Методические положения и рекомендации по оценке эффективности привлечения частным сектором экономики финансовых ресурсов на рынке ссудных капиталов // Экономический вектор. – 2017. - №1(8). – С. 48-53.</w:t>
      </w:r>
    </w:p>
    <w:p w14:paraId="264F637F"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lastRenderedPageBreak/>
        <w:t>Дзусова, С.С. Финансовые аспекты корпоративного управления / С.С. Дзусова // Аудит и финансовый анализ. – 2010. - №2. – 278 с.</w:t>
      </w:r>
    </w:p>
    <w:p w14:paraId="165BAA5F"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Гитман Л., Джонк М. Основы инвестирования. / М.: Дело, - 1999. -  1008 с.</w:t>
      </w:r>
    </w:p>
    <w:p w14:paraId="134AC061"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Шарп У., Александер Г., Бейли Дж. Инвестиции. /М.: ИНФРМА–М, - 2008. -  564с. </w:t>
      </w:r>
    </w:p>
    <w:p w14:paraId="707AB4AC"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Бланк И. А. Управление активами / И. А. Бланк. - Киев: Ника-Центр; СПб: Эльга, - 2002. – 424 с.  </w:t>
      </w:r>
    </w:p>
    <w:p w14:paraId="2A008B91"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Маковецкий М.Ю. Инвестиции как ключевой фактор экономического роста. // Финансы и кредит. – 2007. – №2. – С. 8 – 17.</w:t>
      </w:r>
    </w:p>
    <w:p w14:paraId="669012C7"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Ковалев В.В. Финансовый анализ: Управление капиталом. Выбор инвестиций. Анализ отчетности. – М.: Финансы и статистика, - 2010. - 210 с.</w:t>
      </w:r>
    </w:p>
    <w:p w14:paraId="64722CD6"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 xml:space="preserve">  Морозко Н.И., Диденко В.Ю.  Оценка эффективности стратегического финансового управления организациями малого бизнеса [Текст] / Морозко Н.И., Диденко В.Ю.  // Экономика. Налоги. Право. – 2015 – №2. - С. 94–101.</w:t>
      </w:r>
    </w:p>
    <w:p w14:paraId="0200EA34"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Анникова С. Механизм формирования инвестиционной программы в вертикально интегрированной производственной структуре // Инвестиции в России. – 2014. - №5. – С.32 – 39.</w:t>
      </w:r>
    </w:p>
    <w:p w14:paraId="248EFF92"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Кузубов А.А. Инновационные интересы предпринимательства как неотъемлемая часть постиндустриальной экономики. Azimuth of Scientific Research: Economics and Administration. 2017. Т. 6. № 1 (18). С. 87-90.</w:t>
      </w:r>
    </w:p>
    <w:p w14:paraId="69934C81"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Горемыкин, В.А. Инвестиционный менеджмент: монография / Горемыкин В. А., Лещенко М. И.; под ред. М. И. Лещенко. - Москва: Национальный ин-т бизнеса, - 2010. – 212 с</w:t>
      </w:r>
    </w:p>
    <w:p w14:paraId="1BF27F03"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Бабичева, Н.Э. Методологические положения анализа финансового состояния организаций на основе ресурсного подхода / Н.Э. Бабичева // Экономический анализ: теория и практика. – 2011. - №44. – C 45-49</w:t>
      </w:r>
    </w:p>
    <w:p w14:paraId="70AA33EE"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Цыркаева Е.А. Прокудина О.А. Оценка экономического потенциала предприятия как фактор принятия управленческого решения // Вестник УГУЭС. Наука, образование, экономика. Серия: Экономика. – 2015. – №1(11). – С.73-78.</w:t>
      </w:r>
    </w:p>
    <w:p w14:paraId="03F24F75"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Кулахметова З. С.  Теоретические аспекты разработки финансовой стратегии предприятия // Концепт. – 2015. - №S5. – С 25-29</w:t>
      </w:r>
    </w:p>
    <w:p w14:paraId="3CD1B808"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Ворожбит О.Ю., Шашло Н.В. Синергетический подход в управлении маркетинговой деятельностью предприятий. Азимут научных исследований: экономика и управление. 2016. Т. 5. № 2 (15). С. 49-52.</w:t>
      </w:r>
    </w:p>
    <w:p w14:paraId="1811E4DF" w14:textId="77777777" w:rsidR="001F333E" w:rsidRPr="0082342D" w:rsidRDefault="001F333E" w:rsidP="00EB232C">
      <w:pPr>
        <w:numPr>
          <w:ilvl w:val="0"/>
          <w:numId w:val="57"/>
        </w:numPr>
        <w:spacing w:after="0" w:line="240" w:lineRule="auto"/>
        <w:ind w:left="0" w:firstLine="397"/>
        <w:jc w:val="both"/>
        <w:rPr>
          <w:rFonts w:ascii="Times New Roman" w:eastAsia="Times New Roman" w:hAnsi="Times New Roman" w:cs="Times New Roman"/>
          <w:sz w:val="24"/>
          <w:szCs w:val="24"/>
          <w:lang w:eastAsia="ru-RU"/>
        </w:rPr>
      </w:pPr>
      <w:r w:rsidRPr="0082342D">
        <w:rPr>
          <w:rFonts w:ascii="Times New Roman" w:eastAsia="Times New Roman" w:hAnsi="Times New Roman" w:cs="Times New Roman"/>
          <w:sz w:val="24"/>
          <w:szCs w:val="24"/>
          <w:lang w:eastAsia="ru-RU"/>
        </w:rPr>
        <w:t>Кузубов А.А., Шашло Н.В. Оценка институционного механизма развития предпринимательства в рамках интеграционного подхода. Азимут научных исследований: экономика и управление. 2016. Т. 5. № 4 (17). С. 398-402.</w:t>
      </w:r>
    </w:p>
    <w:p w14:paraId="7DF4E37C" w14:textId="77777777" w:rsidR="001F333E" w:rsidRDefault="001F333E" w:rsidP="002245D5">
      <w:pPr>
        <w:spacing w:line="240" w:lineRule="auto"/>
        <w:rPr>
          <w:rFonts w:ascii="Times New Roman" w:hAnsi="Times New Roman"/>
          <w:b/>
          <w:sz w:val="20"/>
          <w:szCs w:val="28"/>
        </w:rPr>
      </w:pPr>
    </w:p>
    <w:p w14:paraId="47DDBE8F" w14:textId="77777777" w:rsidR="002245D5" w:rsidRPr="0082342D" w:rsidRDefault="002245D5" w:rsidP="0082342D">
      <w:pPr>
        <w:spacing w:line="240" w:lineRule="auto"/>
        <w:rPr>
          <w:rFonts w:ascii="Times New Roman" w:hAnsi="Times New Roman" w:cs="Times New Roman"/>
          <w:b/>
          <w:sz w:val="24"/>
          <w:szCs w:val="24"/>
        </w:rPr>
      </w:pPr>
      <w:r w:rsidRPr="0082342D">
        <w:rPr>
          <w:rFonts w:ascii="Times New Roman" w:hAnsi="Times New Roman" w:cs="Times New Roman"/>
          <w:b/>
          <w:sz w:val="24"/>
          <w:szCs w:val="24"/>
        </w:rPr>
        <w:t>Рубрика: мировая экономика</w:t>
      </w:r>
    </w:p>
    <w:p w14:paraId="3596CE4D" w14:textId="77777777" w:rsidR="002245D5" w:rsidRPr="0082342D" w:rsidRDefault="002245D5" w:rsidP="0082342D">
      <w:pPr>
        <w:spacing w:line="240" w:lineRule="auto"/>
        <w:rPr>
          <w:rFonts w:ascii="Times New Roman" w:hAnsi="Times New Roman" w:cs="Times New Roman"/>
          <w:sz w:val="24"/>
          <w:szCs w:val="24"/>
        </w:rPr>
      </w:pPr>
      <w:r w:rsidRPr="0082342D">
        <w:rPr>
          <w:rFonts w:ascii="Times New Roman" w:hAnsi="Times New Roman" w:cs="Times New Roman"/>
          <w:sz w:val="24"/>
          <w:szCs w:val="24"/>
        </w:rPr>
        <w:t>УДК 339.97</w:t>
      </w:r>
    </w:p>
    <w:p w14:paraId="44FB30F8" w14:textId="77777777" w:rsidR="002245D5" w:rsidRPr="0082342D" w:rsidRDefault="002245D5" w:rsidP="0082342D">
      <w:pPr>
        <w:spacing w:after="0" w:line="240" w:lineRule="auto"/>
        <w:ind w:firstLine="709"/>
        <w:jc w:val="center"/>
        <w:rPr>
          <w:rFonts w:ascii="Times New Roman" w:hAnsi="Times New Roman" w:cs="Times New Roman"/>
          <w:b/>
          <w:sz w:val="24"/>
          <w:szCs w:val="24"/>
        </w:rPr>
      </w:pPr>
    </w:p>
    <w:p w14:paraId="254B985B" w14:textId="77777777" w:rsidR="002245D5" w:rsidRPr="0082342D" w:rsidRDefault="00E7256F" w:rsidP="0082342D">
      <w:pPr>
        <w:spacing w:after="0" w:line="240" w:lineRule="auto"/>
        <w:ind w:firstLine="709"/>
        <w:jc w:val="center"/>
        <w:rPr>
          <w:rFonts w:ascii="Times New Roman" w:hAnsi="Times New Roman" w:cs="Times New Roman"/>
          <w:b/>
          <w:sz w:val="24"/>
          <w:szCs w:val="24"/>
        </w:rPr>
      </w:pPr>
      <w:r w:rsidRPr="0082342D">
        <w:rPr>
          <w:rFonts w:ascii="Times New Roman" w:hAnsi="Times New Roman" w:cs="Times New Roman"/>
          <w:b/>
          <w:sz w:val="24"/>
          <w:szCs w:val="24"/>
        </w:rPr>
        <w:t>АНАЛИЗ ВЛИЯНИЯ ПСИХОЛОГИЧЕСКОЙ ДИСТАНЦИИ НА ЭКСПОРТНЫЕ ПОТОКИ ЧЕТЫРЕХ АЗИАТСКИХ «ДРАКОНОВ»</w:t>
      </w:r>
    </w:p>
    <w:p w14:paraId="1DA6542E" w14:textId="77777777" w:rsidR="002245D5" w:rsidRPr="0082342D" w:rsidRDefault="002245D5" w:rsidP="0082342D">
      <w:pPr>
        <w:spacing w:after="0" w:line="240" w:lineRule="auto"/>
        <w:ind w:firstLine="709"/>
        <w:jc w:val="center"/>
        <w:rPr>
          <w:rFonts w:ascii="Times New Roman" w:hAnsi="Times New Roman" w:cs="Times New Roman"/>
          <w:sz w:val="24"/>
          <w:szCs w:val="24"/>
        </w:rPr>
      </w:pPr>
    </w:p>
    <w:p w14:paraId="6A3313F4" w14:textId="77777777" w:rsidR="002245D5" w:rsidRPr="0082342D" w:rsidRDefault="002245D5" w:rsidP="0082342D">
      <w:pPr>
        <w:spacing w:after="0" w:line="240" w:lineRule="auto"/>
        <w:ind w:firstLine="709"/>
        <w:jc w:val="center"/>
        <w:rPr>
          <w:rFonts w:ascii="Times New Roman" w:hAnsi="Times New Roman" w:cs="Times New Roman"/>
          <w:b/>
          <w:sz w:val="24"/>
          <w:szCs w:val="24"/>
        </w:rPr>
      </w:pPr>
      <w:r w:rsidRPr="0082342D">
        <w:rPr>
          <w:rFonts w:ascii="Times New Roman" w:hAnsi="Times New Roman" w:cs="Times New Roman"/>
          <w:b/>
          <w:sz w:val="24"/>
          <w:szCs w:val="24"/>
        </w:rPr>
        <w:t>Лихарева Наталья Дмитриевна</w:t>
      </w:r>
    </w:p>
    <w:p w14:paraId="745ECFA3" w14:textId="77777777" w:rsidR="002245D5" w:rsidRPr="0082342D" w:rsidRDefault="002245D5" w:rsidP="0082342D">
      <w:pPr>
        <w:spacing w:after="0" w:line="240" w:lineRule="auto"/>
        <w:ind w:firstLine="709"/>
        <w:jc w:val="center"/>
        <w:rPr>
          <w:rFonts w:ascii="Times New Roman" w:hAnsi="Times New Roman" w:cs="Times New Roman"/>
          <w:sz w:val="24"/>
          <w:szCs w:val="24"/>
        </w:rPr>
      </w:pPr>
      <w:r w:rsidRPr="0082342D">
        <w:rPr>
          <w:rFonts w:ascii="Times New Roman" w:hAnsi="Times New Roman" w:cs="Times New Roman"/>
          <w:sz w:val="24"/>
          <w:szCs w:val="24"/>
        </w:rPr>
        <w:t>бакалавр, 3курс</w:t>
      </w:r>
    </w:p>
    <w:p w14:paraId="3041E394" w14:textId="77777777" w:rsidR="00E7256F" w:rsidRPr="0082342D" w:rsidRDefault="00E7256F" w:rsidP="0082342D">
      <w:pPr>
        <w:spacing w:after="0" w:line="240" w:lineRule="auto"/>
        <w:ind w:firstLine="709"/>
        <w:jc w:val="center"/>
        <w:rPr>
          <w:rFonts w:ascii="Times New Roman" w:hAnsi="Times New Roman" w:cs="Times New Roman"/>
          <w:i/>
          <w:sz w:val="24"/>
          <w:szCs w:val="24"/>
        </w:rPr>
      </w:pPr>
    </w:p>
    <w:p w14:paraId="36697431" w14:textId="77777777" w:rsidR="002245D5" w:rsidRPr="0082342D" w:rsidRDefault="002245D5" w:rsidP="0082342D">
      <w:pPr>
        <w:spacing w:after="0" w:line="240" w:lineRule="auto"/>
        <w:ind w:firstLine="709"/>
        <w:jc w:val="center"/>
        <w:rPr>
          <w:rFonts w:ascii="Times New Roman" w:hAnsi="Times New Roman" w:cs="Times New Roman"/>
          <w:i/>
          <w:sz w:val="24"/>
          <w:szCs w:val="24"/>
        </w:rPr>
      </w:pPr>
      <w:r w:rsidRPr="0082342D">
        <w:rPr>
          <w:rFonts w:ascii="Times New Roman" w:hAnsi="Times New Roman" w:cs="Times New Roman"/>
          <w:i/>
          <w:sz w:val="24"/>
          <w:szCs w:val="24"/>
        </w:rPr>
        <w:t>Дальневосточный федеральный университет</w:t>
      </w:r>
    </w:p>
    <w:p w14:paraId="3CC622EA" w14:textId="77777777" w:rsidR="002245D5" w:rsidRPr="0082342D" w:rsidRDefault="002245D5" w:rsidP="0082342D">
      <w:pPr>
        <w:spacing w:after="0" w:line="240" w:lineRule="auto"/>
        <w:ind w:firstLine="709"/>
        <w:jc w:val="center"/>
        <w:rPr>
          <w:rFonts w:ascii="Times New Roman" w:hAnsi="Times New Roman" w:cs="Times New Roman"/>
          <w:i/>
          <w:sz w:val="24"/>
          <w:szCs w:val="24"/>
        </w:rPr>
      </w:pPr>
      <w:r w:rsidRPr="0082342D">
        <w:rPr>
          <w:rFonts w:ascii="Times New Roman" w:hAnsi="Times New Roman" w:cs="Times New Roman"/>
          <w:i/>
          <w:sz w:val="24"/>
          <w:szCs w:val="24"/>
        </w:rPr>
        <w:t>Россия, Владивосток</w:t>
      </w:r>
    </w:p>
    <w:p w14:paraId="722B00AE" w14:textId="77777777" w:rsidR="00E7256F" w:rsidRPr="0082342D" w:rsidRDefault="00E7256F" w:rsidP="0082342D">
      <w:pPr>
        <w:spacing w:after="0" w:line="240" w:lineRule="auto"/>
        <w:ind w:firstLine="709"/>
        <w:jc w:val="center"/>
        <w:rPr>
          <w:rFonts w:ascii="Times New Roman" w:hAnsi="Times New Roman" w:cs="Times New Roman"/>
          <w:sz w:val="24"/>
          <w:szCs w:val="24"/>
        </w:rPr>
      </w:pPr>
    </w:p>
    <w:p w14:paraId="5DF2E7C4" w14:textId="77777777" w:rsidR="002245D5" w:rsidRPr="007E1000" w:rsidRDefault="002245D5" w:rsidP="0082342D">
      <w:pPr>
        <w:spacing w:after="0" w:line="240" w:lineRule="auto"/>
        <w:ind w:firstLine="709"/>
        <w:jc w:val="center"/>
        <w:rPr>
          <w:rFonts w:ascii="Times New Roman" w:hAnsi="Times New Roman" w:cs="Times New Roman"/>
          <w:sz w:val="24"/>
          <w:szCs w:val="24"/>
        </w:rPr>
      </w:pPr>
      <w:r w:rsidRPr="0082342D">
        <w:rPr>
          <w:rFonts w:ascii="Times New Roman" w:hAnsi="Times New Roman" w:cs="Times New Roman"/>
          <w:sz w:val="24"/>
          <w:szCs w:val="24"/>
          <w:lang w:val="en-US"/>
        </w:rPr>
        <w:t>E</w:t>
      </w:r>
      <w:r w:rsidRPr="007E1000">
        <w:rPr>
          <w:rFonts w:ascii="Times New Roman" w:hAnsi="Times New Roman" w:cs="Times New Roman"/>
          <w:sz w:val="24"/>
          <w:szCs w:val="24"/>
        </w:rPr>
        <w:t>-</w:t>
      </w:r>
      <w:r w:rsidRPr="0082342D">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82342D">
        <w:rPr>
          <w:rFonts w:ascii="Times New Roman" w:hAnsi="Times New Roman" w:cs="Times New Roman"/>
          <w:sz w:val="24"/>
          <w:szCs w:val="24"/>
          <w:lang w:val="en-US"/>
        </w:rPr>
        <w:t>likhareva</w:t>
      </w:r>
      <w:r w:rsidRPr="007E1000">
        <w:rPr>
          <w:rFonts w:ascii="Times New Roman" w:hAnsi="Times New Roman" w:cs="Times New Roman"/>
          <w:sz w:val="24"/>
          <w:szCs w:val="24"/>
        </w:rPr>
        <w:t>.</w:t>
      </w:r>
      <w:r w:rsidRPr="0082342D">
        <w:rPr>
          <w:rFonts w:ascii="Times New Roman" w:hAnsi="Times New Roman" w:cs="Times New Roman"/>
          <w:sz w:val="24"/>
          <w:szCs w:val="24"/>
          <w:lang w:val="en-US"/>
        </w:rPr>
        <w:t>nd</w:t>
      </w:r>
      <w:r w:rsidRPr="007E1000">
        <w:rPr>
          <w:rFonts w:ascii="Times New Roman" w:hAnsi="Times New Roman" w:cs="Times New Roman"/>
          <w:sz w:val="24"/>
          <w:szCs w:val="24"/>
        </w:rPr>
        <w:t>@</w:t>
      </w:r>
      <w:r w:rsidRPr="0082342D">
        <w:rPr>
          <w:rFonts w:ascii="Times New Roman" w:hAnsi="Times New Roman" w:cs="Times New Roman"/>
          <w:sz w:val="24"/>
          <w:szCs w:val="24"/>
          <w:lang w:val="en-US"/>
        </w:rPr>
        <w:t>gmail</w:t>
      </w:r>
      <w:r w:rsidRPr="007E1000">
        <w:rPr>
          <w:rFonts w:ascii="Times New Roman" w:hAnsi="Times New Roman" w:cs="Times New Roman"/>
          <w:sz w:val="24"/>
          <w:szCs w:val="24"/>
        </w:rPr>
        <w:t>.</w:t>
      </w:r>
      <w:r w:rsidRPr="0082342D">
        <w:rPr>
          <w:rFonts w:ascii="Times New Roman" w:hAnsi="Times New Roman" w:cs="Times New Roman"/>
          <w:sz w:val="24"/>
          <w:szCs w:val="24"/>
          <w:lang w:val="en-US"/>
        </w:rPr>
        <w:t>com</w:t>
      </w:r>
      <w:r w:rsidRPr="007E1000">
        <w:rPr>
          <w:rFonts w:ascii="Times New Roman" w:hAnsi="Times New Roman" w:cs="Times New Roman"/>
          <w:sz w:val="24"/>
          <w:szCs w:val="24"/>
        </w:rPr>
        <w:t xml:space="preserve">; </w:t>
      </w:r>
      <w:r w:rsidRPr="0082342D">
        <w:rPr>
          <w:rFonts w:ascii="Times New Roman" w:hAnsi="Times New Roman" w:cs="Times New Roman"/>
          <w:sz w:val="24"/>
          <w:szCs w:val="24"/>
        </w:rPr>
        <w:t>тел</w:t>
      </w:r>
      <w:r w:rsidRPr="007E1000">
        <w:rPr>
          <w:rFonts w:ascii="Times New Roman" w:hAnsi="Times New Roman" w:cs="Times New Roman"/>
          <w:sz w:val="24"/>
          <w:szCs w:val="24"/>
        </w:rPr>
        <w:t>.: +79143312934</w:t>
      </w:r>
    </w:p>
    <w:p w14:paraId="221AD84C" w14:textId="77777777" w:rsidR="002245D5" w:rsidRPr="0082342D" w:rsidRDefault="002245D5" w:rsidP="0082342D">
      <w:pPr>
        <w:spacing w:after="0" w:line="240" w:lineRule="auto"/>
        <w:ind w:firstLine="709"/>
        <w:jc w:val="center"/>
        <w:rPr>
          <w:rFonts w:ascii="Times New Roman" w:hAnsi="Times New Roman" w:cs="Times New Roman"/>
          <w:sz w:val="24"/>
          <w:szCs w:val="24"/>
        </w:rPr>
      </w:pPr>
      <w:r w:rsidRPr="0082342D">
        <w:rPr>
          <w:rFonts w:ascii="Times New Roman" w:hAnsi="Times New Roman" w:cs="Times New Roman"/>
          <w:sz w:val="24"/>
          <w:szCs w:val="24"/>
        </w:rPr>
        <w:lastRenderedPageBreak/>
        <w:t xml:space="preserve">Б. Аякс, </w:t>
      </w:r>
      <w:r w:rsidRPr="0082342D">
        <w:rPr>
          <w:rFonts w:ascii="Times New Roman" w:hAnsi="Times New Roman" w:cs="Times New Roman"/>
          <w:sz w:val="24"/>
          <w:szCs w:val="24"/>
          <w:lang w:val="en-US"/>
        </w:rPr>
        <w:t>G</w:t>
      </w:r>
      <w:r w:rsidRPr="0082342D">
        <w:rPr>
          <w:rFonts w:ascii="Times New Roman" w:hAnsi="Times New Roman" w:cs="Times New Roman"/>
          <w:sz w:val="24"/>
          <w:szCs w:val="24"/>
        </w:rPr>
        <w:t xml:space="preserve"> 316, о. Русский, г. Владивосток, Приморский край, Россия, 690014</w:t>
      </w:r>
    </w:p>
    <w:p w14:paraId="42C6D796" w14:textId="77777777" w:rsidR="002245D5" w:rsidRPr="0082342D" w:rsidRDefault="002245D5" w:rsidP="0082342D">
      <w:pPr>
        <w:spacing w:after="0" w:line="240" w:lineRule="auto"/>
        <w:ind w:firstLine="709"/>
        <w:jc w:val="center"/>
        <w:rPr>
          <w:rFonts w:ascii="Times New Roman" w:hAnsi="Times New Roman" w:cs="Times New Roman"/>
          <w:sz w:val="24"/>
          <w:szCs w:val="24"/>
        </w:rPr>
      </w:pPr>
    </w:p>
    <w:p w14:paraId="552F211A" w14:textId="77777777" w:rsidR="002245D5" w:rsidRPr="0082342D" w:rsidRDefault="002245D5" w:rsidP="0082342D">
      <w:pPr>
        <w:spacing w:after="0" w:line="240" w:lineRule="auto"/>
        <w:ind w:firstLine="709"/>
        <w:jc w:val="both"/>
        <w:rPr>
          <w:rFonts w:ascii="Times New Roman" w:hAnsi="Times New Roman" w:cs="Times New Roman"/>
          <w:i/>
          <w:sz w:val="24"/>
          <w:szCs w:val="24"/>
        </w:rPr>
      </w:pPr>
      <w:r w:rsidRPr="0082342D">
        <w:rPr>
          <w:rFonts w:ascii="Times New Roman" w:hAnsi="Times New Roman" w:cs="Times New Roman"/>
          <w:i/>
          <w:sz w:val="24"/>
          <w:szCs w:val="24"/>
        </w:rPr>
        <w:t>В данной статье представлены результаты исследования влияния стимулов психологической дистанции на экспортные потоки новых индустриальных стран – Гонконга, Кореи, Сингапура и Тайваня в 89 стран мира. В исследовании была протестирована связь между независимыми переменными (культурная дистанция, психологическая дистанция, разница во времени и соглашение о свободной торговле) и объемом экспорта с п</w:t>
      </w:r>
      <w:r w:rsidR="00E7256F" w:rsidRPr="0082342D">
        <w:rPr>
          <w:rFonts w:ascii="Times New Roman" w:hAnsi="Times New Roman" w:cs="Times New Roman"/>
          <w:i/>
          <w:sz w:val="24"/>
          <w:szCs w:val="24"/>
        </w:rPr>
        <w:t xml:space="preserve">омощью регрессионного анализа. </w:t>
      </w:r>
    </w:p>
    <w:p w14:paraId="5EE13F44" w14:textId="77777777" w:rsidR="002245D5" w:rsidRPr="0082342D" w:rsidRDefault="002245D5" w:rsidP="001973E4">
      <w:pPr>
        <w:spacing w:after="0" w:line="240" w:lineRule="auto"/>
        <w:ind w:firstLine="708"/>
        <w:jc w:val="both"/>
        <w:rPr>
          <w:rStyle w:val="af0"/>
          <w:rFonts w:ascii="Times New Roman" w:hAnsi="Times New Roman"/>
          <w:color w:val="auto"/>
          <w:sz w:val="24"/>
          <w:szCs w:val="24"/>
        </w:rPr>
      </w:pPr>
      <w:r w:rsidRPr="0082342D">
        <w:rPr>
          <w:rFonts w:ascii="Times New Roman" w:hAnsi="Times New Roman" w:cs="Times New Roman"/>
          <w:b/>
          <w:i/>
          <w:sz w:val="24"/>
          <w:szCs w:val="24"/>
        </w:rPr>
        <w:t xml:space="preserve">Ключевые слова и словосочетания: </w:t>
      </w:r>
      <w:r w:rsidRPr="0082342D">
        <w:rPr>
          <w:rFonts w:ascii="Times New Roman" w:hAnsi="Times New Roman" w:cs="Times New Roman"/>
          <w:i/>
          <w:sz w:val="24"/>
          <w:szCs w:val="24"/>
        </w:rPr>
        <w:t xml:space="preserve">психологическая дистанция, стимулы психологической дистанции, экспорт, </w:t>
      </w:r>
      <w:r w:rsidRPr="0082342D">
        <w:rPr>
          <w:rStyle w:val="af0"/>
          <w:rFonts w:ascii="Times New Roman" w:hAnsi="Times New Roman"/>
          <w:color w:val="auto"/>
          <w:sz w:val="24"/>
          <w:szCs w:val="24"/>
        </w:rPr>
        <w:t>новые индустриальные страны (НИС).</w:t>
      </w:r>
    </w:p>
    <w:p w14:paraId="6E1831B3" w14:textId="77777777" w:rsidR="002245D5" w:rsidRPr="0082342D" w:rsidRDefault="002245D5" w:rsidP="0082342D">
      <w:pPr>
        <w:spacing w:after="0" w:line="240" w:lineRule="auto"/>
        <w:ind w:firstLine="709"/>
        <w:jc w:val="center"/>
        <w:rPr>
          <w:rStyle w:val="af0"/>
          <w:rFonts w:ascii="Times New Roman" w:hAnsi="Times New Roman"/>
          <w:b/>
          <w:i w:val="0"/>
          <w:color w:val="auto"/>
          <w:sz w:val="24"/>
          <w:szCs w:val="24"/>
        </w:rPr>
      </w:pPr>
    </w:p>
    <w:p w14:paraId="36152876" w14:textId="77777777" w:rsidR="002245D5" w:rsidRPr="0082342D" w:rsidRDefault="00E7256F" w:rsidP="0082342D">
      <w:pPr>
        <w:spacing w:after="0" w:line="240" w:lineRule="auto"/>
        <w:ind w:firstLine="709"/>
        <w:jc w:val="center"/>
        <w:rPr>
          <w:rStyle w:val="af0"/>
          <w:rFonts w:ascii="Times New Roman" w:hAnsi="Times New Roman"/>
          <w:b/>
          <w:i w:val="0"/>
          <w:color w:val="auto"/>
          <w:sz w:val="24"/>
          <w:szCs w:val="24"/>
          <w:lang w:val="en-US"/>
        </w:rPr>
      </w:pPr>
      <w:r w:rsidRPr="0082342D">
        <w:rPr>
          <w:rStyle w:val="af0"/>
          <w:rFonts w:ascii="Times New Roman" w:hAnsi="Times New Roman"/>
          <w:b/>
          <w:i w:val="0"/>
          <w:color w:val="auto"/>
          <w:sz w:val="24"/>
          <w:szCs w:val="24"/>
          <w:lang w:val="en-US"/>
        </w:rPr>
        <w:t>DETERMINING THE IMPACT OF THE PSYCHIC DISTANCE ON THE EXPORT FLOWS OF THE FOUR ASIAN "DRAGONS"</w:t>
      </w:r>
    </w:p>
    <w:p w14:paraId="54E11D2A" w14:textId="77777777" w:rsidR="002245D5" w:rsidRPr="0082342D" w:rsidRDefault="002245D5" w:rsidP="0082342D">
      <w:pPr>
        <w:spacing w:after="0" w:line="240" w:lineRule="auto"/>
        <w:ind w:firstLine="709"/>
        <w:jc w:val="center"/>
        <w:rPr>
          <w:rStyle w:val="af0"/>
          <w:rFonts w:ascii="Times New Roman" w:hAnsi="Times New Roman"/>
          <w:b/>
          <w:i w:val="0"/>
          <w:color w:val="auto"/>
          <w:sz w:val="24"/>
          <w:szCs w:val="24"/>
          <w:lang w:val="en-US"/>
        </w:rPr>
      </w:pPr>
    </w:p>
    <w:p w14:paraId="501F7D99" w14:textId="77777777" w:rsidR="002245D5" w:rsidRPr="0082342D" w:rsidRDefault="002245D5" w:rsidP="0082342D">
      <w:pPr>
        <w:spacing w:after="0" w:line="240" w:lineRule="auto"/>
        <w:ind w:firstLine="709"/>
        <w:jc w:val="both"/>
        <w:rPr>
          <w:rStyle w:val="af0"/>
          <w:rFonts w:ascii="Times New Roman" w:hAnsi="Times New Roman"/>
          <w:color w:val="auto"/>
          <w:sz w:val="24"/>
          <w:szCs w:val="24"/>
          <w:lang w:val="en-US"/>
        </w:rPr>
      </w:pPr>
      <w:r w:rsidRPr="0082342D">
        <w:rPr>
          <w:rStyle w:val="af0"/>
          <w:rFonts w:ascii="Times New Roman" w:hAnsi="Times New Roman"/>
          <w:color w:val="auto"/>
          <w:sz w:val="24"/>
          <w:szCs w:val="24"/>
          <w:lang w:val="en-US"/>
        </w:rPr>
        <w:t>This article presents the results of a study of the influence of psychic distance stimuli on the export flows of the newly industrialized countries - Hong Kong, Korea, Singapore and Taiwan, to 89 countries. In this study the relationship between independent variables (cultural distance, psychic distance, time difference and free trade agreement) and export volume by regre</w:t>
      </w:r>
      <w:r w:rsidR="00E7256F" w:rsidRPr="0082342D">
        <w:rPr>
          <w:rStyle w:val="af0"/>
          <w:rFonts w:ascii="Times New Roman" w:hAnsi="Times New Roman"/>
          <w:color w:val="auto"/>
          <w:sz w:val="24"/>
          <w:szCs w:val="24"/>
          <w:lang w:val="en-US"/>
        </w:rPr>
        <w:t>ssion analysis has been tested.</w:t>
      </w:r>
    </w:p>
    <w:p w14:paraId="6751BA47" w14:textId="77777777" w:rsidR="002245D5" w:rsidRPr="0082342D" w:rsidRDefault="002245D5" w:rsidP="001973E4">
      <w:pPr>
        <w:spacing w:after="0" w:line="240" w:lineRule="auto"/>
        <w:ind w:firstLine="708"/>
        <w:jc w:val="both"/>
        <w:rPr>
          <w:rFonts w:ascii="Times New Roman" w:hAnsi="Times New Roman" w:cs="Times New Roman"/>
          <w:i/>
          <w:sz w:val="24"/>
          <w:szCs w:val="24"/>
          <w:lang w:val="en-US"/>
        </w:rPr>
      </w:pPr>
      <w:r w:rsidRPr="0082342D">
        <w:rPr>
          <w:rStyle w:val="af0"/>
          <w:rFonts w:ascii="Times New Roman" w:hAnsi="Times New Roman"/>
          <w:b/>
          <w:color w:val="auto"/>
          <w:sz w:val="24"/>
          <w:szCs w:val="24"/>
          <w:lang w:val="en-US"/>
        </w:rPr>
        <w:t xml:space="preserve">Keywords: </w:t>
      </w:r>
      <w:r w:rsidRPr="0082342D">
        <w:rPr>
          <w:rStyle w:val="af0"/>
          <w:rFonts w:ascii="Times New Roman" w:hAnsi="Times New Roman"/>
          <w:color w:val="auto"/>
          <w:sz w:val="24"/>
          <w:szCs w:val="24"/>
          <w:lang w:val="en-US"/>
        </w:rPr>
        <w:t>psychic distance, psychic distance stimuli, exports, new industrial countries (NIC).</w:t>
      </w:r>
    </w:p>
    <w:p w14:paraId="31126E5D" w14:textId="77777777" w:rsidR="002245D5" w:rsidRPr="0082342D" w:rsidRDefault="002245D5" w:rsidP="0082342D">
      <w:pPr>
        <w:spacing w:after="0" w:line="240" w:lineRule="auto"/>
        <w:ind w:firstLine="709"/>
        <w:jc w:val="both"/>
        <w:rPr>
          <w:rFonts w:ascii="Times New Roman" w:hAnsi="Times New Roman" w:cs="Times New Roman"/>
          <w:b/>
          <w:sz w:val="24"/>
          <w:szCs w:val="24"/>
          <w:lang w:val="en-US"/>
        </w:rPr>
      </w:pPr>
    </w:p>
    <w:p w14:paraId="7D6B4E27"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Модели торговых потоков вот уже больше четырех десятилетий широко изучаются ученными во всем мире. С увеличением темпов глобализации и интернационализации, уменьшением роли географического расстояния, в связи с развитием информационных и транспортных технологий, возрос интерес к факторам, оказывающим влияние на поведение экспортеров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"10.1086/296358", "ISBN" : "00219398", "ISSN" : "0021-9398", "abstract" : "What factors influence the level of trade flows that occur between nations? Past studies have answered this question primarily in terms of distance and economic size. The present study considers additional variables as potential determinants of trade relations between nations. Also, trade flows are analyzed by the type of products being exported and imported. The findings show that several additional variables are significant determinants of the level of bilateral trade relations between nations. In addition, it is found that models of trade flows are more appropriate for manufactured goods than they are for basic commodities.", "author" : [ { "dropping-particle" : "", "family" : "Srivastava", "given" : "Rajendra K.", "non-dropping-particle" : "", "parse-names" : false, "suffix" : "" }, { "dropping-particle" : "", "family" : "Green", "given" : "Robert T.", "non-dropping-particle" : "", "parse-names" : false, "suffix" : "" } ], "container-title" : "The Journal of Business", "id" : "ITEM-1", "issue" : "4", "issued" : { "date-parts" : [ [ "1986" ] ] }, "page" : "623-640", "title" : "Determinants of Bilateral Trade Flows", "type" : "article-journal", "volume" : "59" }, "uris" : [ "http://www.mendeley.com/documents/?uuid=fc54e2a9-b861-4393-b5fe-16999c596ec5" ] } ], "mendeley" : { "formattedCitation" : "[28]", "plainTextFormattedCitation" : "[28]", "previouslyFormattedCitation" : "[28]"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Особенно актуальным этот вопрос становится в связи с ростом числа малых и средних предприятий (МСП), вовлеченных в международную торговлю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"abstract" : "Purpose \u2212 The aim of this paper is to investigate the internationalization behavior of knowledge-intensive SMEs by using macro-level psychic distance indicators and managers' perceptions of psychic distance. Design/methodology/approach \u2013 This study uses both quantitative and qualitative approaches. In the quantitative approach, the impact of psychic distance to the internationalization behavior is analyzed by using bivariate correlation analysis. The qualitative case study approach was employed to investigate managers' perceptions of psychic distance as regards market entries. Findings \u2212 Findings of this study indicate that psychic distance has an impact on the market entry of knowledge-intensive SMEs. However, there are other factors, such as market size, opportunity seeking behavior, and actions taken by managers, which make the effect of psychic distance less visible in macro-level quantitative analyzes. Research limitations/implications \u2212 This study is limited by small sample size in both quantitative and qualitative studies. However, the findings offer interesting insights for further studies related to this phenomenon. 2 Originality/value \u2212 This study compares macro-level and individual-level analyzes of psychic distance and indicates reasons why psychic distance should be analyzed with the help of individual-level perceptions of psychic distance.", "author" : [ { "dropping-particle" : "", "family" : "Ojala", "given" : "Arto", "non-dropping-particle" : "", "parse-names" : false, "suffix" : "" }, { "dropping-particle" : "", "family" : "Tyrv\u00e4inen", "given" : "Pasi", "non-dropping-particle" : "", "parse-names" : false, "suffix" : "" } ], "container-title" : "European Business Review", "id" : "ITEM-1", "issue" : "3", "issued" : { "date-parts" : [ [ "2009" ] ] }, "page" : "263-277", "title" : "Impact of psychic distance to the internationalization behavior of knowledge\u2010intensive SMEs", "type" : "article-journal", "volume" : "21" }, "uris" : [ "http://www.mendeley.com/documents/?uuid=9754ea05-fa0b-3732-b412-a47178d6a742" ] } ], "mendeley" : { "formattedCitation" : "[24]", "plainTextFormattedCitation" : "[24]", "previouslyFormattedCitation" : "[24]"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[24]</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При выходе на зарубежные рынки МСП оказываются куда под большим влиянием внешних факторов, чем ТНК. Сегодня исследователи высказывают предположение, что на международную торговлю влияют не только ВВП стан и географическое расстояние между ними, но и межнациональные различия. </w:t>
      </w:r>
    </w:p>
    <w:p w14:paraId="6B6F2868"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Впервые предположение о том, что на величину трансграничной торговли оказывает влияние широкий спектр различных факторов было выдвинуто У. Бекерманом (</w:t>
      </w:r>
      <w:r w:rsidRPr="0082342D">
        <w:rPr>
          <w:rFonts w:ascii="Times New Roman" w:hAnsi="Times New Roman" w:cs="Times New Roman"/>
          <w:sz w:val="24"/>
          <w:szCs w:val="24"/>
          <w:lang w:val="en-US"/>
        </w:rPr>
        <w:t>Beckerman</w:t>
      </w:r>
      <w:r w:rsidRPr="0082342D">
        <w:rPr>
          <w:rFonts w:ascii="Times New Roman" w:hAnsi="Times New Roman" w:cs="Times New Roman"/>
          <w:sz w:val="24"/>
          <w:szCs w:val="24"/>
        </w:rPr>
        <w:t xml:space="preserve">) в 1956 году. Автор изучал внутриевропейскую торговлю и влияние на нее дистанции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"10.2307/1925556", "ISBN" : "0001-4273, Print", "ISSN" : "0034-6535", "PMID" : "9201635", "abstract" : "The basic question to which this paper is addressed is \"What is the importance of distance in determining the pattern of Western European trade?\" The importance of distance in the pattern of trade has, of course, always been recognized. The assumption of \"no trans- port costs,\" which has always been necessary in expositions of theories of international trade, is a recognition of the fact that transport costs, that is, the costs of covering distance, exist and are significant; so that abstraction from them has to be made quite explicitly in order to analyze other elements such as factor endow- ments.'", "author" : [ { "dropping-particle" : "", "family" : "Beckerman", "given" : "W", "non-dropping-particle" : "", "parse-names" : false, "suffix" : "" } ], "container-title" : "The Review of Economics and Statistics", "id" : "ITEM-1", "issue" : "1", "issued" : { "date-parts" : [ [ "1956" ] ] }, "page" : "31-40", "title" : "Distance and the Pattern of Intra-European Trade", "type" : "article-journal", "volume" : "38" }, "uris" : [ "http://www.mendeley.com/documents/?uuid=62851173-c21a-4ef8-9f02-771ff2167831" ] } ], "mendeley" : { "formattedCitation" : "[3]", "plainTextFormattedCitation" : "[3]", "previouslyFormattedCitation" : "[3]"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[3]</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Исследователь предполагал, что с развитием транспорта, главной темой для изучения станет «психологическая близость» торговых партнеров, из-за которой, например, Италия закупает сырье у Швейцарии, а не у Турции, хотя издержки равны. В 70-е гг. данный вопрос получил развитие в работах Я. Йохансона и Ф. Видерсхайма-Пауля (</w:t>
      </w:r>
      <w:r w:rsidRPr="0082342D">
        <w:rPr>
          <w:rFonts w:ascii="Times New Roman" w:hAnsi="Times New Roman" w:cs="Times New Roman"/>
          <w:sz w:val="24"/>
          <w:szCs w:val="24"/>
          <w:lang w:val="en-US"/>
        </w:rPr>
        <w:t>J</w:t>
      </w:r>
      <w:r w:rsidRPr="0082342D">
        <w:rPr>
          <w:rFonts w:ascii="Times New Roman" w:hAnsi="Times New Roman" w:cs="Times New Roman"/>
          <w:sz w:val="24"/>
          <w:szCs w:val="24"/>
        </w:rPr>
        <w:t xml:space="preserve">ohanson &amp; </w:t>
      </w:r>
      <w:r w:rsidRPr="0082342D">
        <w:rPr>
          <w:rFonts w:ascii="Times New Roman" w:hAnsi="Times New Roman" w:cs="Times New Roman"/>
          <w:sz w:val="24"/>
          <w:szCs w:val="24"/>
          <w:lang w:val="en-US"/>
        </w:rPr>
        <w:t>W</w:t>
      </w:r>
      <w:r w:rsidRPr="0082342D">
        <w:rPr>
          <w:rFonts w:ascii="Times New Roman" w:hAnsi="Times New Roman" w:cs="Times New Roman"/>
          <w:sz w:val="24"/>
          <w:szCs w:val="24"/>
        </w:rPr>
        <w:t>iedersheim-</w:t>
      </w:r>
      <w:r w:rsidRPr="0082342D">
        <w:rPr>
          <w:rFonts w:ascii="Times New Roman" w:hAnsi="Times New Roman" w:cs="Times New Roman"/>
          <w:sz w:val="24"/>
          <w:szCs w:val="24"/>
          <w:lang w:val="en-US"/>
        </w:rPr>
        <w:t>P</w:t>
      </w:r>
      <w:r w:rsidRPr="0082342D">
        <w:rPr>
          <w:rFonts w:ascii="Times New Roman" w:hAnsi="Times New Roman" w:cs="Times New Roman"/>
          <w:sz w:val="24"/>
          <w:szCs w:val="24"/>
        </w:rPr>
        <w:t>aul). Авторы изучали процесс интернационализации четырех шведских фирм и факторы, повлиявшие на этот процесс. Здесь же Я. Йохансон и Ф. Видерсхайм-Пауль определили, что психологическая дистанция (</w:t>
      </w:r>
      <w:r w:rsidRPr="0082342D">
        <w:rPr>
          <w:rFonts w:ascii="Times New Roman" w:hAnsi="Times New Roman" w:cs="Times New Roman"/>
          <w:sz w:val="24"/>
          <w:szCs w:val="24"/>
          <w:lang w:val="en-US"/>
        </w:rPr>
        <w:t>psychic</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distance</w:t>
      </w:r>
      <w:r w:rsidRPr="0082342D">
        <w:rPr>
          <w:rFonts w:ascii="Times New Roman" w:hAnsi="Times New Roman" w:cs="Times New Roman"/>
          <w:sz w:val="24"/>
          <w:szCs w:val="24"/>
        </w:rPr>
        <w:t xml:space="preserve">) – это факторы, препятствующие движению информации между фирмой и рынком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"10.1111/j.1467-6486.1975.tb00514.x", "ISBN" : "1467-6486", "ISSN" : "14676486", "PMID" : "8716", "abstract" : "Analyzes the internationalization of four Swedish firms. Basic assumption on the internationalization of firms; Different stages in the extension of operations; Significance of the stages; Factors preventing or disturbing the flows of information between firms and markets; Internationalization process of the firms; Comparison of the firms in relation to internationalization. [ABSTRACT FROM AUTHOR]", "author" : [ { "dropping-particle" : "", "family" : "Johanson", "given" : "Jan", "non-dropping-particle" : "", "parse-names" : false, "suffix" : "" }, { "dropping-particle" : "", "family" : "Wiedersheim\u2010Paul", "given" : "Finn", "non-dropping-particle" : "", "parse-names" : false, "suffix" : "" } ], "container-title" : "Journal of Management Studies", "id" : "ITEM-1", "issue" : "3", "issued" : { "date-parts" : [ [ "1975" ] ] }, "page" : "305-323", "title" : "the Internationalization of the Firm \u2014 Four Swedish Cases", "type" : "article-journal", "volume" : "12" }, "uris" : [ "http://www.mendeley.com/documents/?uuid=af6ff64b-927e-48d4-b3f2-28ecfddbab1a" ] } ], "mendeley" : { "formattedCitation" : "[19]", "plainTextFormattedCitation" : "[19]", "previouslyFormattedCitation" : "[19]"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[19]</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Я. Йохансон вместе с Я. Э. Вальне (</w:t>
      </w:r>
      <w:r w:rsidRPr="0082342D">
        <w:rPr>
          <w:rFonts w:ascii="Times New Roman" w:hAnsi="Times New Roman" w:cs="Times New Roman"/>
          <w:sz w:val="24"/>
          <w:szCs w:val="24"/>
          <w:lang w:val="en-US"/>
        </w:rPr>
        <w:t>V</w:t>
      </w:r>
      <w:r w:rsidRPr="0082342D">
        <w:rPr>
          <w:rFonts w:ascii="Times New Roman" w:hAnsi="Times New Roman" w:cs="Times New Roman"/>
          <w:sz w:val="24"/>
          <w:szCs w:val="24"/>
        </w:rPr>
        <w:t xml:space="preserve">ahlne) продолжили исследование интернационализации фирм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DOI</w:instrText>
      </w:r>
      <w:r w:rsidRPr="0082342D">
        <w:rPr>
          <w:rFonts w:ascii="Times New Roman" w:hAnsi="Times New Roman" w:cs="Times New Roman"/>
          <w:sz w:val="24"/>
          <w:szCs w:val="24"/>
        </w:rPr>
        <w:instrText>" : "10.1057/</w:instrText>
      </w:r>
      <w:r w:rsidRPr="0082342D">
        <w:rPr>
          <w:rFonts w:ascii="Times New Roman" w:hAnsi="Times New Roman" w:cs="Times New Roman"/>
          <w:sz w:val="24"/>
          <w:szCs w:val="24"/>
          <w:lang w:val="en-US"/>
        </w:rPr>
        <w:instrText>palgrave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jibs</w:instrText>
      </w:r>
      <w:r w:rsidRPr="0082342D">
        <w:rPr>
          <w:rFonts w:ascii="Times New Roman" w:hAnsi="Times New Roman" w:cs="Times New Roman"/>
          <w:sz w:val="24"/>
          <w:szCs w:val="24"/>
        </w:rPr>
        <w:instrText>.8490676", "</w:instrText>
      </w:r>
      <w:r w:rsidRPr="0082342D">
        <w:rPr>
          <w:rFonts w:ascii="Times New Roman" w:hAnsi="Times New Roman" w:cs="Times New Roman"/>
          <w:sz w:val="24"/>
          <w:szCs w:val="24"/>
          <w:lang w:val="en-US"/>
        </w:rPr>
        <w:instrText>ISBN</w:instrText>
      </w:r>
      <w:r w:rsidRPr="0082342D">
        <w:rPr>
          <w:rFonts w:ascii="Times New Roman" w:hAnsi="Times New Roman" w:cs="Times New Roman"/>
          <w:sz w:val="24"/>
          <w:szCs w:val="24"/>
        </w:rPr>
        <w:instrText>" : "00472506", "</w:instrText>
      </w:r>
      <w:r w:rsidRPr="0082342D">
        <w:rPr>
          <w:rFonts w:ascii="Times New Roman" w:hAnsi="Times New Roman" w:cs="Times New Roman"/>
          <w:sz w:val="24"/>
          <w:szCs w:val="24"/>
          <w:lang w:val="en-US"/>
        </w:rPr>
        <w:instrText>ISSN</w:instrText>
      </w:r>
      <w:r w:rsidRPr="0082342D">
        <w:rPr>
          <w:rFonts w:ascii="Times New Roman" w:hAnsi="Times New Roman" w:cs="Times New Roman"/>
          <w:sz w:val="24"/>
          <w:szCs w:val="24"/>
        </w:rPr>
        <w:instrText>" : "0047-2506", "</w:instrText>
      </w:r>
      <w:r w:rsidRPr="0082342D">
        <w:rPr>
          <w:rFonts w:ascii="Times New Roman" w:hAnsi="Times New Roman" w:cs="Times New Roman"/>
          <w:sz w:val="24"/>
          <w:szCs w:val="24"/>
          <w:lang w:val="en-US"/>
        </w:rPr>
        <w:instrText>PMID</w:instrText>
      </w:r>
      <w:r w:rsidRPr="0082342D">
        <w:rPr>
          <w:rFonts w:ascii="Times New Roman" w:hAnsi="Times New Roman" w:cs="Times New Roman"/>
          <w:sz w:val="24"/>
          <w:szCs w:val="24"/>
        </w:rPr>
        <w:instrText>" : "42", "</w:instrText>
      </w:r>
      <w:r w:rsidRPr="0082342D">
        <w:rPr>
          <w:rFonts w:ascii="Times New Roman" w:hAnsi="Times New Roman" w:cs="Times New Roman"/>
          <w:sz w:val="24"/>
          <w:szCs w:val="24"/>
          <w:lang w:val="en-US"/>
        </w:rPr>
        <w:instrText>abstract</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basis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empirical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research</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model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internationalization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process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firm</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developed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model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focuses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gradual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acquisition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integration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use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knowledge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about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operations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incrementally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increasing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commitments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particular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attention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concentrated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increasing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involvement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individual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country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Johanson</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Jan</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Vahlne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Jan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Erik</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Business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Studies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"1",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"1977"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"23-32",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Internationalization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Process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Firm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Model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Knowledge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Development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Increasing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volume</w:instrText>
      </w:r>
      <w:r w:rsidRPr="0082342D">
        <w:rPr>
          <w:rFonts w:ascii="Times New Roman" w:hAnsi="Times New Roman" w:cs="Times New Roman"/>
          <w:sz w:val="24"/>
          <w:szCs w:val="24"/>
        </w:rPr>
        <w:instrText>" : "8"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=823</w:instrText>
      </w:r>
      <w:r w:rsidRPr="0082342D">
        <w:rPr>
          <w:rFonts w:ascii="Times New Roman" w:hAnsi="Times New Roman" w:cs="Times New Roman"/>
          <w:sz w:val="24"/>
          <w:szCs w:val="24"/>
          <w:lang w:val="en-US"/>
        </w:rPr>
        <w:instrText>ab</w:instrText>
      </w:r>
      <w:r w:rsidRPr="0082342D">
        <w:rPr>
          <w:rFonts w:ascii="Times New Roman" w:hAnsi="Times New Roman" w:cs="Times New Roman"/>
          <w:sz w:val="24"/>
          <w:szCs w:val="24"/>
        </w:rPr>
        <w:instrText>14</w:instrText>
      </w:r>
      <w:r w:rsidRPr="0082342D">
        <w:rPr>
          <w:rFonts w:ascii="Times New Roman" w:hAnsi="Times New Roman" w:cs="Times New Roman"/>
          <w:sz w:val="24"/>
          <w:szCs w:val="24"/>
          <w:lang w:val="en-US"/>
        </w:rPr>
        <w:instrTex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b</w:instrText>
      </w:r>
      <w:r w:rsidRPr="0082342D">
        <w:rPr>
          <w:rFonts w:ascii="Times New Roman" w:hAnsi="Times New Roman" w:cs="Times New Roman"/>
          <w:sz w:val="24"/>
          <w:szCs w:val="24"/>
        </w:rPr>
        <w:instrText>4</w:instrText>
      </w:r>
      <w:r w:rsidRPr="0082342D">
        <w:rPr>
          <w:rFonts w:ascii="Times New Roman" w:hAnsi="Times New Roman" w:cs="Times New Roman"/>
          <w:sz w:val="24"/>
          <w:szCs w:val="24"/>
          <w:lang w:val="en-US"/>
        </w:rPr>
        <w:instrText>fc</w:instrText>
      </w:r>
      <w:r w:rsidRPr="0082342D">
        <w:rPr>
          <w:rFonts w:ascii="Times New Roman" w:hAnsi="Times New Roman" w:cs="Times New Roman"/>
          <w:sz w:val="24"/>
          <w:szCs w:val="24"/>
        </w:rPr>
        <w:instrText>-4817-</w:instrText>
      </w:r>
      <w:r w:rsidRPr="0082342D">
        <w:rPr>
          <w:rFonts w:ascii="Times New Roman" w:hAnsi="Times New Roman" w:cs="Times New Roman"/>
          <w:sz w:val="24"/>
          <w:szCs w:val="24"/>
          <w:lang w:val="en-US"/>
        </w:rPr>
        <w:instrText>ad</w:instrText>
      </w:r>
      <w:r w:rsidRPr="0082342D">
        <w:rPr>
          <w:rFonts w:ascii="Times New Roman" w:hAnsi="Times New Roman" w:cs="Times New Roman"/>
          <w:sz w:val="24"/>
          <w:szCs w:val="24"/>
        </w:rPr>
        <w:instrText>6</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-9</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2</w:instrText>
      </w:r>
      <w:r w:rsidRPr="0082342D">
        <w:rPr>
          <w:rFonts w:ascii="Times New Roman" w:hAnsi="Times New Roman" w:cs="Times New Roman"/>
          <w:sz w:val="24"/>
          <w:szCs w:val="24"/>
          <w:lang w:val="en-US"/>
        </w:rPr>
        <w:instrText>b</w:instrText>
      </w:r>
      <w:r w:rsidRPr="0082342D">
        <w:rPr>
          <w:rFonts w:ascii="Times New Roman" w:hAnsi="Times New Roman" w:cs="Times New Roman"/>
          <w:sz w:val="24"/>
          <w:szCs w:val="24"/>
        </w:rPr>
        <w:instrText>3</w:instrText>
      </w:r>
      <w:r w:rsidRPr="0082342D">
        <w:rPr>
          <w:rFonts w:ascii="Times New Roman" w:hAnsi="Times New Roman" w:cs="Times New Roman"/>
          <w:sz w:val="24"/>
          <w:szCs w:val="24"/>
          <w:lang w:val="en-US"/>
        </w:rPr>
        <w:instrText>ff</w:instrText>
      </w:r>
      <w:r w:rsidRPr="0082342D">
        <w:rPr>
          <w:rFonts w:ascii="Times New Roman" w:hAnsi="Times New Roman" w:cs="Times New Roman"/>
          <w:sz w:val="24"/>
          <w:szCs w:val="24"/>
        </w:rPr>
        <w:instrText>408</w:instrText>
      </w:r>
      <w:r w:rsidRPr="0082342D">
        <w:rPr>
          <w:rFonts w:ascii="Times New Roman" w:hAnsi="Times New Roman" w:cs="Times New Roman"/>
          <w:sz w:val="24"/>
          <w:szCs w:val="24"/>
          <w:lang w:val="en-US"/>
        </w:rPr>
        <w:instrText>c</w:instrText>
      </w:r>
      <w:r w:rsidRPr="0082342D">
        <w:rPr>
          <w:rFonts w:ascii="Times New Roman" w:hAnsi="Times New Roman" w:cs="Times New Roman"/>
          <w:sz w:val="24"/>
          <w:szCs w:val="24"/>
        </w:rPr>
        <w:instrText>9"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"[18]",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"[18]",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"[18]"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[18]</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xml:space="preserve">, утверждая, что психологическая дистанция – сложное явление, которое складывается из множества факторов. </w:t>
      </w:r>
    </w:p>
    <w:p w14:paraId="3B5DFD61"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Внимание исследователей психологической дистанции привлекает весьма широкий диапазон экономических явлений, который варьируется от прогнозирования выбора экспортного рынка П. Эллиса (</w:t>
      </w:r>
      <w:r w:rsidRPr="0082342D">
        <w:rPr>
          <w:rFonts w:ascii="Times New Roman" w:hAnsi="Times New Roman" w:cs="Times New Roman"/>
          <w:sz w:val="24"/>
          <w:szCs w:val="24"/>
          <w:lang w:val="en-US"/>
        </w:rPr>
        <w:t>Ellis</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DOI</w:instrText>
      </w:r>
      <w:r w:rsidRPr="0082342D">
        <w:rPr>
          <w:rFonts w:ascii="Times New Roman" w:hAnsi="Times New Roman" w:cs="Times New Roman"/>
          <w:sz w:val="24"/>
          <w:szCs w:val="24"/>
        </w:rPr>
        <w:instrText>" : "10.1057/</w:instrText>
      </w:r>
      <w:r w:rsidRPr="0082342D">
        <w:rPr>
          <w:rFonts w:ascii="Times New Roman" w:hAnsi="Times New Roman" w:cs="Times New Roman"/>
          <w:sz w:val="24"/>
          <w:szCs w:val="24"/>
          <w:lang w:val="en-US"/>
        </w:rPr>
        <w:instrText>palgrave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jibs</w:instrText>
      </w:r>
      <w:r w:rsidRPr="0082342D">
        <w:rPr>
          <w:rFonts w:ascii="Times New Roman" w:hAnsi="Times New Roman" w:cs="Times New Roman"/>
          <w:sz w:val="24"/>
          <w:szCs w:val="24"/>
        </w:rPr>
        <w:instrText>.8400360", "</w:instrText>
      </w:r>
      <w:r w:rsidRPr="0082342D">
        <w:rPr>
          <w:rFonts w:ascii="Times New Roman" w:hAnsi="Times New Roman" w:cs="Times New Roman"/>
          <w:sz w:val="24"/>
          <w:szCs w:val="24"/>
          <w:lang w:val="en-US"/>
        </w:rPr>
        <w:instrText>ISBN</w:instrText>
      </w:r>
      <w:r w:rsidRPr="0082342D">
        <w:rPr>
          <w:rFonts w:ascii="Times New Roman" w:hAnsi="Times New Roman" w:cs="Times New Roman"/>
          <w:sz w:val="24"/>
          <w:szCs w:val="24"/>
        </w:rPr>
        <w:instrText>" : "0047-2506", "</w:instrText>
      </w:r>
      <w:r w:rsidRPr="0082342D">
        <w:rPr>
          <w:rFonts w:ascii="Times New Roman" w:hAnsi="Times New Roman" w:cs="Times New Roman"/>
          <w:sz w:val="24"/>
          <w:szCs w:val="24"/>
          <w:lang w:val="en-US"/>
        </w:rPr>
        <w:instrText>ISSN</w:instrText>
      </w:r>
      <w:r w:rsidRPr="0082342D">
        <w:rPr>
          <w:rFonts w:ascii="Times New Roman" w:hAnsi="Times New Roman" w:cs="Times New Roman"/>
          <w:sz w:val="24"/>
          <w:szCs w:val="24"/>
        </w:rPr>
        <w:instrText>" : "00472506", "</w:instrText>
      </w:r>
      <w:r w:rsidRPr="0082342D">
        <w:rPr>
          <w:rFonts w:ascii="Times New Roman" w:hAnsi="Times New Roman" w:cs="Times New Roman"/>
          <w:sz w:val="24"/>
          <w:szCs w:val="24"/>
          <w:lang w:val="en-US"/>
        </w:rPr>
        <w:instrText>PMID</w:instrText>
      </w:r>
      <w:r w:rsidRPr="0082342D">
        <w:rPr>
          <w:rFonts w:ascii="Times New Roman" w:hAnsi="Times New Roman" w:cs="Times New Roman"/>
          <w:sz w:val="24"/>
          <w:szCs w:val="24"/>
        </w:rPr>
        <w:instrText>" : "31692950", "</w:instrText>
      </w:r>
      <w:r w:rsidRPr="0082342D">
        <w:rPr>
          <w:rFonts w:ascii="Times New Roman" w:hAnsi="Times New Roman" w:cs="Times New Roman"/>
          <w:sz w:val="24"/>
          <w:szCs w:val="24"/>
          <w:lang w:val="en-US"/>
        </w:rPr>
        <w:instrText>abstract</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analysis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924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entries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made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sample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Chinese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exporters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reveals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moderates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relationship</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between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size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entry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sequence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doing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study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challenges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extant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hypothesis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establishment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operations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conforms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simple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pattern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increasing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findings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also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reveal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asymmetrical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nature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assessments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made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sellers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their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buyers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inherently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inequivalent</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Ellis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Paul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Business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Studies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"3",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"2008"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"351-369",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Does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moderate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size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entry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sequence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relationship</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volume</w:instrText>
      </w:r>
      <w:r w:rsidRPr="0082342D">
        <w:rPr>
          <w:rFonts w:ascii="Times New Roman" w:hAnsi="Times New Roman" w:cs="Times New Roman"/>
          <w:sz w:val="24"/>
          <w:szCs w:val="24"/>
        </w:rPr>
        <w:instrText>" : "39"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=6</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3</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7</w:instrText>
      </w:r>
      <w:r w:rsidRPr="0082342D">
        <w:rPr>
          <w:rFonts w:ascii="Times New Roman" w:hAnsi="Times New Roman" w:cs="Times New Roman"/>
          <w:sz w:val="24"/>
          <w:szCs w:val="24"/>
          <w:lang w:val="en-US"/>
        </w:rPr>
        <w:instrText>aad</w:instrText>
      </w:r>
      <w:r w:rsidRPr="0082342D">
        <w:rPr>
          <w:rFonts w:ascii="Times New Roman" w:hAnsi="Times New Roman" w:cs="Times New Roman"/>
          <w:sz w:val="24"/>
          <w:szCs w:val="24"/>
        </w:rPr>
        <w:instrText>-522</w:instrText>
      </w:r>
      <w:r w:rsidRPr="0082342D">
        <w:rPr>
          <w:rFonts w:ascii="Times New Roman" w:hAnsi="Times New Roman" w:cs="Times New Roman"/>
          <w:sz w:val="24"/>
          <w:szCs w:val="24"/>
          <w:lang w:val="en-US"/>
        </w:rPr>
        <w:instrText>e</w:instrText>
      </w:r>
      <w:r w:rsidRPr="0082342D">
        <w:rPr>
          <w:rFonts w:ascii="Times New Roman" w:hAnsi="Times New Roman" w:cs="Times New Roman"/>
          <w:sz w:val="24"/>
          <w:szCs w:val="24"/>
        </w:rPr>
        <w:instrText>-4</w:instrText>
      </w:r>
      <w:r w:rsidRPr="0082342D">
        <w:rPr>
          <w:rFonts w:ascii="Times New Roman" w:hAnsi="Times New Roman" w:cs="Times New Roman"/>
          <w:sz w:val="24"/>
          <w:szCs w:val="24"/>
          <w:lang w:val="en-US"/>
        </w:rPr>
        <w:instrText>aa</w:instrText>
      </w:r>
      <w:r w:rsidRPr="0082342D">
        <w:rPr>
          <w:rFonts w:ascii="Times New Roman" w:hAnsi="Times New Roman" w:cs="Times New Roman"/>
          <w:sz w:val="24"/>
          <w:szCs w:val="24"/>
        </w:rPr>
        <w:instrText>4-</w:instrText>
      </w:r>
      <w:r w:rsidRPr="0082342D">
        <w:rPr>
          <w:rFonts w:ascii="Times New Roman" w:hAnsi="Times New Roman" w:cs="Times New Roman"/>
          <w:sz w:val="24"/>
          <w:szCs w:val="24"/>
          <w:lang w:val="en-US"/>
        </w:rPr>
        <w:instrText>be</w:instrText>
      </w:r>
      <w:r w:rsidRPr="0082342D">
        <w:rPr>
          <w:rFonts w:ascii="Times New Roman" w:hAnsi="Times New Roman" w:cs="Times New Roman"/>
          <w:sz w:val="24"/>
          <w:szCs w:val="24"/>
        </w:rPr>
        <w:instrText>24-</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5</w:instrText>
      </w:r>
      <w:r w:rsidRPr="0082342D">
        <w:rPr>
          <w:rFonts w:ascii="Times New Roman" w:hAnsi="Times New Roman" w:cs="Times New Roman"/>
          <w:sz w:val="24"/>
          <w:szCs w:val="24"/>
          <w:lang w:val="en-US"/>
        </w:rPr>
        <w:instrText>fcb</w:instrText>
      </w:r>
      <w:r w:rsidRPr="0082342D">
        <w:rPr>
          <w:rFonts w:ascii="Times New Roman" w:hAnsi="Times New Roman" w:cs="Times New Roman"/>
          <w:sz w:val="24"/>
          <w:szCs w:val="24"/>
        </w:rPr>
        <w:instrText>40</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3</w:instrText>
      </w:r>
      <w:r w:rsidRPr="0082342D">
        <w:rPr>
          <w:rFonts w:ascii="Times New Roman" w:hAnsi="Times New Roman" w:cs="Times New Roman"/>
          <w:sz w:val="24"/>
          <w:szCs w:val="24"/>
          <w:lang w:val="en-US"/>
        </w:rPr>
        <w:instrText>ecc</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"[13]",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"[13]",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"[13]"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[13]</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xml:space="preserve">, торговых потоков Д. Доу и А. Карунаратна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DOI</w:instrText>
      </w:r>
      <w:r w:rsidRPr="0082342D">
        <w:rPr>
          <w:rFonts w:ascii="Times New Roman" w:hAnsi="Times New Roman" w:cs="Times New Roman"/>
          <w:sz w:val="24"/>
          <w:szCs w:val="24"/>
        </w:rPr>
        <w:instrText>" : "10.1057/</w:instrText>
      </w:r>
      <w:r w:rsidRPr="0082342D">
        <w:rPr>
          <w:rFonts w:ascii="Times New Roman" w:hAnsi="Times New Roman" w:cs="Times New Roman"/>
          <w:sz w:val="24"/>
          <w:szCs w:val="24"/>
          <w:lang w:val="en-US"/>
        </w:rPr>
        <w:instrText>palgrave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jibs</w:instrText>
      </w:r>
      <w:r w:rsidRPr="0082342D">
        <w:rPr>
          <w:rFonts w:ascii="Times New Roman" w:hAnsi="Times New Roman" w:cs="Times New Roman"/>
          <w:sz w:val="24"/>
          <w:szCs w:val="24"/>
        </w:rPr>
        <w:instrText>.8400221", "</w:instrText>
      </w:r>
      <w:r w:rsidRPr="0082342D">
        <w:rPr>
          <w:rFonts w:ascii="Times New Roman" w:hAnsi="Times New Roman" w:cs="Times New Roman"/>
          <w:sz w:val="24"/>
          <w:szCs w:val="24"/>
          <w:lang w:val="en-US"/>
        </w:rPr>
        <w:instrText>ISBN</w:instrText>
      </w:r>
      <w:r w:rsidRPr="0082342D">
        <w:rPr>
          <w:rFonts w:ascii="Times New Roman" w:hAnsi="Times New Roman" w:cs="Times New Roman"/>
          <w:sz w:val="24"/>
          <w:szCs w:val="24"/>
        </w:rPr>
        <w:instrText>" : "4951176289", "</w:instrText>
      </w:r>
      <w:r w:rsidRPr="0082342D">
        <w:rPr>
          <w:rFonts w:ascii="Times New Roman" w:hAnsi="Times New Roman" w:cs="Times New Roman"/>
          <w:sz w:val="24"/>
          <w:szCs w:val="24"/>
          <w:lang w:val="en-US"/>
        </w:rPr>
        <w:instrText>ISSN</w:instrText>
      </w:r>
      <w:r w:rsidRPr="0082342D">
        <w:rPr>
          <w:rFonts w:ascii="Times New Roman" w:hAnsi="Times New Roman" w:cs="Times New Roman"/>
          <w:sz w:val="24"/>
          <w:szCs w:val="24"/>
        </w:rPr>
        <w:instrText>" : "00472506", "</w:instrText>
      </w:r>
      <w:r w:rsidRPr="0082342D">
        <w:rPr>
          <w:rFonts w:ascii="Times New Roman" w:hAnsi="Times New Roman" w:cs="Times New Roman"/>
          <w:sz w:val="24"/>
          <w:szCs w:val="24"/>
          <w:lang w:val="en-US"/>
        </w:rPr>
        <w:instrText>PMID</w:instrText>
      </w:r>
      <w:r w:rsidRPr="0082342D">
        <w:rPr>
          <w:rFonts w:ascii="Times New Roman" w:hAnsi="Times New Roman" w:cs="Times New Roman"/>
          <w:sz w:val="24"/>
          <w:szCs w:val="24"/>
        </w:rPr>
        <w:instrText>" : "197133139", "</w:instrText>
      </w:r>
      <w:r w:rsidRPr="0082342D">
        <w:rPr>
          <w:rFonts w:ascii="Times New Roman" w:hAnsi="Times New Roman" w:cs="Times New Roman"/>
          <w:sz w:val="24"/>
          <w:szCs w:val="24"/>
          <w:lang w:val="en-US"/>
        </w:rPr>
        <w:instrText>abstract</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This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paper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develops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tests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range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potential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stimuli</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including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differences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culture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religion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education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political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systems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Using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trade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flows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among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set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38 </w:instrText>
      </w:r>
      <w:r w:rsidRPr="0082342D">
        <w:rPr>
          <w:rFonts w:ascii="Times New Roman" w:hAnsi="Times New Roman" w:cs="Times New Roman"/>
          <w:sz w:val="24"/>
          <w:szCs w:val="24"/>
          <w:lang w:val="en-US"/>
        </w:rPr>
        <w:instrText>nations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dependent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variable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shown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whereas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majority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proposed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indicators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prove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statistically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significant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predictors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trade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flows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most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common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surrogate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w:instrText>
      </w:r>
      <w:r w:rsidRPr="0082342D">
        <w:rPr>
          <w:rFonts w:ascii="Times New Roman" w:hAnsi="Times New Roman" w:cs="Times New Roman"/>
          <w:sz w:val="24"/>
          <w:szCs w:val="24"/>
        </w:rPr>
        <w:instrText xml:space="preserve">2013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composite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measure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Hofstede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w:instrText>
      </w:r>
      <w:r w:rsidRPr="0082342D">
        <w:rPr>
          <w:rFonts w:ascii="Times New Roman" w:hAnsi="Times New Roman" w:cs="Times New Roman"/>
          <w:sz w:val="24"/>
          <w:szCs w:val="24"/>
        </w:rPr>
        <w:instrText>2019</w:instrText>
      </w:r>
      <w:r w:rsidRPr="0082342D">
        <w:rPr>
          <w:rFonts w:ascii="Times New Roman" w:hAnsi="Times New Roman" w:cs="Times New Roman"/>
          <w:sz w:val="24"/>
          <w:szCs w:val="24"/>
          <w:lang w:val="en-US"/>
        </w:rPr>
        <w:instrTex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cultural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dimensions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w:instrText>
      </w:r>
      <w:r w:rsidRPr="0082342D">
        <w:rPr>
          <w:rFonts w:ascii="Times New Roman" w:hAnsi="Times New Roman" w:cs="Times New Roman"/>
          <w:sz w:val="24"/>
          <w:szCs w:val="24"/>
        </w:rPr>
        <w:instrText xml:space="preserve">2013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not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significant</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Dow</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Douglas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Karunaratna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Amal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Business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Studies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"5",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"2006"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"578-602",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Developing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multidimensional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instrument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measure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stimuli</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volume</w:instrText>
      </w:r>
      <w:r w:rsidRPr="0082342D">
        <w:rPr>
          <w:rFonts w:ascii="Times New Roman" w:hAnsi="Times New Roman" w:cs="Times New Roman"/>
          <w:sz w:val="24"/>
          <w:szCs w:val="24"/>
        </w:rPr>
        <w:instrText>" : "37"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=086</w:instrText>
      </w:r>
      <w:r w:rsidRPr="0082342D">
        <w:rPr>
          <w:rFonts w:ascii="Times New Roman" w:hAnsi="Times New Roman" w:cs="Times New Roman"/>
          <w:sz w:val="24"/>
          <w:szCs w:val="24"/>
          <w:lang w:val="en-US"/>
        </w:rPr>
        <w:instrText>adf</w:instrText>
      </w:r>
      <w:r w:rsidRPr="0082342D">
        <w:rPr>
          <w:rFonts w:ascii="Times New Roman" w:hAnsi="Times New Roman" w:cs="Times New Roman"/>
          <w:sz w:val="24"/>
          <w:szCs w:val="24"/>
        </w:rPr>
        <w:instrText>55-</w:instrText>
      </w:r>
      <w:r w:rsidRPr="0082342D">
        <w:rPr>
          <w:rFonts w:ascii="Times New Roman" w:hAnsi="Times New Roman" w:cs="Times New Roman"/>
          <w:sz w:val="24"/>
          <w:szCs w:val="24"/>
          <w:lang w:val="en-US"/>
        </w:rPr>
        <w:instrText>df</w:instrText>
      </w:r>
      <w:r w:rsidRPr="0082342D">
        <w:rPr>
          <w:rFonts w:ascii="Times New Roman" w:hAnsi="Times New Roman" w:cs="Times New Roman"/>
          <w:sz w:val="24"/>
          <w:szCs w:val="24"/>
        </w:rPr>
        <w:instrText>44-4</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08-</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732-77</w:instrText>
      </w:r>
      <w:r w:rsidRPr="0082342D">
        <w:rPr>
          <w:rFonts w:ascii="Times New Roman" w:hAnsi="Times New Roman" w:cs="Times New Roman"/>
          <w:sz w:val="24"/>
          <w:szCs w:val="24"/>
          <w:lang w:val="en-US"/>
        </w:rPr>
        <w:instrText>e</w:instrText>
      </w:r>
      <w:r w:rsidRPr="0082342D">
        <w:rPr>
          <w:rFonts w:ascii="Times New Roman" w:hAnsi="Times New Roman" w:cs="Times New Roman"/>
          <w:sz w:val="24"/>
          <w:szCs w:val="24"/>
        </w:rPr>
        <w:instrText>7</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7</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940</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8"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"[11]",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"[11]",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"[11]"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[11]</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потоков ПИИ К. Бломквист и Р. Дрогендейк (</w:t>
      </w:r>
      <w:r w:rsidRPr="0082342D">
        <w:rPr>
          <w:rFonts w:ascii="Times New Roman" w:hAnsi="Times New Roman" w:cs="Times New Roman"/>
          <w:sz w:val="24"/>
          <w:szCs w:val="24"/>
          <w:lang w:val="en-US"/>
        </w:rPr>
        <w:t>Blomkvist</w:t>
      </w:r>
      <w:r w:rsidRPr="0082342D">
        <w:rPr>
          <w:rFonts w:ascii="Times New Roman" w:hAnsi="Times New Roman" w:cs="Times New Roman"/>
          <w:sz w:val="24"/>
          <w:szCs w:val="24"/>
        </w:rPr>
        <w:t xml:space="preserve"> &amp; </w:t>
      </w:r>
      <w:r w:rsidRPr="0082342D">
        <w:rPr>
          <w:rFonts w:ascii="Times New Roman" w:hAnsi="Times New Roman" w:cs="Times New Roman"/>
          <w:sz w:val="24"/>
          <w:szCs w:val="24"/>
          <w:lang w:val="en-US"/>
        </w:rPr>
        <w:t>Rian</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"10.1007/s11575-012-0147-y", "author" : [ { "dropping-particle" : "", "family" : "Blomkvist", "given" : "Katarina", "non-dropping-particle" : "", "parse-names" : false, "suffix" : "" }, { "dropping-particle" : "", "family" : "Drogendijk", "given" : "Rian", "non-dropping-particle" : "", "parse-names" : false, "suffix" : "" } ], "container-title" : "Management International Review", "id" : "ITEM-1", "issue" : "53", "issued" : { "date-parts" : [ [ "2013" ] ] }, "page" : "659-686", "title" : "The Impact of Psychic Distance on Chinese Outward Foreign Direct Investments", "type" : "article-journal" }, "uris" : [ "http://www.mendeley.com/documents/?uuid=74ce53e9-ca03-4918-bd88-f60c0cce2a7a" ] } ], "mendeley" : { "formattedCitation" : "[5]", "plainTextFormattedCitation" : "[5]", "previouslyFormattedCitation" : "[5]"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[5]</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режима входа К. Мейер (</w:t>
      </w:r>
      <w:r w:rsidRPr="0082342D">
        <w:rPr>
          <w:rFonts w:ascii="Times New Roman" w:hAnsi="Times New Roman" w:cs="Times New Roman"/>
          <w:sz w:val="24"/>
          <w:szCs w:val="24"/>
          <w:lang w:val="en-US"/>
        </w:rPr>
        <w:t>Meyer</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"10.1057/palgrave.jibs.8490957", "ISBN" : "00472506", "ISSN" : "0047-2506", "PMID" : "5409540", "author" : [ { "dropping-particle" : "", "family" : "Meyer", "given" : "Ke", "non-dropping-particle" : "", "parse-names" : false, "suffix" : "" } ], "container-title" : "Journal of international business studies", "id" : "ITEM-1", "issue" : "2", "issued" : { "date-parts" : [ [ "2001" ] ] }, "page" : "357-367", "title" : "Institutions, transaction costs, and entry mode choice in Eastern Europe", "type" : "article-journal", "volume" : "32" }, "uris" : [ "http://www.mendeley.com/documents/?uuid=fe9f9b6c-dc77-43f1-9db4-c8c4d359aeef" ] } ], "mendeley" : { "formattedCitation" : "[22]", "plainTextFormattedCitation" : "[22]", "previouslyFormattedCitation" : "[22]"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[22]</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установления А. Ояла (</w:t>
      </w:r>
      <w:r w:rsidRPr="0082342D">
        <w:rPr>
          <w:rFonts w:ascii="Times New Roman" w:hAnsi="Times New Roman" w:cs="Times New Roman"/>
          <w:sz w:val="24"/>
          <w:szCs w:val="24"/>
          <w:lang w:val="en-US"/>
        </w:rPr>
        <w:t>Ojala</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DOI</w:instrText>
      </w:r>
      <w:r w:rsidRPr="0082342D">
        <w:rPr>
          <w:rFonts w:ascii="Times New Roman" w:hAnsi="Times New Roman" w:cs="Times New Roman"/>
          <w:sz w:val="24"/>
          <w:szCs w:val="24"/>
        </w:rPr>
        <w:instrText>" : "10.1016/</w:instrText>
      </w:r>
      <w:r w:rsidRPr="0082342D">
        <w:rPr>
          <w:rFonts w:ascii="Times New Roman" w:hAnsi="Times New Roman" w:cs="Times New Roman"/>
          <w:sz w:val="24"/>
          <w:szCs w:val="24"/>
          <w:lang w:val="en-US"/>
        </w:rPr>
        <w:instrText>j</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ibusrev</w:instrText>
      </w:r>
      <w:r w:rsidRPr="0082342D">
        <w:rPr>
          <w:rFonts w:ascii="Times New Roman" w:hAnsi="Times New Roman" w:cs="Times New Roman"/>
          <w:sz w:val="24"/>
          <w:szCs w:val="24"/>
        </w:rPr>
        <w:instrText>.2015.02.007", "</w:instrText>
      </w:r>
      <w:r w:rsidRPr="0082342D">
        <w:rPr>
          <w:rFonts w:ascii="Times New Roman" w:hAnsi="Times New Roman" w:cs="Times New Roman"/>
          <w:sz w:val="24"/>
          <w:szCs w:val="24"/>
          <w:lang w:val="en-US"/>
        </w:rPr>
        <w:instrText>ISBN</w:instrText>
      </w:r>
      <w:r w:rsidRPr="0082342D">
        <w:rPr>
          <w:rFonts w:ascii="Times New Roman" w:hAnsi="Times New Roman" w:cs="Times New Roman"/>
          <w:sz w:val="24"/>
          <w:szCs w:val="24"/>
        </w:rPr>
        <w:instrText>" : "0969-5931", "</w:instrText>
      </w:r>
      <w:r w:rsidRPr="0082342D">
        <w:rPr>
          <w:rFonts w:ascii="Times New Roman" w:hAnsi="Times New Roman" w:cs="Times New Roman"/>
          <w:sz w:val="24"/>
          <w:szCs w:val="24"/>
          <w:lang w:val="en-US"/>
        </w:rPr>
        <w:instrText>ISSN</w:instrText>
      </w:r>
      <w:r w:rsidRPr="0082342D">
        <w:rPr>
          <w:rFonts w:ascii="Times New Roman" w:hAnsi="Times New Roman" w:cs="Times New Roman"/>
          <w:sz w:val="24"/>
          <w:szCs w:val="24"/>
        </w:rPr>
        <w:instrText>" : "09695931", "</w:instrText>
      </w:r>
      <w:r w:rsidRPr="0082342D">
        <w:rPr>
          <w:rFonts w:ascii="Times New Roman" w:hAnsi="Times New Roman" w:cs="Times New Roman"/>
          <w:sz w:val="24"/>
          <w:szCs w:val="24"/>
          <w:lang w:val="en-US"/>
        </w:rPr>
        <w:instrText>PMID</w:instrText>
      </w:r>
      <w:r w:rsidRPr="0082342D">
        <w:rPr>
          <w:rFonts w:ascii="Times New Roman" w:hAnsi="Times New Roman" w:cs="Times New Roman"/>
          <w:sz w:val="24"/>
          <w:szCs w:val="24"/>
        </w:rPr>
        <w:instrText>" : "108614214", "</w:instrText>
      </w:r>
      <w:r w:rsidRPr="0082342D">
        <w:rPr>
          <w:rFonts w:ascii="Times New Roman" w:hAnsi="Times New Roman" w:cs="Times New Roman"/>
          <w:sz w:val="24"/>
          <w:szCs w:val="24"/>
          <w:lang w:val="en-US"/>
        </w:rPr>
        <w:instrText>abstract</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More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often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might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expect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small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new</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ventures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which</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already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suffer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from</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few</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resources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lack</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industry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legitimacy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take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additional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uncertainties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entry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Some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these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entries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involve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countries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that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geographically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culturally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different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from</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firm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home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country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making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entry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all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more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difficult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uncertain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Recent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studies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have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criticized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prior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academic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approaches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understanding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these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difficulties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Insights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limited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uses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merely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concept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looks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primarily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effects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Entry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new</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small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ventures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complex</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factors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influencing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are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interactive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aim</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conceptual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paper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contribute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understanding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stability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factors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also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interactive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effects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between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factors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attractiveness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network</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relationships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with</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particular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attention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small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new</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ventures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Ojala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Arto</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Business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Review</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"5",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"2015"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"825-835", "</w:instrText>
      </w:r>
      <w:r w:rsidRPr="0082342D">
        <w:rPr>
          <w:rFonts w:ascii="Times New Roman" w:hAnsi="Times New Roman" w:cs="Times New Roman"/>
          <w:sz w:val="24"/>
          <w:szCs w:val="24"/>
          <w:lang w:val="en-US"/>
        </w:rPr>
        <w:instrText>publisher</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Elsevier</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Ltd</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Geographic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cultural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to</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context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small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new</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ventures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volume</w:instrText>
      </w:r>
      <w:r w:rsidRPr="0082342D">
        <w:rPr>
          <w:rFonts w:ascii="Times New Roman" w:hAnsi="Times New Roman" w:cs="Times New Roman"/>
          <w:sz w:val="24"/>
          <w:szCs w:val="24"/>
        </w:rPr>
        <w:instrText>" : "24"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=34</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3</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5</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9-4</w:instrText>
      </w:r>
      <w:r w:rsidRPr="0082342D">
        <w:rPr>
          <w:rFonts w:ascii="Times New Roman" w:hAnsi="Times New Roman" w:cs="Times New Roman"/>
          <w:sz w:val="24"/>
          <w:szCs w:val="24"/>
          <w:lang w:val="en-US"/>
        </w:rPr>
        <w:instrText>bd</w:instrText>
      </w:r>
      <w:r w:rsidRPr="0082342D">
        <w:rPr>
          <w:rFonts w:ascii="Times New Roman" w:hAnsi="Times New Roman" w:cs="Times New Roman"/>
          <w:sz w:val="24"/>
          <w:szCs w:val="24"/>
        </w:rPr>
        <w:instrText>0-4</w:instrText>
      </w:r>
      <w:r w:rsidRPr="0082342D">
        <w:rPr>
          <w:rFonts w:ascii="Times New Roman" w:hAnsi="Times New Roman" w:cs="Times New Roman"/>
          <w:sz w:val="24"/>
          <w:szCs w:val="24"/>
          <w:lang w:val="en-US"/>
        </w:rPr>
        <w:instrText>c</w:instrText>
      </w:r>
      <w:r w:rsidRPr="0082342D">
        <w:rPr>
          <w:rFonts w:ascii="Times New Roman" w:hAnsi="Times New Roman" w:cs="Times New Roman"/>
          <w:sz w:val="24"/>
          <w:szCs w:val="24"/>
        </w:rPr>
        <w:instrText>29-</w:instrText>
      </w:r>
      <w:r w:rsidRPr="0082342D">
        <w:rPr>
          <w:rFonts w:ascii="Times New Roman" w:hAnsi="Times New Roman" w:cs="Times New Roman"/>
          <w:sz w:val="24"/>
          <w:szCs w:val="24"/>
          <w:lang w:val="en-US"/>
        </w:rPr>
        <w:instrText>ae</w:instrText>
      </w:r>
      <w:r w:rsidRPr="0082342D">
        <w:rPr>
          <w:rFonts w:ascii="Times New Roman" w:hAnsi="Times New Roman" w:cs="Times New Roman"/>
          <w:sz w:val="24"/>
          <w:szCs w:val="24"/>
        </w:rPr>
        <w:instrText>4</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aae</w:instrText>
      </w:r>
      <w:r w:rsidRPr="0082342D">
        <w:rPr>
          <w:rFonts w:ascii="Times New Roman" w:hAnsi="Times New Roman" w:cs="Times New Roman"/>
          <w:sz w:val="24"/>
          <w:szCs w:val="24"/>
        </w:rPr>
        <w:instrText>25</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63</w:instrText>
      </w:r>
      <w:r w:rsidRPr="0082342D">
        <w:rPr>
          <w:rFonts w:ascii="Times New Roman" w:hAnsi="Times New Roman" w:cs="Times New Roman"/>
          <w:sz w:val="24"/>
          <w:szCs w:val="24"/>
          <w:lang w:val="en-US"/>
        </w:rPr>
        <w:instrText>bc</w:instrText>
      </w:r>
      <w:r w:rsidRPr="0082342D">
        <w:rPr>
          <w:rFonts w:ascii="Times New Roman" w:hAnsi="Times New Roman" w:cs="Times New Roman"/>
          <w:sz w:val="24"/>
          <w:szCs w:val="24"/>
        </w:rPr>
        <w:instrText>80"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"[23]",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"[23]",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"[23]"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[23]</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xml:space="preserve"> и деятельности фирм на внешних рынках Дж. Эванс и Ф. Мавондо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Evans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Jody</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Mavondo</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Felix</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Business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Studies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"3",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"2002"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"515-532",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Performance</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An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Organizational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Operations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volume</w:instrText>
      </w:r>
      <w:r w:rsidRPr="0082342D">
        <w:rPr>
          <w:rFonts w:ascii="Times New Roman" w:hAnsi="Times New Roman" w:cs="Times New Roman"/>
          <w:sz w:val="24"/>
          <w:szCs w:val="24"/>
        </w:rPr>
        <w:instrText>" : "33"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=2</w:instrText>
      </w:r>
      <w:r w:rsidRPr="0082342D">
        <w:rPr>
          <w:rFonts w:ascii="Times New Roman" w:hAnsi="Times New Roman" w:cs="Times New Roman"/>
          <w:sz w:val="24"/>
          <w:szCs w:val="24"/>
          <w:lang w:val="en-US"/>
        </w:rPr>
        <w:instrText>bc</w:instrText>
      </w:r>
      <w:r w:rsidRPr="0082342D">
        <w:rPr>
          <w:rFonts w:ascii="Times New Roman" w:hAnsi="Times New Roman" w:cs="Times New Roman"/>
          <w:sz w:val="24"/>
          <w:szCs w:val="24"/>
        </w:rPr>
        <w:instrText>14623-5</w:instrText>
      </w:r>
      <w:r w:rsidRPr="0082342D">
        <w:rPr>
          <w:rFonts w:ascii="Times New Roman" w:hAnsi="Times New Roman" w:cs="Times New Roman"/>
          <w:sz w:val="24"/>
          <w:szCs w:val="24"/>
          <w:lang w:val="en-US"/>
        </w:rPr>
        <w:instrText>e</w:instrText>
      </w:r>
      <w:r w:rsidRPr="0082342D">
        <w:rPr>
          <w:rFonts w:ascii="Times New Roman" w:hAnsi="Times New Roman" w:cs="Times New Roman"/>
          <w:sz w:val="24"/>
          <w:szCs w:val="24"/>
        </w:rPr>
        <w:instrText>0</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-4</w:instrText>
      </w:r>
      <w:r w:rsidRPr="0082342D">
        <w:rPr>
          <w:rFonts w:ascii="Times New Roman" w:hAnsi="Times New Roman" w:cs="Times New Roman"/>
          <w:sz w:val="24"/>
          <w:szCs w:val="24"/>
          <w:lang w:val="en-US"/>
        </w:rPr>
        <w:instrText>ff</w:instrText>
      </w:r>
      <w:r w:rsidRPr="0082342D">
        <w:rPr>
          <w:rFonts w:ascii="Times New Roman" w:hAnsi="Times New Roman" w:cs="Times New Roman"/>
          <w:sz w:val="24"/>
          <w:szCs w:val="24"/>
        </w:rPr>
        <w:instrText>7-8794-</w:instrText>
      </w:r>
      <w:r w:rsidRPr="0082342D">
        <w:rPr>
          <w:rFonts w:ascii="Times New Roman" w:hAnsi="Times New Roman" w:cs="Times New Roman"/>
          <w:sz w:val="24"/>
          <w:szCs w:val="24"/>
          <w:lang w:val="en-US"/>
        </w:rPr>
        <w:instrText>b</w:instrText>
      </w:r>
      <w:r w:rsidRPr="0082342D">
        <w:rPr>
          <w:rFonts w:ascii="Times New Roman" w:hAnsi="Times New Roman" w:cs="Times New Roman"/>
          <w:sz w:val="24"/>
          <w:szCs w:val="24"/>
        </w:rPr>
        <w:instrText>9</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51</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209</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75"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"[14]",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"[14]",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"[14]"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[14]</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w:t>
      </w:r>
    </w:p>
    <w:p w14:paraId="50970DD2"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lastRenderedPageBreak/>
        <w:t xml:space="preserve">Камнем преткновения в исследовании психологической дистанции является способ ее измерения. В настоящее время существует два подхода: оценка субъективного восприятия людьми расстояния до зарубежного рынка, например, в исследовании Л. Хакансона и Б. Амбоса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"10.1016/j.intman.2010.06.001", "ISBN" : "1075-4253", "ISSN" : "10754253", "abstract" : "This study investigates the antecedents of psychic distance. Building on original data in 25 of the world's largest economies, we investigate potential drivers of perceived psychic distances to foreign countries. The results show these perceptions to be influenced by a range of cultural, geographic, political and economic factors. Among these, absolute geographic distance accounts for the largest share of the explained variance, suggesting that physical distance should be given a more prominent role when it comes to empirically investigating international business decisions for which psychic distance perceptions may be important. The findings also suggest that, used in isolation, 'cultural distance' - as measured by the so called Kogut and Singh index - is a poor predictor of such perceptions. \u00a9 2010 Elsevier Inc.", "author" : [ { "dropping-particle" : "", "family" : "H\u00e5kanson", "given" : "Lars", "non-dropping-particle" : "", "parse-names" : false, "suffix" : "" }, { "dropping-particle" : "", "family" : "Ambos", "given" : "Bj\u00f6rn", "non-dropping-particle" : "", "parse-names" : false, "suffix" : "" } ], "container-title" : "Journal of International Management", "id" : "ITEM-1", "issue" : "3", "issued" : { "date-parts" : [ [ "2010" ] ] }, "page" : "195-210", "publisher" : "Elsevier Inc.", "title" : "The antecedents of psychic distance", "type" : "article-journal", "volume" : "16" }, "uris" : [ "http://www.mendeley.com/documents/?uuid=acfb010e-2512-496f-a5aa-3e702b4581f1" ] } ], "mendeley" : { "formattedCitation" : "[15]", "plainTextFormattedCitation" : "[15]", "previouslyFormattedCitation" : "[15]"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[15]</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и измерение объективных макропоказателей, влияющих на это восприятие, предложенное в исследовании Д. Доу и А. Карунаратна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"mendeley" : { "formattedCitation" : "[11]", "plainTextFormattedCitation" : "[11]", "previouslyFormattedCitation" : "[11]"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Первый способ основан на исследовании мнения индивидов, принимающих решения в фирме, путем их анкетирования. Восприятие психологической дистанции неоднородно в пределах изучаемой страны и изменяется во времени, что приводит к необходимости давать оценку расстоянию в момент принятия решения ответственным лицом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"author" : [ { "dropping-particle" : "", "family" : "Shenkar", "given" : "Oded", "non-dropping-particle" : "", "parse-names" : false, "suffix" : "" } ], "container-title" : "Journal of International Business Studies", "id" : "ITEM-1", "issue" : "3", "issued" : { "date-parts" : [ [ "2001" ] ] }, "page" : "519-535", "title" : "Cultural Distance Revisited: Towards a More Rigorous Conceptualization and Measurement of Cultural Differences", "type" : "article-journal", "volume" : "32" }, "uris" : [ "http://www.mendeley.com/documents/?uuid=05a8c8d8-6d7a-41e8-98b5-18ae02c057a0" ] } ], "mendeley" : { "formattedCitation" : "[25]", "plainTextFormattedCitation" : "[25]", "previouslyFormattedCitation" : "[25]"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[25]</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Данный метод позволяет избегать корреляции между факторами и выделять оказываемое ими влияние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"mendeley" : { "formattedCitation" : "[11]", "plainTextFormattedCitation" : "[11]", "previouslyFormattedCitation" : "[11]"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В то же время, у данного подхода есть и свои недостатки. Во-первых, часто исследователям просто недоступно собрать необходимый объем информации о представлениях индивидов. Во-вторых, определить реальную степень влияния восприятия дистанции на принятие бизнес-решения достаточно сложно. В-третьих, на оценку менеджером расстояния до иностранного рынка может влиять зарубежный опыт, знание языка или другие индивидуальные факторы. Поэтому для решения данных проблем было предложено измерять </w:t>
      </w:r>
      <w:bookmarkStart w:id="6" w:name="_Hlk507843104"/>
      <w:r w:rsidRPr="0082342D">
        <w:rPr>
          <w:rFonts w:ascii="Times New Roman" w:hAnsi="Times New Roman" w:cs="Times New Roman"/>
          <w:sz w:val="24"/>
          <w:szCs w:val="24"/>
        </w:rPr>
        <w:t xml:space="preserve">стимулы психологической дистанции </w:t>
      </w:r>
      <w:bookmarkEnd w:id="6"/>
      <w:r w:rsidRPr="0082342D">
        <w:rPr>
          <w:rFonts w:ascii="Times New Roman" w:hAnsi="Times New Roman" w:cs="Times New Roman"/>
          <w:sz w:val="24"/>
          <w:szCs w:val="24"/>
        </w:rPr>
        <w:t>(</w:t>
      </w:r>
      <w:r w:rsidRPr="0082342D">
        <w:rPr>
          <w:rFonts w:ascii="Times New Roman" w:hAnsi="Times New Roman" w:cs="Times New Roman"/>
          <w:sz w:val="24"/>
          <w:szCs w:val="24"/>
          <w:lang w:val="en-US"/>
        </w:rPr>
        <w:t>psychic</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distance</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stimuli</w:t>
      </w:r>
      <w:r w:rsidRPr="0082342D">
        <w:rPr>
          <w:rFonts w:ascii="Times New Roman" w:hAnsi="Times New Roman" w:cs="Times New Roman"/>
          <w:sz w:val="24"/>
          <w:szCs w:val="24"/>
        </w:rPr>
        <w:t xml:space="preserve">). Стимулы психологической дистанции – это объективные макропоказатели, которые оказывают влияние на человеческое восприятие. Данные факторы более надежны, однородны, стабильны во времени, а также доступны и просты в измерении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"10.1057/palgrave.jibs.8490676", "ISBN" : "00472506", "ISSN" : "0047-2506", "PMID" : "42", "abstract" : "On the basis of empirical research, a model of the internationalization process of the firm is developed. The model focuses on the gradual acquisition, integration and use of knowledge about foreign markets and operations, and on the incrementally increasing commitments to foreign markets. In particular, attention is concentrated on the increasing involvement in the individual foreign country. *", "author" : [ { "dropping-particle" : "", "family" : "Johanson", "given" : "Jan", "non-dropping-particle" : "", "parse-names" : false, "suffix" : "" }, { "dropping-particle" : "", "family" : "Vahlne", "given" : "Jan-Erik", "non-dropping-particle" : "", "parse-names" : false, "suffix" : "" } ], "container-title" : "Journal of International Business Studies", "id" : "ITEM-1", "issue" : "1", "issued" : { "date-parts" : [ [ "1977" ] ] }, "page" : "23-32", "title" : "The Internationalization Process of the Firm-A Model of Knowledge Development and Increasing Foreign Market", "type" : "article-journal", "volume" : "8" }, "uris" : [ "http://www.mendeley.com/documents/?uuid=823ab14e-b4fc-4817-ad6a-9f2b3ff408c9" ] }, { "id" : "ITEM-2",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"ITEM-2", "issue" : "5", "issued" : { "date-parts" : [ [ "2006" ] ] }, "page" : "578-602", "title" : "Developing a multidimensional instrument to measure psychic distance stimuli", "type" : "article-journal", "volume" : "37" }, "uris" : [ "http://www.mendeley.com/documents/?uuid=086adf55-df44-4d08-a732-77e7f7d940d8" ] } ], "mendeley" : { "formattedCitation" : "[11, 18]", "plainTextFormattedCitation" : "[11, 18]", "previouslyFormattedCitation" : "[11, 18]"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 18]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w:t>
      </w:r>
    </w:p>
    <w:p w14:paraId="4BF6589E"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Представленные методы широко применяются для измерения психологической дистанции в контексте бизнес-процессов отдельных стран, например, изучение ПИИ Словакии Д. Доу и С. Ференчиковой (</w:t>
      </w:r>
      <w:r w:rsidRPr="0082342D">
        <w:rPr>
          <w:rFonts w:ascii="Times New Roman" w:hAnsi="Times New Roman" w:cs="Times New Roman"/>
          <w:sz w:val="24"/>
          <w:szCs w:val="24"/>
          <w:lang w:val="en-US"/>
        </w:rPr>
        <w:t>Ferencikova</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Dow</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Douglas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Ferencikova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Sonia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European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Business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Academy</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"33",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"2007"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"1-26",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Measurement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Impact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Testing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New</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Scales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FDI</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Slovakia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b</w:instrText>
      </w:r>
      <w:r w:rsidRPr="0082342D">
        <w:rPr>
          <w:rFonts w:ascii="Times New Roman" w:hAnsi="Times New Roman" w:cs="Times New Roman"/>
          <w:sz w:val="24"/>
          <w:szCs w:val="24"/>
        </w:rPr>
        <w:instrText>2</w:instrText>
      </w:r>
      <w:r w:rsidRPr="0082342D">
        <w:rPr>
          <w:rFonts w:ascii="Times New Roman" w:hAnsi="Times New Roman" w:cs="Times New Roman"/>
          <w:sz w:val="24"/>
          <w:szCs w:val="24"/>
          <w:lang w:val="en-US"/>
        </w:rPr>
        <w:instrText>cc</w:instrText>
      </w:r>
      <w:r w:rsidRPr="0082342D">
        <w:rPr>
          <w:rFonts w:ascii="Times New Roman" w:hAnsi="Times New Roman" w:cs="Times New Roman"/>
          <w:sz w:val="24"/>
          <w:szCs w:val="24"/>
        </w:rPr>
        <w:instrText>1</w:instrText>
      </w:r>
      <w:r w:rsidRPr="0082342D">
        <w:rPr>
          <w:rFonts w:ascii="Times New Roman" w:hAnsi="Times New Roman" w:cs="Times New Roman"/>
          <w:sz w:val="24"/>
          <w:szCs w:val="24"/>
          <w:lang w:val="en-US"/>
        </w:rPr>
        <w:instrText>b</w:instrText>
      </w:r>
      <w:r w:rsidRPr="0082342D">
        <w:rPr>
          <w:rFonts w:ascii="Times New Roman" w:hAnsi="Times New Roman" w:cs="Times New Roman"/>
          <w:sz w:val="24"/>
          <w:szCs w:val="24"/>
        </w:rPr>
        <w:instrText>0</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-56</w:instrText>
      </w:r>
      <w:r w:rsidRPr="0082342D">
        <w:rPr>
          <w:rFonts w:ascii="Times New Roman" w:hAnsi="Times New Roman" w:cs="Times New Roman"/>
          <w:sz w:val="24"/>
          <w:szCs w:val="24"/>
          <w:lang w:val="en-US"/>
        </w:rPr>
        <w:instrText>e</w:instrText>
      </w:r>
      <w:r w:rsidRPr="0082342D">
        <w:rPr>
          <w:rFonts w:ascii="Times New Roman" w:hAnsi="Times New Roman" w:cs="Times New Roman"/>
          <w:sz w:val="24"/>
          <w:szCs w:val="24"/>
        </w:rPr>
        <w:instrText>1-4754-</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6</w:instrText>
      </w:r>
      <w:r w:rsidRPr="0082342D">
        <w:rPr>
          <w:rFonts w:ascii="Times New Roman" w:hAnsi="Times New Roman" w:cs="Times New Roman"/>
          <w:sz w:val="24"/>
          <w:szCs w:val="24"/>
          <w:lang w:val="en-US"/>
        </w:rPr>
        <w:instrText>ae</w:instrText>
      </w:r>
      <w:r w:rsidRPr="0082342D">
        <w:rPr>
          <w:rFonts w:ascii="Times New Roman" w:hAnsi="Times New Roman" w:cs="Times New Roman"/>
          <w:sz w:val="24"/>
          <w:szCs w:val="24"/>
        </w:rPr>
        <w:instrText>-19</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6</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1204</w:instrText>
      </w:r>
      <w:r w:rsidRPr="0082342D">
        <w:rPr>
          <w:rFonts w:ascii="Times New Roman" w:hAnsi="Times New Roman" w:cs="Times New Roman"/>
          <w:sz w:val="24"/>
          <w:szCs w:val="24"/>
          <w:lang w:val="en-US"/>
        </w:rPr>
        <w:instrText>bee</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"[10]",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"[10]",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"[10]"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[10]</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xml:space="preserve">, Китая К. Бломквистом и Р. Дрогендейком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DOI</w:instrText>
      </w:r>
      <w:r w:rsidRPr="0082342D">
        <w:rPr>
          <w:rFonts w:ascii="Times New Roman" w:hAnsi="Times New Roman" w:cs="Times New Roman"/>
          <w:sz w:val="24"/>
          <w:szCs w:val="24"/>
        </w:rPr>
        <w:instrText>" : "10.1007/</w:instrText>
      </w:r>
      <w:r w:rsidRPr="0082342D">
        <w:rPr>
          <w:rFonts w:ascii="Times New Roman" w:hAnsi="Times New Roman" w:cs="Times New Roman"/>
          <w:sz w:val="24"/>
          <w:szCs w:val="24"/>
          <w:lang w:val="en-US"/>
        </w:rPr>
        <w:instrText>s</w:instrText>
      </w:r>
      <w:r w:rsidRPr="0082342D">
        <w:rPr>
          <w:rFonts w:ascii="Times New Roman" w:hAnsi="Times New Roman" w:cs="Times New Roman"/>
          <w:sz w:val="24"/>
          <w:szCs w:val="24"/>
        </w:rPr>
        <w:instrText>11575-012-0147-</w:instrText>
      </w:r>
      <w:r w:rsidRPr="0082342D">
        <w:rPr>
          <w:rFonts w:ascii="Times New Roman" w:hAnsi="Times New Roman" w:cs="Times New Roman"/>
          <w:sz w:val="24"/>
          <w:szCs w:val="24"/>
          <w:lang w:val="en-US"/>
        </w:rPr>
        <w:instrText>y</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Blomkvist</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Katarina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Drogendijk</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Rian</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Management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International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Review</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"53",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"2013"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"659-686",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The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Impact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Chinese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Outward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Foreign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Direct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Investments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=74</w:instrText>
      </w:r>
      <w:r w:rsidRPr="0082342D">
        <w:rPr>
          <w:rFonts w:ascii="Times New Roman" w:hAnsi="Times New Roman" w:cs="Times New Roman"/>
          <w:sz w:val="24"/>
          <w:szCs w:val="24"/>
          <w:lang w:val="en-US"/>
        </w:rPr>
        <w:instrText>ce</w:instrText>
      </w:r>
      <w:r w:rsidRPr="0082342D">
        <w:rPr>
          <w:rFonts w:ascii="Times New Roman" w:hAnsi="Times New Roman" w:cs="Times New Roman"/>
          <w:sz w:val="24"/>
          <w:szCs w:val="24"/>
        </w:rPr>
        <w:instrText>53</w:instrText>
      </w:r>
      <w:r w:rsidRPr="0082342D">
        <w:rPr>
          <w:rFonts w:ascii="Times New Roman" w:hAnsi="Times New Roman" w:cs="Times New Roman"/>
          <w:sz w:val="24"/>
          <w:szCs w:val="24"/>
          <w:lang w:val="en-US"/>
        </w:rPr>
        <w:instrText>e</w:instrText>
      </w:r>
      <w:r w:rsidRPr="0082342D">
        <w:rPr>
          <w:rFonts w:ascii="Times New Roman" w:hAnsi="Times New Roman" w:cs="Times New Roman"/>
          <w:sz w:val="24"/>
          <w:szCs w:val="24"/>
        </w:rPr>
        <w:instrText>9-</w:instrText>
      </w:r>
      <w:r w:rsidRPr="0082342D">
        <w:rPr>
          <w:rFonts w:ascii="Times New Roman" w:hAnsi="Times New Roman" w:cs="Times New Roman"/>
          <w:sz w:val="24"/>
          <w:szCs w:val="24"/>
          <w:lang w:val="en-US"/>
        </w:rPr>
        <w:instrText>ca</w:instrText>
      </w:r>
      <w:r w:rsidRPr="0082342D">
        <w:rPr>
          <w:rFonts w:ascii="Times New Roman" w:hAnsi="Times New Roman" w:cs="Times New Roman"/>
          <w:sz w:val="24"/>
          <w:szCs w:val="24"/>
        </w:rPr>
        <w:instrText>03-4918-</w:instrText>
      </w:r>
      <w:r w:rsidRPr="0082342D">
        <w:rPr>
          <w:rFonts w:ascii="Times New Roman" w:hAnsi="Times New Roman" w:cs="Times New Roman"/>
          <w:sz w:val="24"/>
          <w:szCs w:val="24"/>
          <w:lang w:val="en-US"/>
        </w:rPr>
        <w:instrText>bd</w:instrText>
      </w:r>
      <w:r w:rsidRPr="0082342D">
        <w:rPr>
          <w:rFonts w:ascii="Times New Roman" w:hAnsi="Times New Roman" w:cs="Times New Roman"/>
          <w:sz w:val="24"/>
          <w:szCs w:val="24"/>
        </w:rPr>
        <w:instrText>88-</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60</w:instrText>
      </w:r>
      <w:r w:rsidRPr="0082342D">
        <w:rPr>
          <w:rFonts w:ascii="Times New Roman" w:hAnsi="Times New Roman" w:cs="Times New Roman"/>
          <w:sz w:val="24"/>
          <w:szCs w:val="24"/>
          <w:lang w:val="en-US"/>
        </w:rPr>
        <w:instrText>c</w:instrText>
      </w:r>
      <w:r w:rsidRPr="0082342D">
        <w:rPr>
          <w:rFonts w:ascii="Times New Roman" w:hAnsi="Times New Roman" w:cs="Times New Roman"/>
          <w:sz w:val="24"/>
          <w:szCs w:val="24"/>
        </w:rPr>
        <w:instrText>0</w:instrText>
      </w:r>
      <w:r w:rsidRPr="0082342D">
        <w:rPr>
          <w:rFonts w:ascii="Times New Roman" w:hAnsi="Times New Roman" w:cs="Times New Roman"/>
          <w:sz w:val="24"/>
          <w:szCs w:val="24"/>
          <w:lang w:val="en-US"/>
        </w:rPr>
        <w:instrText>cce</w:instrText>
      </w:r>
      <w:r w:rsidRPr="0082342D">
        <w:rPr>
          <w:rFonts w:ascii="Times New Roman" w:hAnsi="Times New Roman" w:cs="Times New Roman"/>
          <w:sz w:val="24"/>
          <w:szCs w:val="24"/>
        </w:rPr>
        <w:instrText>2</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7</w:instrText>
      </w:r>
      <w:r w:rsidRPr="0082342D">
        <w:rPr>
          <w:rFonts w:ascii="Times New Roman" w:hAnsi="Times New Roman" w:cs="Times New Roman"/>
          <w:sz w:val="24"/>
          <w:szCs w:val="24"/>
          <w:lang w:val="en-US"/>
        </w:rPr>
        <w:instrText>a</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"[5]",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"[5]",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"[5]"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[5]</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маркетинговой стратегии Бразилии К. Соузы и Х. Ленглера (</w:t>
      </w:r>
      <w:r w:rsidRPr="0082342D">
        <w:rPr>
          <w:rFonts w:ascii="Times New Roman" w:hAnsi="Times New Roman" w:cs="Times New Roman"/>
          <w:sz w:val="24"/>
          <w:szCs w:val="24"/>
          <w:lang w:val="en-US"/>
        </w:rPr>
        <w:t>Lengler</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lang w:val="en-US"/>
        </w:rPr>
        <w:fldChar w:fldCharType="begin" w:fldLock="1"/>
      </w:r>
      <w:r w:rsidRPr="0082342D">
        <w:rPr>
          <w:rFonts w:ascii="Times New Roman" w:hAnsi="Times New Roman" w:cs="Times New Roman"/>
          <w:sz w:val="24"/>
          <w:szCs w:val="24"/>
          <w:lang w:val="en-US"/>
        </w:rPr>
        <w:instrText>ADDIN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_</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citationItems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itemData</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DOI</w:instrText>
      </w:r>
      <w:r w:rsidRPr="0082342D">
        <w:rPr>
          <w:rFonts w:ascii="Times New Roman" w:hAnsi="Times New Roman" w:cs="Times New Roman"/>
          <w:sz w:val="24"/>
          <w:szCs w:val="24"/>
        </w:rPr>
        <w:instrText>" : "10.1362/026725709</w:instrText>
      </w:r>
      <w:r w:rsidRPr="0082342D">
        <w:rPr>
          <w:rFonts w:ascii="Times New Roman" w:hAnsi="Times New Roman" w:cs="Times New Roman"/>
          <w:sz w:val="24"/>
          <w:szCs w:val="24"/>
          <w:lang w:val="en-US"/>
        </w:rPr>
        <w:instrText>X</w:instrText>
      </w:r>
      <w:r w:rsidRPr="0082342D">
        <w:rPr>
          <w:rFonts w:ascii="Times New Roman" w:hAnsi="Times New Roman" w:cs="Times New Roman"/>
          <w:sz w:val="24"/>
          <w:szCs w:val="24"/>
        </w:rPr>
        <w:instrText>461876", "</w:instrText>
      </w:r>
      <w:r w:rsidRPr="0082342D">
        <w:rPr>
          <w:rFonts w:ascii="Times New Roman" w:hAnsi="Times New Roman" w:cs="Times New Roman"/>
          <w:sz w:val="24"/>
          <w:szCs w:val="24"/>
          <w:lang w:val="en-US"/>
        </w:rPr>
        <w:instrText>author</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Sousa</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Carlos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family</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Lengler</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given</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Jorge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non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dropping</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particle</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parse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names</w:instrText>
      </w:r>
      <w:r w:rsidRPr="0082342D">
        <w:rPr>
          <w:rFonts w:ascii="Times New Roman" w:hAnsi="Times New Roman" w:cs="Times New Roman"/>
          <w:sz w:val="24"/>
          <w:szCs w:val="24"/>
        </w:rPr>
        <w:instrText xml:space="preserve">" : </w:instrText>
      </w:r>
      <w:r w:rsidRPr="0082342D">
        <w:rPr>
          <w:rFonts w:ascii="Times New Roman" w:hAnsi="Times New Roman" w:cs="Times New Roman"/>
          <w:sz w:val="24"/>
          <w:szCs w:val="24"/>
          <w:lang w:val="en-US"/>
        </w:rPr>
        <w:instrText>false</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suffix</w:instrText>
      </w:r>
      <w:r w:rsidRPr="0082342D">
        <w:rPr>
          <w:rFonts w:ascii="Times New Roman" w:hAnsi="Times New Roman" w:cs="Times New Roman"/>
          <w:sz w:val="24"/>
          <w:szCs w:val="24"/>
        </w:rPr>
        <w:instrText>" : "" } ], "</w:instrText>
      </w:r>
      <w:r w:rsidRPr="0082342D">
        <w:rPr>
          <w:rFonts w:ascii="Times New Roman" w:hAnsi="Times New Roman" w:cs="Times New Roman"/>
          <w:sz w:val="24"/>
          <w:szCs w:val="24"/>
          <w:lang w:val="en-US"/>
        </w:rPr>
        <w:instrText>container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MANAGEMENT</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id</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ITEM</w:instrText>
      </w:r>
      <w:r w:rsidRPr="0082342D">
        <w:rPr>
          <w:rFonts w:ascii="Times New Roman" w:hAnsi="Times New Roman" w:cs="Times New Roman"/>
          <w:sz w:val="24"/>
          <w:szCs w:val="24"/>
        </w:rPr>
        <w:instrText>-1", "</w:instrText>
      </w:r>
      <w:r w:rsidRPr="0082342D">
        <w:rPr>
          <w:rFonts w:ascii="Times New Roman" w:hAnsi="Times New Roman" w:cs="Times New Roman"/>
          <w:sz w:val="24"/>
          <w:szCs w:val="24"/>
          <w:lang w:val="en-US"/>
        </w:rPr>
        <w:instrText>issue</w:instrText>
      </w:r>
      <w:r w:rsidRPr="0082342D">
        <w:rPr>
          <w:rFonts w:ascii="Times New Roman" w:hAnsi="Times New Roman" w:cs="Times New Roman"/>
          <w:sz w:val="24"/>
          <w:szCs w:val="24"/>
        </w:rPr>
        <w:instrText>" : "5-6", "</w:instrText>
      </w:r>
      <w:r w:rsidRPr="0082342D">
        <w:rPr>
          <w:rFonts w:ascii="Times New Roman" w:hAnsi="Times New Roman" w:cs="Times New Roman"/>
          <w:sz w:val="24"/>
          <w:szCs w:val="24"/>
          <w:lang w:val="en-US"/>
        </w:rPr>
        <w:instrText>issued</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date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parts</w:instrText>
      </w:r>
      <w:r w:rsidRPr="0082342D">
        <w:rPr>
          <w:rFonts w:ascii="Times New Roman" w:hAnsi="Times New Roman" w:cs="Times New Roman"/>
          <w:sz w:val="24"/>
          <w:szCs w:val="24"/>
        </w:rPr>
        <w:instrText>" : [ [ "2009" ] ] }, "</w:instrText>
      </w:r>
      <w:r w:rsidRPr="0082342D">
        <w:rPr>
          <w:rFonts w:ascii="Times New Roman" w:hAnsi="Times New Roman" w:cs="Times New Roman"/>
          <w:sz w:val="24"/>
          <w:szCs w:val="24"/>
          <w:lang w:val="en-US"/>
        </w:rPr>
        <w:instrText>page</w:instrText>
      </w:r>
      <w:r w:rsidRPr="0082342D">
        <w:rPr>
          <w:rFonts w:ascii="Times New Roman" w:hAnsi="Times New Roman" w:cs="Times New Roman"/>
          <w:sz w:val="24"/>
          <w:szCs w:val="24"/>
        </w:rPr>
        <w:instrText>" : "591-610", "</w:instrText>
      </w:r>
      <w:r w:rsidRPr="0082342D">
        <w:rPr>
          <w:rFonts w:ascii="Times New Roman" w:hAnsi="Times New Roman" w:cs="Times New Roman"/>
          <w:sz w:val="24"/>
          <w:szCs w:val="24"/>
          <w:lang w:val="en-US"/>
        </w:rPr>
        <w:instrText>title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Psychic</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distance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marketing</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strategy</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and</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performance</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in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export</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ventures</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of</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Brazilian</w:instrText>
      </w:r>
      <w:r w:rsidRPr="0082342D">
        <w:rPr>
          <w:rFonts w:ascii="Times New Roman" w:hAnsi="Times New Roman" w:cs="Times New Roman"/>
          <w:sz w:val="24"/>
          <w:szCs w:val="24"/>
        </w:rPr>
        <w:instrText xml:space="preserve"> </w:instrText>
      </w:r>
      <w:r w:rsidRPr="0082342D">
        <w:rPr>
          <w:rFonts w:ascii="Times New Roman" w:hAnsi="Times New Roman" w:cs="Times New Roman"/>
          <w:sz w:val="24"/>
          <w:szCs w:val="24"/>
          <w:lang w:val="en-US"/>
        </w:rPr>
        <w:instrText>firms</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type</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article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journal</w:instrText>
      </w:r>
      <w:r w:rsidRPr="0082342D">
        <w:rPr>
          <w:rFonts w:ascii="Times New Roman" w:hAnsi="Times New Roman" w:cs="Times New Roman"/>
          <w:sz w:val="24"/>
          <w:szCs w:val="24"/>
        </w:rPr>
        <w:instrText>", "</w:instrText>
      </w:r>
      <w:r w:rsidRPr="0082342D">
        <w:rPr>
          <w:rFonts w:ascii="Times New Roman" w:hAnsi="Times New Roman" w:cs="Times New Roman"/>
          <w:sz w:val="24"/>
          <w:szCs w:val="24"/>
          <w:lang w:val="en-US"/>
        </w:rPr>
        <w:instrText>volume</w:instrText>
      </w:r>
      <w:r w:rsidRPr="0082342D">
        <w:rPr>
          <w:rFonts w:ascii="Times New Roman" w:hAnsi="Times New Roman" w:cs="Times New Roman"/>
          <w:sz w:val="24"/>
          <w:szCs w:val="24"/>
        </w:rPr>
        <w:instrText>" : "25" }, "</w:instrText>
      </w:r>
      <w:r w:rsidRPr="0082342D">
        <w:rPr>
          <w:rFonts w:ascii="Times New Roman" w:hAnsi="Times New Roman" w:cs="Times New Roman"/>
          <w:sz w:val="24"/>
          <w:szCs w:val="24"/>
          <w:lang w:val="en-US"/>
        </w:rPr>
        <w:instrText>uris</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http</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www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documents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uuid</w:instrText>
      </w:r>
      <w:r w:rsidRPr="0082342D">
        <w:rPr>
          <w:rFonts w:ascii="Times New Roman" w:hAnsi="Times New Roman" w:cs="Times New Roman"/>
          <w:sz w:val="24"/>
          <w:szCs w:val="24"/>
        </w:rPr>
        <w:instrText>=49176</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31-0321-4</w:instrText>
      </w:r>
      <w:r w:rsidRPr="0082342D">
        <w:rPr>
          <w:rFonts w:ascii="Times New Roman" w:hAnsi="Times New Roman" w:cs="Times New Roman"/>
          <w:sz w:val="24"/>
          <w:szCs w:val="24"/>
          <w:lang w:val="en-US"/>
        </w:rPr>
        <w:instrText>bc</w:instrText>
      </w:r>
      <w:r w:rsidRPr="0082342D">
        <w:rPr>
          <w:rFonts w:ascii="Times New Roman" w:hAnsi="Times New Roman" w:cs="Times New Roman"/>
          <w:sz w:val="24"/>
          <w:szCs w:val="24"/>
        </w:rPr>
        <w:instrText>5-</w:instrText>
      </w:r>
      <w:r w:rsidRPr="0082342D">
        <w:rPr>
          <w:rFonts w:ascii="Times New Roman" w:hAnsi="Times New Roman" w:cs="Times New Roman"/>
          <w:sz w:val="24"/>
          <w:szCs w:val="24"/>
          <w:lang w:val="en-US"/>
        </w:rPr>
        <w:instrText>b</w:instrText>
      </w:r>
      <w:r w:rsidRPr="0082342D">
        <w:rPr>
          <w:rFonts w:ascii="Times New Roman" w:hAnsi="Times New Roman" w:cs="Times New Roman"/>
          <w:sz w:val="24"/>
          <w:szCs w:val="24"/>
        </w:rPr>
        <w:instrText>3</w:instrText>
      </w:r>
      <w:r w:rsidRPr="0082342D">
        <w:rPr>
          <w:rFonts w:ascii="Times New Roman" w:hAnsi="Times New Roman" w:cs="Times New Roman"/>
          <w:sz w:val="24"/>
          <w:szCs w:val="24"/>
          <w:lang w:val="en-US"/>
        </w:rPr>
        <w:instrText>ed</w:instrText>
      </w:r>
      <w:r w:rsidRPr="0082342D">
        <w:rPr>
          <w:rFonts w:ascii="Times New Roman" w:hAnsi="Times New Roman" w:cs="Times New Roman"/>
          <w:sz w:val="24"/>
          <w:szCs w:val="24"/>
        </w:rPr>
        <w:instrText>-3</w:instrText>
      </w:r>
      <w:r w:rsidRPr="0082342D">
        <w:rPr>
          <w:rFonts w:ascii="Times New Roman" w:hAnsi="Times New Roman" w:cs="Times New Roman"/>
          <w:sz w:val="24"/>
          <w:szCs w:val="24"/>
          <w:lang w:val="en-US"/>
        </w:rPr>
        <w:instrText>ad</w:instrText>
      </w:r>
      <w:r w:rsidRPr="0082342D">
        <w:rPr>
          <w:rFonts w:ascii="Times New Roman" w:hAnsi="Times New Roman" w:cs="Times New Roman"/>
          <w:sz w:val="24"/>
          <w:szCs w:val="24"/>
        </w:rPr>
        <w:instrText>5</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96</w:instrText>
      </w:r>
      <w:r w:rsidRPr="0082342D">
        <w:rPr>
          <w:rFonts w:ascii="Times New Roman" w:hAnsi="Times New Roman" w:cs="Times New Roman"/>
          <w:sz w:val="24"/>
          <w:szCs w:val="24"/>
          <w:lang w:val="en-US"/>
        </w:rPr>
        <w:instrText>f</w:instrText>
      </w:r>
      <w:r w:rsidRPr="0082342D">
        <w:rPr>
          <w:rFonts w:ascii="Times New Roman" w:hAnsi="Times New Roman" w:cs="Times New Roman"/>
          <w:sz w:val="24"/>
          <w:szCs w:val="24"/>
        </w:rPr>
        <w:instrText>43</w:instrText>
      </w:r>
      <w:r w:rsidRPr="0082342D">
        <w:rPr>
          <w:rFonts w:ascii="Times New Roman" w:hAnsi="Times New Roman" w:cs="Times New Roman"/>
          <w:sz w:val="24"/>
          <w:szCs w:val="24"/>
          <w:lang w:val="en-US"/>
        </w:rPr>
        <w:instrText>d</w:instrText>
      </w:r>
      <w:r w:rsidRPr="0082342D">
        <w:rPr>
          <w:rFonts w:ascii="Times New Roman" w:hAnsi="Times New Roman" w:cs="Times New Roman"/>
          <w:sz w:val="24"/>
          <w:szCs w:val="24"/>
        </w:rPr>
        <w:instrText>4" ] } ], "</w:instrText>
      </w:r>
      <w:r w:rsidRPr="0082342D">
        <w:rPr>
          <w:rFonts w:ascii="Times New Roman" w:hAnsi="Times New Roman" w:cs="Times New Roman"/>
          <w:sz w:val="24"/>
          <w:szCs w:val="24"/>
          <w:lang w:val="en-US"/>
        </w:rPr>
        <w:instrText>mendeley</w:instrText>
      </w:r>
      <w:r w:rsidRPr="0082342D">
        <w:rPr>
          <w:rFonts w:ascii="Times New Roman" w:hAnsi="Times New Roman" w:cs="Times New Roman"/>
          <w:sz w:val="24"/>
          <w:szCs w:val="24"/>
        </w:rPr>
        <w:instrText>" : { "</w:instrText>
      </w:r>
      <w:r w:rsidRPr="0082342D">
        <w:rPr>
          <w:rFonts w:ascii="Times New Roman" w:hAnsi="Times New Roman" w:cs="Times New Roman"/>
          <w:sz w:val="24"/>
          <w:szCs w:val="24"/>
          <w:lang w:val="en-US"/>
        </w:rPr>
        <w:instrText>formattedCitation</w:instrText>
      </w:r>
      <w:r w:rsidRPr="0082342D">
        <w:rPr>
          <w:rFonts w:ascii="Times New Roman" w:hAnsi="Times New Roman" w:cs="Times New Roman"/>
          <w:sz w:val="24"/>
          <w:szCs w:val="24"/>
        </w:rPr>
        <w:instrText>" : "[27]", "</w:instrText>
      </w:r>
      <w:r w:rsidRPr="0082342D">
        <w:rPr>
          <w:rFonts w:ascii="Times New Roman" w:hAnsi="Times New Roman" w:cs="Times New Roman"/>
          <w:sz w:val="24"/>
          <w:szCs w:val="24"/>
          <w:lang w:val="en-US"/>
        </w:rPr>
        <w:instrText>plainTextFormattedCitation</w:instrText>
      </w:r>
      <w:r w:rsidRPr="0082342D">
        <w:rPr>
          <w:rFonts w:ascii="Times New Roman" w:hAnsi="Times New Roman" w:cs="Times New Roman"/>
          <w:sz w:val="24"/>
          <w:szCs w:val="24"/>
        </w:rPr>
        <w:instrText>" : "[27]", "</w:instrText>
      </w:r>
      <w:r w:rsidRPr="0082342D">
        <w:rPr>
          <w:rFonts w:ascii="Times New Roman" w:hAnsi="Times New Roman" w:cs="Times New Roman"/>
          <w:sz w:val="24"/>
          <w:szCs w:val="24"/>
          <w:lang w:val="en-US"/>
        </w:rPr>
        <w:instrText>previouslyFormattedCitation</w:instrText>
      </w:r>
      <w:r w:rsidRPr="0082342D">
        <w:rPr>
          <w:rFonts w:ascii="Times New Roman" w:hAnsi="Times New Roman" w:cs="Times New Roman"/>
          <w:sz w:val="24"/>
          <w:szCs w:val="24"/>
        </w:rPr>
        <w:instrText>" : "[27]" }, "</w:instrText>
      </w:r>
      <w:r w:rsidRPr="0082342D">
        <w:rPr>
          <w:rFonts w:ascii="Times New Roman" w:hAnsi="Times New Roman" w:cs="Times New Roman"/>
          <w:sz w:val="24"/>
          <w:szCs w:val="24"/>
          <w:lang w:val="en-US"/>
        </w:rPr>
        <w:instrText>properties</w:instrText>
      </w:r>
      <w:r w:rsidRPr="0082342D">
        <w:rPr>
          <w:rFonts w:ascii="Times New Roman" w:hAnsi="Times New Roman" w:cs="Times New Roman"/>
          <w:sz w:val="24"/>
          <w:szCs w:val="24"/>
        </w:rPr>
        <w:instrText>" : {  }, "</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 : "</w:instrText>
      </w:r>
      <w:r w:rsidRPr="0082342D">
        <w:rPr>
          <w:rFonts w:ascii="Times New Roman" w:hAnsi="Times New Roman" w:cs="Times New Roman"/>
          <w:sz w:val="24"/>
          <w:szCs w:val="24"/>
          <w:lang w:val="en-US"/>
        </w:rPr>
        <w:instrText>https</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github</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com</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style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language</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schema</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raw</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master</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csl</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citation</w:instrText>
      </w:r>
      <w:r w:rsidRPr="0082342D">
        <w:rPr>
          <w:rFonts w:ascii="Times New Roman" w:hAnsi="Times New Roman" w:cs="Times New Roman"/>
          <w:sz w:val="24"/>
          <w:szCs w:val="24"/>
        </w:rPr>
        <w:instrText>.</w:instrText>
      </w:r>
      <w:r w:rsidRPr="0082342D">
        <w:rPr>
          <w:rFonts w:ascii="Times New Roman" w:hAnsi="Times New Roman" w:cs="Times New Roman"/>
          <w:sz w:val="24"/>
          <w:szCs w:val="24"/>
          <w:lang w:val="en-US"/>
        </w:rPr>
        <w:instrText>json</w:instrText>
      </w:r>
      <w:r w:rsidRPr="0082342D">
        <w:rPr>
          <w:rFonts w:ascii="Times New Roman" w:hAnsi="Times New Roman" w:cs="Times New Roman"/>
          <w:sz w:val="24"/>
          <w:szCs w:val="24"/>
        </w:rPr>
        <w:instrText>" }</w:instrText>
      </w:r>
      <w:r w:rsidR="00CB3F9D" w:rsidRPr="0082342D">
        <w:rPr>
          <w:rFonts w:ascii="Times New Roman" w:hAnsi="Times New Roman" w:cs="Times New Roman"/>
          <w:sz w:val="24"/>
          <w:szCs w:val="24"/>
          <w:lang w:val="en-US"/>
        </w:rPr>
        <w:fldChar w:fldCharType="separate"/>
      </w:r>
      <w:r w:rsidRPr="0082342D">
        <w:rPr>
          <w:rFonts w:ascii="Times New Roman" w:hAnsi="Times New Roman" w:cs="Times New Roman"/>
          <w:noProof/>
          <w:sz w:val="24"/>
          <w:szCs w:val="24"/>
        </w:rPr>
        <w:t>[27]</w:t>
      </w:r>
      <w:r w:rsidR="00CB3F9D" w:rsidRPr="0082342D">
        <w:rPr>
          <w:rFonts w:ascii="Times New Roman" w:hAnsi="Times New Roman" w:cs="Times New Roman"/>
          <w:sz w:val="24"/>
          <w:szCs w:val="24"/>
          <w:lang w:val="en-US"/>
        </w:rPr>
        <w:fldChar w:fldCharType="end"/>
      </w:r>
      <w:r w:rsidRPr="0082342D">
        <w:rPr>
          <w:rFonts w:ascii="Times New Roman" w:hAnsi="Times New Roman" w:cs="Times New Roman"/>
          <w:sz w:val="24"/>
          <w:szCs w:val="24"/>
        </w:rPr>
        <w:t xml:space="preserve">, выбора экспортного рынка Австралией П. Брюера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"10.1177/031289620703200105", "ISSN" : "03128962", "abstract" : "The Uppsala internationalisation model developed the concept of psychic distance in the international business literature and proposed that firms select international markets based on 'psychic proximity'. The actual operationalisation of psychic distance in research is usually undertaken by estimating or calculating in some fashion the real or perceived 'differences' between the firm's environment and target countries. However this does not reflect the original definition of the concept which emphasised the importance of information flows from country market to firm. This paper first demonstrates the wide use of the 'differences' measures in research and shows how that procedure is problematic. The paper suggests measuring psychic distance through not only differences between the firm and the target country but also other important measures of information flow. This is especially relevant to the Australian context where the country market selection of firms does not generally match country similarities. An information based measure of psychic distance is developed and is then applied to psychic distances between Australia and twenty five other countries. Actual Australian exporter behaviour in terms of international market selection supports the predictive powers of the new measure. Suggestions for future research are made.", "author" : [ { "dropping-particle" : "", "family" : "Brewer", "given" : "Paul", "non-dropping-particle" : "", "parse-names" : false, "suffix" : "" } ], "container-title" : "Australian Journal of Management (University of New South Wales)", "id" : "ITEM-1", "issue" : "1", "issued" : { "date-parts" : [ [ "2007" ] ] }, "page" : "73-94", "title" : "Psychic Distance and Australian Export Market Selection", "type" : "article-journal", "volume" : "32" }, "uris" : [ "http://www.mendeley.com/documents/?uuid=d1888811-1295-41c8-97e2-cef153593e71" ] } ], "mendeley" : { "formattedCitation" : "[7]", "plainTextFormattedCitation" : "[7]", "previouslyFormattedCitation" : "[7]"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[7]</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w:t>
      </w:r>
    </w:p>
    <w:p w14:paraId="5418B1F4"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В данной статье нас будет интересовать исследование влияния психологической дистанции на экспортные потоки новых индустриальных стран первой волны (НИС). НИС первой волны или четырёх «азиатских драконов» – стран Азиатско-Тихоокеанского региона, показывающих высокие темпы развития экономики с конца </w:t>
      </w:r>
      <w:r w:rsidRPr="0082342D">
        <w:rPr>
          <w:rFonts w:ascii="Times New Roman" w:hAnsi="Times New Roman" w:cs="Times New Roman"/>
          <w:sz w:val="24"/>
          <w:szCs w:val="24"/>
          <w:lang w:val="en-US"/>
        </w:rPr>
        <w:t>XX</w:t>
      </w:r>
      <w:r w:rsidRPr="0082342D">
        <w:rPr>
          <w:rFonts w:ascii="Times New Roman" w:hAnsi="Times New Roman" w:cs="Times New Roman"/>
          <w:sz w:val="24"/>
          <w:szCs w:val="24"/>
        </w:rPr>
        <w:t xml:space="preserve"> века. К ним принято относить Гонконг, Корею, Сингапур и Тайвань.             </w:t>
      </w:r>
    </w:p>
    <w:p w14:paraId="6FF2D9F7"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Основой для быстрой индустриализации данных стран стала ориентация экономики на экспорт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"ISBN" : "0226386708", "PMID" : "1135777", "abstract" : "The author examines a range of cross-sectional variation in performance and policies for evidence on what distinguishes successes from failures. At about 6 percent, the growth rate of the Four Tigers - Hong Kong, the Republic of Korea, Singapore, and Taiwan (China) - are among the largest outliners in any study of growth. This is not surprising, says the author. The Four Tigers are Tigers because their growth rate was high. The Four generally have large positive residuals in growth regressions, but the author argues that this is not surprising for observations that were known in advance to be at the top of the sample. But growth regressions and, more generally, quantitative measures of \"policies\" are not very successful at picking out the Gang of Four as \"most likely to succeed.\" Most observers before the \"miracle\" were pessimistic about East Asia. The Four are not nearly as superlative in policies and other country characteristics as they are in per capita growth rates. Large positive residuals such as those associated with the Four's high performance have historically been transitory. The stratospheric trajectory of the Four should be heading back toward earth soon, says the author. What may be unusual about the Four's success is that they were all in one region. At least casually, the Asian successes look a lot like growth radiating from poles, with Japan followed by the Gang of Four, followed by China, Thailand, Malaysia, and Indonesia. The great success of the Gang of Four does not imply a blanket endorsement of all their policies - they may have made mistakes that were more than offset by other good policies and, probably at least in part, by good luck. It is disturbing how large and transitory the unexplained element is in economic success. Perhaps the best way to think about good policies is that they make success likely sooner or later. When all is said and done, the story of the East Asian successes is consistent with the prosaic fundamentals: investment, education, financial depth, and low budget deficits. In these areas, the Four were above average.", "author" : [ { "dropping-particle" : "", "family" : "Easterly", "given" : "William", "non-dropping-particle" : "", "parse-names" : false, "suffix" : "" } ], "container-title" : "Growth Theories in Light of the East Asian Experience", "id" : "ITEM-1", "issue" : "4", "issued" : { "date-parts" : [ [ "1995" ] ] }, "page" : "267 - 299", "title" : "Explaining Miracles : Growth Regressions Meet the Gang of Four", "type" : "article-journal", "volume" : "11" }, "uris" : [ "http://www.mendeley.com/documents/?uuid=569aff53-e1be-481f-8d40-d42519a5e77a" ] } ], "mendeley" : { "formattedCitation" : "[12]", "plainTextFormattedCitation" : "[12]", "previouslyFormattedCitation" : "[12]"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[12]</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По данным 2017 года Корея, Гонконг, Сингапур и Тайвань входят в двадцатку мировых лидеров по величине экспорта (6, 8, 14 и 15 места соответственно)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"https://www.cia.gov/library/publications/the-world-factbook/rankorder/2078rank.html", "id" : "ITEM-1", "issued" : { "date-parts" : [ [ "0" ] ] }, "title" : "The World Factbook \u2014 Central Intelligence Agency", "type" : "webpage" }, "uris" : [ "http://www.mendeley.com/documents/?uuid=65d757d3-069e-3231-b789-dd06609b99ec" ] } ], "mendeley" : { "formattedCitation" : "[30]", "plainTextFormattedCitation" : "[30]", "previouslyFormattedCitation" : "[30]"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[30]</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Исследование влияния психологической дистанции на экспортные потоки именно этих стран интересно с той точки зрения, что в структуре их внешней торговли сырьевые товары составляют не более 2% (товарная классификация С. Лолла)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"abstract" : "Investigates the export performance of developing countries in East Asia. Details on the technological structure of exports; Information on the growth rates and market shares of exports; Impact of foreign direct investment on export performance.ABSTRACT FROM AUTHOR This paper maps out the recent manufactured export patterns of developing countries, using a new and detailed classification by technological levels. It argues that export structures, being path-dependent and difficult to change, have important implications for growth and development. Low-technology products (which have the least beneficial learning and spillover effects) tend to grow the slowest, and technology-intensive products (which have the most beneficial effects) the fastest in world trade. East Asia dominates the developing country scene, with 70% of total manufactured exports, and its role rises over time. There is also high and rising concentration at the national level. The technological specialization of different regions and the leading exporters differ greatly, as do the strategies used to achieve competitiveness. Received trade theory cannot explain these patterns without considering learning processes and the policies used to promote them. [ABSTRACT FROM AUTHOR]", "author" : [ { "dropping-particle" : "", "family" : "Lall", "given" : "Sanjaya", "non-dropping-particle" : "", "parse-names" : false, "suffix" : "" } ], "container-title" : "Oxford Development Studies", "id" : "ITEM-1", "issue" : "3", "issued" : { "date-parts" : [ [ "2000" ] ] }, "page" : "337-369", "title" : "The Technological Structure and Performance of Developing Country Manufactured Exports, 1985-1998", "type" : "article-journal", "volume" : "28" }, "uris" : [ "http://www.mendeley.com/documents/?uuid=ea95f67b-eac8-4b58-9510-999806ed771d" ] }, { "id" : "ITEM-2", "itemData" : { "URL" : "http://unctadstat.unctad.org/EN/", "id" : "ITEM-2", "issued" : { "date-parts" : [ [ "0" ] ] }, "title" : "UNCTADstat", "type" : "webpage" }, "uris" : [ "http://www.mendeley.com/documents/?uuid=6742cf53-96ec-33af-953f-483714f6d386" ] } ], "mendeley" : { "formattedCitation" : "[21, 31]", "plainTextFormattedCitation" : "[21, 31]", "previouslyFormattedCitation" : "[21, 31]"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[21, 31]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Как известно, влиянию стимулов психологической дистанции подвержены только производственные товары, для которых характерно непостоянство качества, неоднородность и наличие специфических характеристик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"10.1086/296358", "ISBN" : "00219398", "ISSN" : "0021-9398", "abstract" : "What factors influence the level of trade flows that occur between nations? Past studies have answered this question primarily in terms of distance and economic size. The present study considers additional variables as potential determinants of trade relations between nations. Also, trade flows are analyzed by the type of products being exported and imported. The findings show that several additional variables are significant determinants of the level of bilateral trade relations between nations. In addition, it is found that models of trade flows are more appropriate for manufactured goods than they are for basic commodities.", "author" : [ { "dropping-particle" : "", "family" : "Srivastava", "given" : "Rajendra K.", "non-dropping-particle" : "", "parse-names" : false, "suffix" : "" }, { "dropping-particle" : "", "family" : "Green", "given" : "Robert T.", "non-dropping-particle" : "", "parse-names" : false, "suffix" : "" } ], "container-title" : "The Journal of Business", "id" : "ITEM-1", "issue" : "4", "issued" : { "date-parts" : [ [ "1986" ] ] }, "page" : "623-640", "title" : "Determinants of Bilateral Trade Flows", "type" : "article-journal", "volume" : "59" }, "uris" : [ "http://www.mendeley.com/documents/?uuid=fc54e2a9-b861-4393-b5fe-16999c596ec5" ] } ], "mendeley" : { "formattedCitation" : "[28]", "plainTextFormattedCitation" : "[28]", "previouslyFormattedCitation" : "[28]"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Их успех на иностранном рынке во многом зависит от индивидуальных качеств товара и маркетинговой стратегии продавца. Сырьевые продукты, которые стандартизированы и гомогенны, не зависят от культурных, языковых или религиозных различий партнеров, они будут понятны на любом рынке, как «далеко» бы он ни находился. </w:t>
      </w:r>
    </w:p>
    <w:p w14:paraId="23A862E9"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Мы предполагаем, что психологическая дистанция оказывает влияние на экспортные потоки Гонконга, Кореи, Сингапура и Тайваня.  Для проверки данной гипотезы мы руководствовались методом измерения объективных стимулов психологической дистанции. В качестве показателей были зафиксированы культурные, языковые, религиозные, географические, политические и экономические различия, которые, как предполагается, будут оказывать влияние на выбор торгового партнера.</w:t>
      </w:r>
    </w:p>
    <w:p w14:paraId="2C6C88F6"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Культурные различия наиболее значимый и широко исследуемый фактор психологической дистанции, который рассматривался еще Я. Йохасноном, Ф. Виндерсхаймом-Паулем и Э. Вальне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"10.1057/palgrave.jibs.8490676", "ISBN" : "00472506", "ISSN" : "0047-2506", "PMID" : "42", "abstract" : "On the basis of empirical research, a model of the internationalization process of the firm is developed. The model focuses on the gradual acquisition, integration and use of knowledge about foreign markets and operations, and on the incrementally increasing commitments to foreign markets. In particular, attention is concentrated on the increasing involvement in the individual foreign country. *", "author" : [ { "dropping-particle" : "", "family" : "Johanson", "given" : "Jan", "non-dropping-particle" : "", "parse-names" : false, "suffix" : "" }, { "dropping-particle" : "", "family" : "Vahlne", "given" : "Jan-Erik", "non-dropping-particle" : "", "parse-names" : false, "suffix" : "" } ], "container-title" : "Journal of International Business Studies", "id" : "ITEM-1", "issue" : "1", "issued" : { "date-parts" : [ [ "1977" ] ] }, "page" : "23-32", "title" : "The Internationalization Process of the Firm-A Model of Knowledge Development and Increasing Foreign Market", "type" : "article-journal", "volume" : "8" }, "uris" : [ "http://www.mendeley.com/documents/?uuid=823ab14e-b4fc-4817-ad6a-9f2b3ff408c9" ] }, { "id" : "ITEM-2", "itemData" : { "DOI" : "10.1016/j.ibusrev.2015.02.007", "ISBN" : "0969-5931", "ISSN" : "09695931", "PMID" : "108614214", "abstract" : "More often than one might expect, small and new ventures, which already suffer from few resources and a lack of industry legitimacy, take on the additional uncertainties of entry into foreign markets. Some of these foreign entries involve countries that are geographically distant and culturally different from the firm's home country, making foreign market entry all the more difficult and uncertain. Recent studies have criticized prior academic approaches to understanding these difficulties. Insights may be limited if one uses merely the concept of distance and looks primarily for main effects. Entry by new and small ventures into distant foreign markets is complex, and the factors influencing it are interactive. The aim of this conceptual paper is to contribute to an understanding of the stability of the distance factors, and also the interactive effects between distance factors, market attractiveness, and network relationships, with particular attention to small and new ventures.", "author" : [ { "dropping-particle" : "", "family" : "Ojala", "given" : "Arto", "non-dropping-particle" : "", "parse-names" : false, "suffix" : "" } ], "container-title" : "International Business Review", "id" : "ITEM-2", "issue" : "5", "issued" : { "date-parts" : [ [ "2015" ] ] }, "page" : "825-835", "publisher" : "Elsevier Ltd", "title" : "Geographic, cultural, and psychic distance to foreign markets in the context of small and new ventures", "type" : "article-journal", "volume" : "24" }, "uris" : [ "http://www.mendeley.com/documents/?uuid=34a3f5f9-4bd0-4c29-ae4d-aae25a63bc80" ] } ], "mendeley" : { "formattedCitation" : "[18, 23]", "plainTextFormattedCitation" : "[18, 23]", "previouslyFormattedCitation" : "[18, 23]"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[18, 23]</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Особенности национальной культуры влияют на то, как индивиды передают, обрабатывают и воспринимают информацию. </w:t>
      </w:r>
      <w:r w:rsidRPr="0082342D">
        <w:rPr>
          <w:rFonts w:ascii="Times New Roman" w:hAnsi="Times New Roman" w:cs="Times New Roman"/>
          <w:sz w:val="24"/>
          <w:szCs w:val="24"/>
        </w:rPr>
        <w:lastRenderedPageBreak/>
        <w:t xml:space="preserve">Предпочтения, привычки и вкусы иностранного потребителя могут в корне отличаться от тех, которые привык видеть продавец на местом рынке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"10.1016/j.ibusrev.2015.02.007", "ISBN" : "0969-5931", "ISSN" : "09695931", "PMID" : "108614214", "abstract" : "More often than one might expect, small and new ventures, which already suffer from few resources and a lack of industry legitimacy, take on the additional uncertainties of entry into foreign markets. Some of these foreign entries involve countries that are geographically distant and culturally different from the firm's home country, making foreign market entry all the more difficult and uncertain. Recent studies have criticized prior academic approaches to understanding these difficulties. Insights may be limited if one uses merely the concept of distance and looks primarily for main effects. Entry by new and small ventures into distant foreign markets is complex, and the factors influencing it are interactive. The aim of this conceptual paper is to contribute to an understanding of the stability of the distance factors, and also the interactive effects between distance factors, market attractiveness, and network relationships, with particular attention to small and new ventures.", "author" : [ { "dropping-particle" : "", "family" : "Ojala", "given" : "Arto", "non-dropping-particle" : "", "parse-names" : false, "suffix" : "" } ], "container-title" : "International Business Review", "id" : "ITEM-1", "issue" : "5", "issued" : { "date-parts" : [ [ "2015" ] ] }, "page" : "825-835", "publisher" : "Elsevier Ltd", "title" : "Geographic, cultural, and psychic distance to foreign markets in the context of small and new ventures", "type" : "article-journal", "volume" : "24" }, "uris" : [ "http://www.mendeley.com/documents/?uuid=34a3f5f9-4bd0-4c29-ae4d-aae25a63bc80" ] } ], "mendeley" : { "formattedCitation" : "[23]", "plainTextFormattedCitation" : "[23]", "previouslyFormattedCitation" : "[23]"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[23]</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Недостаток знаний и опыта приводит к тому, что различия в культуре недооцениваются. Необоснованное восприятие целевого рынка, как «культурно близкого», может привести к провалу торговой кампании на зарубежном рынке, как это произошло с «</w:t>
      </w:r>
      <w:r w:rsidRPr="0082342D">
        <w:rPr>
          <w:rFonts w:ascii="Times New Roman" w:hAnsi="Times New Roman" w:cs="Times New Roman"/>
          <w:sz w:val="24"/>
          <w:szCs w:val="24"/>
          <w:lang w:val="en-US"/>
        </w:rPr>
        <w:t>Wal</w:t>
      </w:r>
      <w:r w:rsidRPr="0082342D">
        <w:rPr>
          <w:rFonts w:ascii="Times New Roman" w:hAnsi="Times New Roman" w:cs="Times New Roman"/>
          <w:sz w:val="24"/>
          <w:szCs w:val="24"/>
        </w:rPr>
        <w:t>-</w:t>
      </w:r>
      <w:r w:rsidRPr="0082342D">
        <w:rPr>
          <w:rFonts w:ascii="Times New Roman" w:hAnsi="Times New Roman" w:cs="Times New Roman"/>
          <w:sz w:val="24"/>
          <w:szCs w:val="24"/>
          <w:lang w:val="en-US"/>
        </w:rPr>
        <w:t>mart</w:t>
      </w:r>
      <w:r w:rsidRPr="0082342D">
        <w:rPr>
          <w:rFonts w:ascii="Times New Roman" w:hAnsi="Times New Roman" w:cs="Times New Roman"/>
          <w:sz w:val="24"/>
          <w:szCs w:val="24"/>
        </w:rPr>
        <w:t>» при выходе на рынок Германии. Насколько будет понят предлагаемый товар покупателем, зависит успех экономической экспансии. Поэтому, чем больше культурные различия, тем больше риск недопонимания, что, в конечном счете, приводит к увеличению транзакционных издержек и сокращению торговли.</w:t>
      </w:r>
    </w:p>
    <w:p w14:paraId="3BBDD7E2"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Гипотеза 1:</w:t>
      </w:r>
      <w:r w:rsidRPr="0082342D">
        <w:rPr>
          <w:rFonts w:ascii="Times New Roman" w:hAnsi="Times New Roman" w:cs="Times New Roman"/>
          <w:sz w:val="24"/>
          <w:szCs w:val="24"/>
        </w:rPr>
        <w:t xml:space="preserve"> Культурная дистанция будет оказывать отрицательное влияние на объемы экспорта стран.</w:t>
      </w:r>
    </w:p>
    <w:p w14:paraId="3620CC98"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Широко распространённый показатель психологической дистанции – различия в языке. Данный стимул в своих моделях использовали К. Соуза и Ф. Брэдли, А. Арора и А. Фосфури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"10.1509/jimk.14.1.49", "ISBN" : "1069-031X", "ISSN" : "1069-031X", "PMID" : "19918695", "abstract" : "Cultural distance and psychic distance are two concepts that are widely used in the international business literature. A large number of studies use both concepts interchangeably with no clear distinction between them. The authors propose a new model to assess cultural distance and psychic distance sepa- rately. Through the use of survey data of more than 300 man- agers, this article shows that both concepts are conceptually different and that psychic distance is determined by cultural distance and the individual values of the managers. As", "author" : [ { "dropping-particle" : "", "family" : "Sousa", "given" : "Carlos M.P", "non-dropping-particle" : "", "parse-names" : false, "suffix" : "" }, { "dropping-particle" : "", "family" : "Bradley", "given" : "Frank", "non-dropping-particle" : "", "parse-names" : false, "suffix" : "" } ], "container-title" : "Journal of International Marketing", "id" : "ITEM-1", "issue" : "1", "issued" : { "date-parts" : [ [ "2006" ] ] }, "page" : "49-70", "title" : "Cultural Distance and Psychic Distance: Two Peas in a Pod?", "type" : "article-journal", "volume" : "14" }, "uris" : [ "http://www.mendeley.com/documents/?uuid=8f61f147-e93c-4e24-917b-b01f6623db03" ] }, { "id" : "ITEM-2", "itemData" : { "author" : [ { "dropping-particle" : "", "family" : "Arora", "given" : "Ashish", "non-dropping-particle" : "", "parse-names" : false, "suffix" : "" }, { "dropping-particle" : "", "family" : "Fosfuri", "given" : "Andrea", "non-dropping-particle" : "", "parse-names" : false, "suffix" : "" } ], "container-title" : "Journal of International Business Studies ", "id" : "ITEM-2", "issue" : "4", "issued" : { "date-parts" : [ [ "2000" ] ] }, "page" : "555-572", "title" : "Wholly owned subsidiary versus technology licensing in the worldwide chemical industry", "type" : "article-journal", "volume" : "31" }, "uris" : [ "http://www.mendeley.com/documents/?uuid=e68e08b9-0e5d-38f9-adea-8215e337a70c" ] } ], "mendeley" : { "formattedCitation" : "[1, 26]", "plainTextFormattedCitation" : "[1, 26]", "previouslyFormattedCitation" : "[1, 26]"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 26]</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Эффективность коммуникации между иностранными фирмами во многом зависит от владения языком. Языковые различия, как и культурные, будут увеличивать риски, стоимость транзакционных издержек и негативно влиять на объем торговли. </w:t>
      </w:r>
    </w:p>
    <w:p w14:paraId="6B3FEDF5"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К. Бломквист и Р. Дрогендейк, как и Д. Доу и А. Карунаратна одним из стимулов психологической дистанции выделяют религиозные различия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"id" : "ITEM-2", "itemData" : { "DOI" : "10.1007/s11575-012-0147-y", "author" : [ { "dropping-particle" : "", "family" : "Blomkvist", "given" : "Katarina", "non-dropping-particle" : "", "parse-names" : false, "suffix" : "" }, { "dropping-particle" : "", "family" : "Drogendijk", "given" : "Rian", "non-dropping-particle" : "", "parse-names" : false, "suffix" : "" } ], "container-title" : "Management International Review", "id" : "ITEM-2", "issue" : "53", "issued" : { "date-parts" : [ [ "2013" ] ] }, "page" : "659-686", "title" : "The Impact of Psychic Distance on Chinese Outward Foreign Direct Investments", "type" : "article-journal" }, "uris" : [ "http://www.mendeley.com/documents/?uuid=74ce53e9-ca03-4918-bd88-f60c0cce2a7a" ] } ], "mendeley" : { "formattedCitation" : "[5, 11]", "plainTextFormattedCitation" : "[5, 11]", "previouslyFormattedCitation" : "[5, 11]"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[5, 11]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Данный показатель реже исследуются авторами, чем предыдущие. Многие культурные нормы и обычаи произрастают из религии, что порождает недопонимание и конфликты на этой почве. </w:t>
      </w:r>
    </w:p>
    <w:p w14:paraId="20597193"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Показатели различий в индустриальном развитии стран уже долгое время используются ученными в различных методиках анализа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"author" : [ { "dropping-particle" : "", "family" : "Evans", "given" : "Jody", "non-dropping-particle" : "", "parse-names" : false, "suffix" : "" }, { "dropping-particle" : "", "family" : "Mavondo", "given" : "Felix T.", "non-dropping-particle" : "", "parse-names" : false, "suffix" : "" } ], "container-title" : "Journal of International Business Studies", "id" : "ITEM-1", "issue" : "3", "issued" : { "date-parts" : [ [ "2002" ] ] }, "page" : "515-532", "title" : "Psychic of Distance Performance : An Organizational Operations", "type" : "article-journal", "volume" : "33" }, "uris" : [ "http://www.mendeley.com/documents/?uuid=2bc14623-5e0f-4ff7-8794-b9a51f209a75" ] }, { "id" : "ITEM-2", "itemData" : { "DOI" : "10.1057/jibs.2010.28", "ISBN" : "0047-2506 U6 - ctx_ver=Z39.88-2004&amp;ctx_enc=info%3Aofi%2Fenc%3AUTF-8&amp;rfr_id=info:sid/summon.serialssolutions.com&amp;rft_val_fmt=info:ofi/fmt:kev:mtx:journal&amp;rft.genre=article&amp;rft.atitle=An+institutional+approach+to+cross-national+distance&amp;rft.jtitle=Journal+of+International+Business+Studies&amp;rft.au=Berry%2C+Heather&amp;rft.au=Guill%C3%A9n%2C+Mauro+F&amp;rft.au=Zhou%2C+Nan&amp;rft.date=2010-12-01&amp;rft.pub=Palgrave+Macmillan+Journals&amp;rft.issn=0047-2506&amp;rft.volume=41&amp;rft.issue=9&amp;rft.spage=1460&amp;rft.epage=1480&amp;rft.ext", "ISSN" : "00472506", "PMID" : "812102932", "abstract" :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"author" : [ { "dropping-particle" : "", "family" : "Berry", "given" : "Heather", "non-dropping-particle" : "", "parse-names" : false, "suffix" : "" }, { "dropping-particle" : "", "family" : "Guill\u00e9n", "given" : "Mauro F.", "non-dropping-particle" : "", "parse-names" : false, "suffix" : "" }, { "dropping-particle" : "", "family" : "Zhou", "given" : "Nan", "non-dropping-particle" : "", "parse-names" : false, "suffix" : "" } ], "container-title" : "Journal of International Business Studies", "id" : "ITEM-2", "issue" : "9", "issued" : { "date-parts" : [ [ "2010" ] ] }, "page" : "1460-1480", "title" : "An institutional approach to cross-national distance", "type" : "article-journal", "volume" : "41" }, "uris" : [ "http://www.mendeley.com/documents/?uuid=f61814f8-9a6f-40e5-a0c9-04f005fcccf7" ] } ], "mendeley" : { "formattedCitation" : "[4, 14]", "plainTextFormattedCitation" : "[4, 14]", "previouslyFormattedCitation" : "[4, 14]"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[4, 14]</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Например, Х. Берри и Дж. Эванс анализировали отрицательное и положительное влияние различий в экономическом развитии стран. Уровень развития экономики во многом оказывает влияние на стиль и нормы общения в бизнес-среде. Взаимодействие в аграрной стране будет несколько иным, чем в постиндустриальном государстве с большой долей сервиса в экономике. Данные различия между странами будут создавать дополнительные издержки при торговле товарами. </w:t>
      </w:r>
    </w:p>
    <w:p w14:paraId="01D75A51"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Уровень образования в странах – менее популярный фактор, чем индустриальные или языковые различия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"10.1057/palgrave.jibs.8490676", "ISBN" : "00472506", "ISSN" : "0047-2506", "PMID" : "42", "abstract" : "On the basis of empirical research, a model of the internationalization process of the firm is developed. The model focuses on the gradual acquisition, integration and use of knowledge about foreign markets and operations, and on the incrementally increasing commitments to foreign markets. In particular, attention is concentrated on the increasing involvement in the individual foreign country. *", "author" : [ { "dropping-particle" : "", "family" : "Johanson", "given" : "Jan", "non-dropping-particle" : "", "parse-names" : false, "suffix" : "" }, { "dropping-particle" : "", "family" : "Vahlne", "given" : "Jan-Erik", "non-dropping-particle" : "", "parse-names" : false, "suffix" : "" } ], "container-title" : "Journal of International Business Studies", "id" : "ITEM-1", "issue" : "1", "issued" : { "date-parts" : [ [ "1977" ] ] }, "page" : "23-32", "title" : "The Internationalization Process of the Firm-A Model of Knowledge Development and Increasing Foreign Market", "type" : "article-journal", "volume" : "8" }, "uris" : [ "http://www.mendeley.com/documents/?uuid=823ab14e-b4fc-4817-ad6a-9f2b3ff408c9" ] }, { "id" : "ITEM-2",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"ITEM-2", "issue" : "5", "issued" : { "date-parts" : [ [ "2006" ] ] }, "page" : "578-602", "title" : "Developing a multidimensional instrument to measure psychic distance stimuli", "type" : "article-journal", "volume" : "37" }, "uris" : [ "http://www.mendeley.com/documents/?uuid=086adf55-df44-4d08-a732-77e7f7d940d8" ] } ], "mendeley" : { "formattedCitation" : "[11, 18]", "plainTextFormattedCitation" : "[11, 18]", "previouslyFormattedCitation" : "[11, 18]"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 18]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Например, Д. Доу и А. Карунаратна для характеристики этого показателя использовали уровень грамотности, а также процент населения с образованием второго и третьего уровней. От полученного образования во многом зависит, насколько хорошо люди воспринимают и анализируют информацию, поступающую с зарубежного рынка. Различия в образовании увеличивают риски недопонимания и увеличения затрат.</w:t>
      </w:r>
    </w:p>
    <w:p w14:paraId="238A0708"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Государство в большинстве стран мира играет ключевую роль в сфере бизнеса, либо стремится активно воздействовать на него, оказывая большое влияние на структуру и способы взаимодействия организаций. В зависимости от проводимой политики, местные органы власти могут по-разному отреагировать на зарубежную экономическую экспансию. Правительство может как содействовать проникновению зарубежной продукции, так и, напротив, устанавливать барьеры для входа на рынок. В связи с этим множество исследователей, например, П. Брюер, К. Бломквист и Р. Дрогендейк, Х. Берри и др., выделяют политические различия между странами, как один из стимулов психологической дистанции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"10.1177/031289620703200105", "ISSN" : "03128962", "abstract" : "The Uppsala internationalisation model developed the concept of psychic distance in the international business literature and proposed that firms select international markets based on 'psychic proximity'. The actual operationalisation of psychic distance in research is usually undertaken by estimating or calculating in some fashion the real or perceived 'differences' between the firm's environment and target countries. However this does not reflect the original definition of the concept which emphasised the importance of information flows from country market to firm. This paper first demonstrates the wide use of the 'differences' measures in research and shows how that procedure is problematic. The paper suggests measuring psychic distance through not only differences between the firm and the target country but also other important measures of information flow. This is especially relevant to the Australian context where the country market selection of firms does not generally match country similarities. An information based measure of psychic distance is developed and is then applied to psychic distances between Australia and twenty five other countries. Actual Australian exporter behaviour in terms of international market selection supports the predictive powers of the new measure. Suggestions for future research are made.", "author" : [ { "dropping-particle" : "", "family" : "Brewer", "given" : "Paul", "non-dropping-particle" : "", "parse-names" : false, "suffix" : "" } ], "container-title" : "Australian Journal of Management (University of New South Wales)", "id" : "ITEM-1", "issue" : "1", "issued" : { "date-parts" : [ [ "2007" ] ] }, "page" : "73-94", "title" : "Psychic Distance and Australian Export Market Selection", "type" : "article-journal", "volume" : "32" }, "uris" : [ "http://www.mendeley.com/documents/?uuid=d1888811-1295-41c8-97e2-cef153593e71" ] }, { "id" : "ITEM-2", "itemData" : { "DOI" : "10.1007/s11575-012-0147-y", "author" : [ { "dropping-particle" : "", "family" : "Blomkvist", "given" : "Katarina", "non-dropping-particle" : "", "parse-names" : false, "suffix" : "" }, { "dropping-particle" : "", "family" : "Drogendijk", "given" : "Rian", "non-dropping-particle" : "", "parse-names" : false, "suffix" : "" } ], "container-title" : "Management International Review", "id" : "ITEM-2", "issue" : "53", "issued" : { "date-parts" : [ [ "2013" ] ] }, "page" : "659-686", "title" : "The Impact of Psychic Distance on Chinese Outward Foreign Direct Investments", "type" : "article-journal" }, "uris" : [ "http://www.mendeley.com/documents/?uuid=74ce53e9-ca03-4918-bd88-f60c0cce2a7a" ] }, { "id" : "ITEM-3", "itemData" : { "DOI" : "10.1057/jibs.2010.28", "ISBN" : "0047-2506 U6 - ctx_ver=Z39.88-2004&amp;ctx_enc=info%3Aofi%2Fenc%3AUTF-8&amp;rfr_id=info:sid/summon.serialssolutions.com&amp;rft_val_fmt=info:ofi/fmt:kev:mtx:journal&amp;rft.genre=article&amp;rft.atitle=An+institutional+approach+to+cross-national+distance&amp;rft.jtitle=Journal+of+International+Business+Studies&amp;rft.au=Berry%2C+Heather&amp;rft.au=Guill%C3%A9n%2C+Mauro+F&amp;rft.au=Zhou%2C+Nan&amp;rft.date=2010-12-01&amp;rft.pub=Palgrave+Macmillan+Journals&amp;rft.issn=0047-2506&amp;rft.volume=41&amp;rft.issue=9&amp;rft.spage=1460&amp;rft.epage=1480&amp;rft.ext", "ISSN" : "00472506", "PMID" : "812102932", "abstract" :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"author" : [ { "dropping-particle" : "", "family" : "Berry", "given" : "Heather", "non-dropping-particle" : "", "parse-names" : false, "suffix" : "" }, { "dropping-particle" : "", "family" : "Guill\u00e9n", "given" : "Mauro F.", "non-dropping-particle" : "", "parse-names" : false, "suffix" : "" }, { "dropping-particle" : "", "family" : "Zhou", "given" : "Nan", "non-dropping-particle" : "", "parse-names" : false, "suffix" : "" } ], "container-title" : "Journal of International Business Studies", "id" : "ITEM-3", "issue" : "9", "issued" : { "date-parts" : [ [ "2010" ] ] }, "page" : "1460-1480", "title" : "An institutional approach to cross-national distance", "type" : "article-journal", "volume" : "41" }, "uris" : [ "http://www.mendeley.com/documents/?uuid=f61814f8-9a6f-40e5-a0c9-04f005fcccf7" ] } ], "mendeley" : { "formattedCitation" : "[4, 5, 7]", "plainTextFormattedCitation" : "[4, 5, 7]", "previouslyFormattedCitation" : "[4, 5, 7]"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[4, 5, 7]</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w:t>
      </w:r>
    </w:p>
    <w:p w14:paraId="3B24C40A"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Данные показатели с помощью формулы Б. Когута и Х. Сингха мы объединим в один – «психологическая дистанция». Так как все выше указанные стимулы психологической дистанции, как предполагается, оказывают негативное влияние на объем экспорта исследуемых стран, то и общий многомерный показатель должен отражать то же воздействие.</w:t>
      </w:r>
    </w:p>
    <w:p w14:paraId="3B68E59A"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 xml:space="preserve">Гипотеза 2: </w:t>
      </w:r>
      <w:r w:rsidRPr="0082342D">
        <w:rPr>
          <w:rFonts w:ascii="Times New Roman" w:hAnsi="Times New Roman" w:cs="Times New Roman"/>
          <w:sz w:val="24"/>
          <w:szCs w:val="24"/>
        </w:rPr>
        <w:t>Психологическая дистанция оказывает отрицательное влияние на объемы экспорта новых индустриальных стран.</w:t>
      </w:r>
    </w:p>
    <w:p w14:paraId="714C5B10"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lastRenderedPageBreak/>
        <w:t xml:space="preserve">Д. Доу и А. Карунаратна выделили еще один стимул психологической дистанции – временные зоны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"mendeley" : { "formattedCitation" : "[11]", "plainTextFormattedCitation" : "[11]", "previouslyFormattedCitation" : "[11]"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Этот фактор практически не встречается в исследованиях по психологической дистанции, но он, как и другие стимулы, препятствует движению информации между рынками. Разница во времени не создает сложности в восприятии и интерпретации информации, но увеличивает риски, связанные с отсутствием актуальных и своевременных данных, а также усложняет взаимодействие между отдаленными регионами. Мы предполагаем, что данный показатель будет влиять как на производственные, так и на сырьевые товары.</w:t>
      </w:r>
    </w:p>
    <w:p w14:paraId="19421019"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Гипотеза 3:</w:t>
      </w:r>
      <w:r w:rsidRPr="0082342D">
        <w:rPr>
          <w:rFonts w:ascii="Times New Roman" w:hAnsi="Times New Roman" w:cs="Times New Roman"/>
          <w:sz w:val="24"/>
          <w:szCs w:val="24"/>
        </w:rPr>
        <w:t xml:space="preserve"> Различия во временных зонах отрицательно связаны с объемами экспорта.</w:t>
      </w:r>
    </w:p>
    <w:p w14:paraId="4C62BB25"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Наличие соглашений о свободной торговле уменьшает количество барьеров на пути движения информации и упрощает бизнес-процессы. Данный фактор должен содействовать увеличению торговли между странами. Показатель торговых соглашений используется в исследованиях двусторонних торговых потоков Э-С. Дисдиа и К. Хед (Disdier &amp; Head), Р. Шривастава и Р. Грина (Srivastava &amp; Green)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"10.1162/rest.90.1.37", "ISBN" : "0034-6535", "ISSN" : "0034-6535", "abstract" : "One of the best-established empirical results in international economics is that bilateral trade decreases with distance. Although well known, this result has not been systematically analyzed before. We examine 1,467 distance effects estimated in 103 papers. Information collected on each estimate allows us to test hypotheses about the causes of variation in the estimates. Our most interesting finding is that the estimated negative impact of distance on trade rose around the middle of the century and has remained persistently high since then. This result holds even after controlling for many important differences in samples and methods.", "author" : [ { "dropping-particle" : "", "family" : "Disdier", "given" : "Anne-C\u00e9lia", "non-dropping-particle" : "", "parse-names" : false, "suffix" : "" }, { "dropping-particle" : "", "family" : "Head", "given" : "Keith", "non-dropping-particle" : "", "parse-names" : false, "suffix" : "" } ], "container-title" : "Review of Economics and Statistics", "id" : "ITEM-1", "issue" : "1", "issued" : { "date-parts" : [ [ "2008" ] ] }, "page" : "37-48", "title" : "The Puzzling Persistence of the Distance Effect on Bilateral Trade", "type" : "article-journal", "volume" : "90" }, "uris" : [ "http://www.mendeley.com/documents/?uuid=0e3b2d18-5eda-46aa-a1ae-7b675a36f036" ] }, { "id" : "ITEM-2", "itemData" : { "DOI" : "10.1086/296358", "ISBN" : "00219398", "ISSN" : "0021-9398", "abstract" : "What factors influence the level of trade flows that occur between nations? Past studies have answered this question primarily in terms of distance and economic size. The present study considers additional variables as potential determinants of trade relations between nations. Also, trade flows are analyzed by the type of products being exported and imported. The findings show that several additional variables are significant determinants of the level of bilateral trade relations between nations. In addition, it is found that models of trade flows are more appropriate for manufactured goods than they are for basic commodities.", "author" : [ { "dropping-particle" : "", "family" : "Srivastava", "given" : "Rajendra K.", "non-dropping-particle" : "", "parse-names" : false, "suffix" : "" }, { "dropping-particle" : "", "family" : "Green", "given" : "Robert T.", "non-dropping-particle" : "", "parse-names" : false, "suffix" : "" } ], "container-title" : "The Journal of Business", "id" : "ITEM-2", "issue" : "4", "issued" : { "date-parts" : [ [ "1986" ] ] }, "page" : "623-640", "title" : "Determinants of Bilateral Trade Flows", "type" : "article-journal", "volume" : "59" }, "uris" : [ "http://www.mendeley.com/documents/?uuid=fc54e2a9-b861-4393-b5fe-16999c596ec5" ] } ], "mendeley" : { "formattedCitation" : "[8, 28]", "plainTextFormattedCitation" : "[8, 28]", "previouslyFormattedCitation" : "[8, 28]"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[8, 28]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w:t>
      </w:r>
    </w:p>
    <w:p w14:paraId="34142DEE"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b/>
          <w:sz w:val="24"/>
          <w:szCs w:val="24"/>
        </w:rPr>
        <w:t>Гипотеза 4</w:t>
      </w:r>
      <w:r w:rsidRPr="0082342D">
        <w:rPr>
          <w:rFonts w:ascii="Times New Roman" w:hAnsi="Times New Roman" w:cs="Times New Roman"/>
          <w:sz w:val="24"/>
          <w:szCs w:val="24"/>
        </w:rPr>
        <w:t xml:space="preserve">: Соглашения о свободной торговле положительно связаны с объемами экспорта. </w:t>
      </w:r>
    </w:p>
    <w:p w14:paraId="557B440E"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В данной статье мы оценивали влияние стимулов психологической дистанции на экспортные потоки РФ, руководствуясь результатами, полученными Д. Доу и А. Карунаратна в их статье «Разработка многофакторного инструмента для измерения стимулов психологической дистанции»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"mendeley" : { "formattedCitation" : "[11]", "plainTextFormattedCitation" : "[11]", "previouslyFormattedCitation" : "[11]"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Для расчетов были взяты готовые данные, рассчитанные для пяти факторов психологической дистанции Д. Доу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"https://sites.google.com/site/ddowresearch/home", "id" : "ITEM-1", "issued" : { "date-parts" : [ [ "0" ] ] }, "title" : "Melbourne Business School", "type" : "webpage" }, "uris" : [ "http://www.mendeley.com/documents/?uuid=15d01995-7ee8-3201-a510-2c7d0bf5ed49" ] }, { "id" : "ITEM-2", "itemData" : { "URL" : "http://worldchristiandatabase.org/wcd/about/more.asp", "id" : "ITEM-2", "issued" : { "date-parts" : [ [ "0" ] ] }, "title" : "World Christian Database", "type" : "webpage" }, "uris" : [ "http://www.mendeley.com/documents/?uuid=f42d55d8-5dfa-384f-bc6b-147939198d30" ] }, { "id" : "ITEM-3", "itemData" : { "URL" : "https://www.cia.gov/library/publications/download/download-2002/index.html", "id" : "ITEM-3", "issued" : { "date-parts" : [ [ "0" ] ] }, "title" : "CIA Factbook, 2002", "type" : "webpage" }, "uris" : [ "http://www.mendeley.com/documents/?uuid=5b375188-824f-35ea-b9f1-448c6ce960a3" ] }, { "id" : "ITEM-4", "itemData" : { "URL" : "http://www.jewishagency.org/", "id" : "ITEM-4", "issued" : { "date-parts" : [ [ "0" ] ] }, "title" : "The Jewish Agency", "type" : "webpage" }, "uris" : [ "http://www.mendeley.com/documents/?uuid=077b1f4a-86b7-3d53-8aec-9aceafe2053b" ] }, { "id" : "ITEM-5", "itemData" : { "URL" : "https://unstats.un.org/unsd/demographic/products/socind/", "id" : "ITEM-5", "issued" : { "date-parts" : [ [ "0" ] ] }, "title" : "United Nations Statistics Division - Demographic and Social Statistics", "type" : "webpage" }, "uris" : [ "http://www.mendeley.com/documents/?uuid=88b93233-777c-320f-9ecb-996caeb0fc23" ] }, { "id" : "ITEM-6", "itemData" : { "URL" : "https://unstats.un.org/unsd/publications/statistical-yearbook/past-issues/", "id" : "ITEM-6", "issued" : { "date-parts" : [ [ "0" ] ] }, "title" : "UNSD \u2014 Statistical Yearbook", "type" : "webpage" }, "uris" : [ "http://www.mendeley.com/documents/?uuid=947c62a2-f3ac-3e0a-9f67-a2a564ba0c40" ] }, { "id" : "ITEM-7", "itemData" : { "abstract" : "This article forges an explicit link between an objective measure of political constraints and variation in cross-national growth rates. It derives a new measure of political constraints from a simple spatial model of political interaction that incorporates information on the number of independent branches of government with veto power and the distribution of preferences across and within those branches. The derived variable is found to have a statistically and economically significant impact on growth rates using simple ordinary least squares, three-stage least squares and generalized method of moments estimation techniques.", "author" : [ { "dropping-particle" : "", "family" : "Henisz", "given" : "Witold J", "non-dropping-particle" : "", "parse-names" : false, "suffix" : "" } ], "container-title" : "Economics and Politics", "id" : "ITEM-7", "issue" : "1", "issued" : { "date-parts" : [ [ "2000" ] ] }, "page" : "1-31", "title" : "The Institutional Environment for Economic Growth", "type" : "article-journal", "volume" : "12" }, "uris" : [ "http://www.mendeley.com/documents/?uuid=ae2ef0bd-38b4-32c8-acdb-7a8d2cc6ef03" ] }, { "id" : "ITEM-8", "itemData" : { "URL" : "https://freedomhouse.org/", "id" : "ITEM-8", "issued" : { "date-parts" : [ [ "0" ] ] }, "title" : "Freedom House | Championing Democracy", "type" : "webpage" }, "uris" : [ "http://www.mendeley.com/documents/?uuid=af7ad6a6-f035-394c-993f-2ff62f1c5f73" ] }, { "id" : "ITEM-9", "itemData" : { "author" : [ { "dropping-particle" : "", "family" : "Beck", "given" : "Thorsten", "non-dropping-particle" : "", "parse-names" : false, "suffix" : "" }, { "dropping-particle" : "", "family" : "Clarke", "given" : "George", "non-dropping-particle" : "", "parse-names" : false, "suffix" : "" }, { "dropping-particle" : "", "family" : "Groff", "given" : "Alberto", "non-dropping-particle" : "", "parse-names" : false, "suffix" : "" }, { "dropping-particle" : "", "family" : "Keefer", "given" : "Philip", "non-dropping-particle" : "", "parse-names" : false, "suffix" : "" }, { "dropping-particle" : "", "family" : "Walsh", "given" : "Patrick", "non-dropping-particle" : "", "parse-names" : false, "suffix" : "" } ], "container-title" : "Source: The World Bank Economic Review", "id" : "ITEM-9", "issue" : "1", "issued" : { "date-parts" : [ [ "2001" ] ] }, "page" : "165-176", "title" : "New Tools in Comparative Political Economy: The Database of Political Institutions", "type" : "article-journal", "volume" : "15" }, "uris" : [ "http://www.mendeley.com/documents/?uuid=02dd4e9e-9c85-35ed-8dac-66557d22d2df" ] } ], "mendeley" : { "formattedCitation" : "[2, 16, 32\u201338]", "plainTextFormattedCitation" : "[2, 16, 32\u201338]", "previouslyFormattedCitation" : "[2, 16, 32\u201338]"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 16, 32–38]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Хотя автор приводит данные для 120 стран мира, в данной работе мы использовали информацию только для 89 стран. Это связано с отсутствием торговли между странами или показателей культурной дистанции Хофстеде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"https://www.hofstede-insights.com/models/national-culture/", "id" : "ITEM-1", "issued" : { "date-parts" : [ [ "0" ] ] }, "title" : "National Culture - Hofstede Insights", "type" : "webpage" }, "uris" : [ "http://www.mendeley.com/documents/?uuid=9ec7ce2a-6240-36f8-80b1-3300ebfd61a1" ] } ], "mendeley" : { "formattedCitation" : "[39]", "plainTextFormattedCitation" : "[39]", "previouslyFormattedCitation" : "[39]"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[39]</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w:t>
      </w:r>
    </w:p>
    <w:p w14:paraId="1F80D9E6"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Данные сайта ЮНКТАДа позволили собрать информацию об объеме экспорта Гонконга, Кореи, Сингапура и Тайваня за 2016 г. по странам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"http://unctad.org/en/Pages/Home.aspx", "id" : "ITEM-1", "issued" : { "date-parts" : [ [ "0" ] ] }, "title" : "UNCTAD", "type" : "webpage" }, "uris" : [ "http://www.mendeley.com/documents/?uuid=c1adee91-1ff4-3be4-9f0d-26f17d74b221" ] } ], "mendeley" : { "formattedCitation" : "[40]", "plainTextFormattedCitation" : "[40]", "previouslyFormattedCitation" : "[40]"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[40]</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Данные географического расстояния были взяты с сайта французского исследовательского центра </w:t>
      </w:r>
      <w:r w:rsidRPr="0082342D">
        <w:rPr>
          <w:rFonts w:ascii="Times New Roman" w:hAnsi="Times New Roman" w:cs="Times New Roman"/>
          <w:sz w:val="24"/>
          <w:szCs w:val="24"/>
          <w:lang w:val="en-US"/>
        </w:rPr>
        <w:t>CEPII</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"http://www.cepii.fr/cepii/en/bdd_modele/presentation.asp?id=6", "id" : "ITEM-1", "issued" : { "date-parts" : [ [ "0" ] ] }, "title" : "CEPII - GeoDist", "type" : "webpage" }, "uris" : [ "http://www.mendeley.com/documents/?uuid=a4c4b0c2-5849-3e43-81f0-f3292d5e3797" ] } ], "mendeley" : { "formattedCitation" : "[41]", "plainTextFormattedCitation" : "[41]", "previouslyFormattedCitation" : "[41]"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[41]</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Данные по ВВП рассчитаны в текущих долларах США на 2016 г. Всемирным банком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"https://data.worldbank.org/indicator/NY.GDP.MKTP.CD", "id" : "ITEM-1", "issued" : { "date-parts" : [ [ "0" ] ] }, "title" : "The World Bank", "type" : "webpage" }, "uris" : [ "http://www.mendeley.com/documents/?uuid=2923d538-8fed-3928-a6fb-d304be691218" ] } ], "mendeley" : { "formattedCitation" : "[42]", "plainTextFormattedCitation" : "[42]", "previouslyFormattedCitation" : "[42]"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[42]</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w:t>
      </w:r>
    </w:p>
    <w:p w14:paraId="4E19F5F1"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Для оценки культурной дистанции было решено использовать измерения, предложенные в 1980 г. Г. Хофстеде (</w:t>
      </w:r>
      <w:r w:rsidRPr="0082342D">
        <w:rPr>
          <w:rFonts w:ascii="Times New Roman" w:hAnsi="Times New Roman" w:cs="Times New Roman"/>
          <w:sz w:val="24"/>
          <w:szCs w:val="24"/>
          <w:lang w:val="en-US"/>
        </w:rPr>
        <w:t>Hofstede</w:t>
      </w:r>
      <w:r w:rsidRPr="0082342D">
        <w:rPr>
          <w:rFonts w:ascii="Times New Roman" w:hAnsi="Times New Roman" w:cs="Times New Roman"/>
          <w:sz w:val="24"/>
          <w:szCs w:val="24"/>
        </w:rPr>
        <w:t>). Он предложил измерение культурных особенностей стран по четырем показателям (</w:t>
      </w:r>
      <w:r w:rsidRPr="0082342D">
        <w:rPr>
          <w:rFonts w:ascii="Times New Roman" w:hAnsi="Times New Roman" w:cs="Times New Roman"/>
          <w:sz w:val="24"/>
          <w:szCs w:val="24"/>
          <w:lang w:val="en-US"/>
        </w:rPr>
        <w:t>PDI</w:t>
      </w:r>
      <w:r w:rsidRPr="0082342D">
        <w:rPr>
          <w:rFonts w:ascii="Times New Roman" w:hAnsi="Times New Roman" w:cs="Times New Roman"/>
          <w:sz w:val="24"/>
          <w:szCs w:val="24"/>
        </w:rPr>
        <w:t xml:space="preserve"> – </w:t>
      </w:r>
      <w:r w:rsidRPr="0082342D">
        <w:rPr>
          <w:rFonts w:ascii="Times New Roman" w:hAnsi="Times New Roman" w:cs="Times New Roman"/>
          <w:sz w:val="24"/>
          <w:szCs w:val="24"/>
          <w:lang w:val="en-US"/>
        </w:rPr>
        <w:t>Power</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Distance</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IDV</w:t>
      </w:r>
      <w:r w:rsidRPr="0082342D">
        <w:rPr>
          <w:rFonts w:ascii="Times New Roman" w:hAnsi="Times New Roman" w:cs="Times New Roman"/>
          <w:sz w:val="24"/>
          <w:szCs w:val="24"/>
        </w:rPr>
        <w:t xml:space="preserve"> – </w:t>
      </w:r>
      <w:r w:rsidRPr="0082342D">
        <w:rPr>
          <w:rFonts w:ascii="Times New Roman" w:hAnsi="Times New Roman" w:cs="Times New Roman"/>
          <w:sz w:val="24"/>
          <w:szCs w:val="24"/>
          <w:lang w:val="en-US"/>
        </w:rPr>
        <w:t>Individualism</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MAS</w:t>
      </w:r>
      <w:r w:rsidRPr="0082342D">
        <w:rPr>
          <w:rFonts w:ascii="Times New Roman" w:hAnsi="Times New Roman" w:cs="Times New Roman"/>
          <w:sz w:val="24"/>
          <w:szCs w:val="24"/>
        </w:rPr>
        <w:t xml:space="preserve"> – </w:t>
      </w:r>
      <w:r w:rsidRPr="0082342D">
        <w:rPr>
          <w:rFonts w:ascii="Times New Roman" w:hAnsi="Times New Roman" w:cs="Times New Roman"/>
          <w:sz w:val="24"/>
          <w:szCs w:val="24"/>
          <w:lang w:val="en-US"/>
        </w:rPr>
        <w:t>Masculinity</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UAI</w:t>
      </w:r>
      <w:r w:rsidRPr="0082342D">
        <w:rPr>
          <w:rFonts w:ascii="Times New Roman" w:hAnsi="Times New Roman" w:cs="Times New Roman"/>
          <w:sz w:val="24"/>
          <w:szCs w:val="24"/>
        </w:rPr>
        <w:t xml:space="preserve"> – </w:t>
      </w:r>
      <w:r w:rsidRPr="0082342D">
        <w:rPr>
          <w:rFonts w:ascii="Times New Roman" w:hAnsi="Times New Roman" w:cs="Times New Roman"/>
          <w:sz w:val="24"/>
          <w:szCs w:val="24"/>
          <w:lang w:val="en-US"/>
        </w:rPr>
        <w:t>Uncertainty</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Avoidance</w:t>
      </w:r>
      <w:r w:rsidRPr="0082342D">
        <w:rPr>
          <w:rFonts w:ascii="Times New Roman" w:hAnsi="Times New Roman" w:cs="Times New Roman"/>
          <w:sz w:val="24"/>
          <w:szCs w:val="24"/>
        </w:rPr>
        <w:t xml:space="preserve">) для 40 крупнейших стран мира. В 1991 г. учёный добавил в модель пятый показатель </w:t>
      </w:r>
      <w:r w:rsidRPr="0082342D">
        <w:rPr>
          <w:rFonts w:ascii="Times New Roman" w:hAnsi="Times New Roman" w:cs="Times New Roman"/>
          <w:sz w:val="24"/>
          <w:szCs w:val="24"/>
          <w:lang w:val="en-US"/>
        </w:rPr>
        <w:t>LTO</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Long</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Term</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Orientation</w:t>
      </w:r>
      <w:r w:rsidRPr="0082342D">
        <w:rPr>
          <w:rFonts w:ascii="Times New Roman" w:hAnsi="Times New Roman" w:cs="Times New Roman"/>
          <w:sz w:val="24"/>
          <w:szCs w:val="24"/>
        </w:rPr>
        <w:t xml:space="preserve">). К 2010 г. Г. Хофстеде стал использовать шестой показатель </w:t>
      </w:r>
      <w:r w:rsidRPr="0082342D">
        <w:rPr>
          <w:rFonts w:ascii="Times New Roman" w:hAnsi="Times New Roman" w:cs="Times New Roman"/>
          <w:sz w:val="24"/>
          <w:szCs w:val="24"/>
          <w:lang w:val="en-US"/>
        </w:rPr>
        <w:t>IND</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Indulgence</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versus</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restraint</w:t>
      </w:r>
      <w:r w:rsidRPr="0082342D">
        <w:rPr>
          <w:rFonts w:ascii="Times New Roman" w:hAnsi="Times New Roman" w:cs="Times New Roman"/>
          <w:sz w:val="24"/>
          <w:szCs w:val="24"/>
        </w:rPr>
        <w:t>) и измерения уже были сделаны для 93 стран. В последующем Б. Когут и Х. Сингх (</w:t>
      </w:r>
      <w:r w:rsidRPr="0082342D">
        <w:rPr>
          <w:rFonts w:ascii="Times New Roman" w:hAnsi="Times New Roman" w:cs="Times New Roman"/>
          <w:sz w:val="24"/>
          <w:szCs w:val="24"/>
          <w:lang w:val="en-US"/>
        </w:rPr>
        <w:t>Kogut</w:t>
      </w:r>
      <w:r w:rsidRPr="0082342D">
        <w:rPr>
          <w:rFonts w:ascii="Times New Roman" w:hAnsi="Times New Roman" w:cs="Times New Roman"/>
          <w:sz w:val="24"/>
          <w:szCs w:val="24"/>
        </w:rPr>
        <w:t xml:space="preserve"> &amp; </w:t>
      </w:r>
      <w:r w:rsidRPr="0082342D">
        <w:rPr>
          <w:rFonts w:ascii="Times New Roman" w:hAnsi="Times New Roman" w:cs="Times New Roman"/>
          <w:sz w:val="24"/>
          <w:szCs w:val="24"/>
          <w:lang w:val="en-US"/>
        </w:rPr>
        <w:t>Singh</w:t>
      </w:r>
      <w:r w:rsidRPr="0082342D">
        <w:rPr>
          <w:rFonts w:ascii="Times New Roman" w:hAnsi="Times New Roman" w:cs="Times New Roman"/>
          <w:sz w:val="24"/>
          <w:szCs w:val="24"/>
        </w:rPr>
        <w:t xml:space="preserve">) разработали формулу, с помощью которой объединили 4 основных показателя в один, характеризующий разницу между национальными культурами двух стран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"10.1057/palgrave.jibs.8490394", "ISBN" : "00472506", "ISSN" : "0047-2506", "PMID" : "4667181", "abstract" : "Characteristics of national cultures have frequently been claimed to influence the selection of entry modes. This article investigates this claim by developing a theoretical argument for why culture should influence the choice of entry. Two hypotheses are derived which relate culture to entry mode choice, one focusing on the cultural distance between countries, the other on attitudes towards uncertainty avoidance. Using a multinomial logit model and controlling for other effects, the hypotheses are tested by analysing data on 228 entries into the United States market by acquisition, wholly owned greenfield, and joint venture. Empirical support for the effect of national culture on entry choice is found.", "author" : [ { "dropping-particle" : "", "family" : "Kogut", "given" : "Bruce", "non-dropping-particle" : "", "parse-names" : false, "suffix" : "" }, { "dropping-particle" : "", "family" : "Singh", "given" : "Harbir", "non-dropping-particle" : "", "parse-names" : false, "suffix" : "" } ], "container-title" : "Journal of International Business Studies", "id" : "ITEM-1", "issue" : "3", "issued" : { "date-parts" : [ [ "1988" ] ] }, "page" : "411-432", "title" : "the Effectof Nationalcultureon the Choiceof Entrymode", "type" : "article-journal", "volume" : "19" }, "uris" : [ "http://www.mendeley.com/documents/?uuid=08b10cb0-94a5-4610-a8bc-ea98ee7e2e05" ] } ], "mendeley" : { "formattedCitation" : "[20]", "plainTextFormattedCitation" : "[20]", "previouslyFormattedCitation" : "[20]"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[20]</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w:t>
      </w:r>
    </w:p>
    <w:p w14:paraId="05EAEB37"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Культурная дистанция была рассчитана на основе шести показателей Хофстеде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"https://www.hofstede-insights.com/models/national-culture/", "id" : "ITEM-1", "issued" : { "date-parts" : [ [ "0" ] ] }, "title" : "National Culture - Hofstede Insights", "type" : "webpage" }, "uris" : [ "http://www.mendeley.com/documents/?uuid=9ec7ce2a-6240-36f8-80b1-3300ebfd61a1" ] } ], "mendeley" : { "formattedCitation" : "[39]", "plainTextFormattedCitation" : "[39]", "previouslyFormattedCitation" : "[39]"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[39]</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с помощью комплексного индекса Б. Когута и Х. Сингха</w:t>
      </w:r>
    </w:p>
    <w:p w14:paraId="2DE403A5" w14:textId="77777777" w:rsidR="002245D5" w:rsidRPr="0082342D" w:rsidRDefault="002245D5" w:rsidP="0082342D">
      <w:pPr>
        <w:spacing w:after="0" w:line="240" w:lineRule="auto"/>
        <w:ind w:firstLine="709"/>
        <w:jc w:val="both"/>
        <w:rPr>
          <w:rFonts w:ascii="Times New Roman" w:hAnsi="Times New Roman" w:cs="Times New Roman"/>
          <w:sz w:val="24"/>
          <w:szCs w:val="24"/>
        </w:rPr>
      </w:pPr>
    </w:p>
    <w:p w14:paraId="0DCE27B8" w14:textId="77777777" w:rsidR="002245D5" w:rsidRPr="0082342D" w:rsidRDefault="002245D5" w:rsidP="0082342D">
      <w:pPr>
        <w:spacing w:after="0" w:line="240" w:lineRule="auto"/>
        <w:ind w:firstLine="709"/>
        <w:jc w:val="both"/>
        <w:rPr>
          <w:rFonts w:ascii="Times New Roman" w:hAnsi="Times New Roman" w:cs="Times New Roman"/>
          <w:sz w:val="24"/>
          <w:szCs w:val="24"/>
          <w:lang w:val="pt-BR"/>
        </w:rPr>
      </w:pPr>
      <m:oMath>
        <m:r>
          <w:rPr>
            <w:rFonts w:ascii="Cambria Math" w:hAnsi="Cambria Math" w:cs="Times New Roman"/>
            <w:sz w:val="24"/>
            <w:szCs w:val="24"/>
            <w:lang w:val="pt-BR"/>
          </w:rPr>
          <m:t>CD</m:t>
        </m:r>
        <m:r>
          <w:rPr>
            <w:rFonts w:ascii="Cambria Math" w:hAnsi="Times New Roman" w:cs="Times New Roman"/>
            <w:sz w:val="24"/>
            <w:szCs w:val="24"/>
            <w:lang w:val="pt-BR"/>
          </w:rPr>
          <m:t xml:space="preserve"> = </m:t>
        </m:r>
        <m:r>
          <w:rPr>
            <w:rFonts w:ascii="Cambria Math" w:hAnsi="Times New Roman" w:cs="Times New Roman"/>
            <w:sz w:val="24"/>
            <w:szCs w:val="24"/>
            <w:lang w:val="pt-BR"/>
          </w:rPr>
          <m:t>∑</m:t>
        </m:r>
        <m:r>
          <w:rPr>
            <w:rFonts w:ascii="Cambria Math" w:hAnsi="Times New Roman" w:cs="Times New Roman"/>
            <w:sz w:val="24"/>
            <w:szCs w:val="24"/>
            <w:lang w:val="pt-BR"/>
          </w:rPr>
          <m:t>{(</m:t>
        </m:r>
        <m:r>
          <w:rPr>
            <w:rFonts w:ascii="Cambria Math" w:hAnsi="Cambria Math" w:cs="Times New Roman"/>
            <w:sz w:val="24"/>
            <w:szCs w:val="24"/>
            <w:lang w:val="pt-BR"/>
          </w:rPr>
          <m:t>I</m:t>
        </m:r>
        <m:r>
          <w:rPr>
            <w:rFonts w:ascii="Cambria Math" w:hAnsi="Cambria Math" w:cs="Times New Roman"/>
            <w:sz w:val="24"/>
            <w:szCs w:val="24"/>
            <w:vertAlign w:val="subscript"/>
            <w:lang w:val="pt-BR"/>
          </w:rPr>
          <m:t>i</m:t>
        </m:r>
        <m:r>
          <w:rPr>
            <w:rFonts w:ascii="Times New Roman" w:hAnsi="Times New Roman" w:cs="Times New Roman"/>
            <w:sz w:val="24"/>
            <w:szCs w:val="24"/>
            <w:lang w:val="pt-BR"/>
          </w:rPr>
          <m:t>-</m:t>
        </m:r>
        <m:r>
          <w:rPr>
            <w:rFonts w:ascii="Cambria Math" w:hAnsi="Times New Roman" w:cs="Times New Roman"/>
            <w:sz w:val="24"/>
            <w:szCs w:val="24"/>
            <w:lang w:val="pt-BR"/>
          </w:rPr>
          <m:t xml:space="preserve"> </m:t>
        </m:r>
        <m:r>
          <w:rPr>
            <w:rFonts w:ascii="Cambria Math" w:hAnsi="Cambria Math" w:cs="Times New Roman"/>
            <w:sz w:val="24"/>
            <w:szCs w:val="24"/>
            <w:lang w:val="pt-BR"/>
          </w:rPr>
          <m:t>I</m:t>
        </m:r>
        <m:r>
          <w:rPr>
            <w:rFonts w:ascii="Cambria Math" w:hAnsi="Cambria Math" w:cs="Times New Roman"/>
            <w:sz w:val="24"/>
            <w:szCs w:val="24"/>
            <w:vertAlign w:val="subscript"/>
            <w:lang w:val="pt-BR"/>
          </w:rPr>
          <m:t>j</m:t>
        </m:r>
        <m:r>
          <w:rPr>
            <w:rFonts w:ascii="Cambria Math" w:hAnsi="Times New Roman" w:cs="Times New Roman"/>
            <w:sz w:val="24"/>
            <w:szCs w:val="24"/>
            <w:lang w:val="pt-BR"/>
          </w:rPr>
          <m:t>)</m:t>
        </m:r>
        <m:r>
          <w:rPr>
            <w:rFonts w:ascii="Cambria Math" w:hAnsi="Times New Roman" w:cs="Times New Roman"/>
            <w:sz w:val="24"/>
            <w:szCs w:val="24"/>
            <w:vertAlign w:val="superscript"/>
            <w:lang w:val="pt-BR"/>
          </w:rPr>
          <m:t>2</m:t>
        </m:r>
        <m:r>
          <w:rPr>
            <w:rFonts w:ascii="Cambria Math" w:hAnsi="Times New Roman" w:cs="Times New Roman"/>
            <w:sz w:val="24"/>
            <w:szCs w:val="24"/>
            <w:lang w:val="pt-BR"/>
          </w:rPr>
          <m:t>/</m:t>
        </m:r>
        <m:r>
          <w:rPr>
            <w:rFonts w:ascii="Cambria Math" w:hAnsi="Cambria Math" w:cs="Times New Roman"/>
            <w:sz w:val="24"/>
            <w:szCs w:val="24"/>
            <w:lang w:val="pt-BR"/>
          </w:rPr>
          <m:t>V</m:t>
        </m:r>
        <m:r>
          <w:rPr>
            <w:rFonts w:ascii="Cambria Math" w:hAnsi="Times New Roman" w:cs="Times New Roman"/>
            <w:sz w:val="24"/>
            <w:szCs w:val="24"/>
            <w:lang w:val="pt-BR"/>
          </w:rPr>
          <m:t>}/</m:t>
        </m:r>
        <m:r>
          <w:rPr>
            <w:rFonts w:ascii="Cambria Math" w:hAnsi="Cambria Math" w:cs="Times New Roman"/>
            <w:sz w:val="24"/>
            <w:szCs w:val="24"/>
            <w:lang w:val="pt-BR"/>
          </w:rPr>
          <m:t>n</m:t>
        </m:r>
      </m:oMath>
      <w:r w:rsidRPr="0082342D">
        <w:rPr>
          <w:rFonts w:ascii="Times New Roman" w:hAnsi="Times New Roman" w:cs="Times New Roman"/>
          <w:sz w:val="24"/>
          <w:szCs w:val="24"/>
          <w:lang w:val="pt-BR"/>
        </w:rPr>
        <w:t xml:space="preserve">, </w:t>
      </w:r>
      <w:r w:rsidRPr="0082342D">
        <w:rPr>
          <w:rFonts w:ascii="Times New Roman" w:hAnsi="Times New Roman" w:cs="Times New Roman"/>
          <w:sz w:val="24"/>
          <w:szCs w:val="24"/>
        </w:rPr>
        <w:t>где</w:t>
      </w:r>
      <w:r w:rsidRPr="0082342D">
        <w:rPr>
          <w:rFonts w:ascii="Times New Roman" w:hAnsi="Times New Roman" w:cs="Times New Roman"/>
          <w:sz w:val="24"/>
          <w:szCs w:val="24"/>
          <w:lang w:val="pt-BR"/>
        </w:rPr>
        <w:t xml:space="preserve"> </w:t>
      </w:r>
    </w:p>
    <w:p w14:paraId="62431CDC" w14:textId="77777777" w:rsidR="002245D5" w:rsidRPr="0082342D" w:rsidRDefault="002245D5" w:rsidP="0082342D">
      <w:pPr>
        <w:spacing w:after="0" w:line="240" w:lineRule="auto"/>
        <w:ind w:firstLine="709"/>
        <w:jc w:val="both"/>
        <w:rPr>
          <w:rFonts w:ascii="Times New Roman" w:hAnsi="Times New Roman" w:cs="Times New Roman"/>
          <w:sz w:val="24"/>
          <w:szCs w:val="24"/>
          <w:lang w:val="pt-BR"/>
        </w:rPr>
      </w:pPr>
    </w:p>
    <w:p w14:paraId="3686F553"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lang w:val="en-US"/>
        </w:rPr>
        <w:t>I</w:t>
      </w:r>
      <w:r w:rsidRPr="0082342D">
        <w:rPr>
          <w:rFonts w:ascii="Times New Roman" w:hAnsi="Times New Roman" w:cs="Times New Roman"/>
          <w:sz w:val="24"/>
          <w:szCs w:val="24"/>
          <w:vertAlign w:val="subscript"/>
          <w:lang w:val="en-US"/>
        </w:rPr>
        <w:t>ij</w:t>
      </w:r>
      <w:r w:rsidRPr="0082342D">
        <w:rPr>
          <w:rFonts w:ascii="Times New Roman" w:hAnsi="Times New Roman" w:cs="Times New Roman"/>
          <w:sz w:val="24"/>
          <w:szCs w:val="24"/>
          <w:vertAlign w:val="subscript"/>
        </w:rPr>
        <w:t xml:space="preserve"> </w:t>
      </w:r>
      <w:r w:rsidRPr="0082342D">
        <w:rPr>
          <w:rFonts w:ascii="Times New Roman" w:hAnsi="Times New Roman" w:cs="Times New Roman"/>
          <w:sz w:val="24"/>
          <w:szCs w:val="24"/>
        </w:rPr>
        <w:t xml:space="preserve">– культурный показатель для </w:t>
      </w:r>
      <w:r w:rsidRPr="0082342D">
        <w:rPr>
          <w:rFonts w:ascii="Times New Roman" w:hAnsi="Times New Roman" w:cs="Times New Roman"/>
          <w:sz w:val="24"/>
          <w:szCs w:val="24"/>
          <w:lang w:val="en-US"/>
        </w:rPr>
        <w:t>i</w:t>
      </w:r>
      <w:r w:rsidRPr="0082342D">
        <w:rPr>
          <w:rFonts w:ascii="Times New Roman" w:hAnsi="Times New Roman" w:cs="Times New Roman"/>
          <w:sz w:val="24"/>
          <w:szCs w:val="24"/>
        </w:rPr>
        <w:t xml:space="preserve"> и </w:t>
      </w:r>
      <w:r w:rsidRPr="0082342D">
        <w:rPr>
          <w:rFonts w:ascii="Times New Roman" w:hAnsi="Times New Roman" w:cs="Times New Roman"/>
          <w:sz w:val="24"/>
          <w:szCs w:val="24"/>
          <w:lang w:val="en-US"/>
        </w:rPr>
        <w:t>j</w:t>
      </w:r>
      <w:r w:rsidRPr="0082342D">
        <w:rPr>
          <w:rFonts w:ascii="Times New Roman" w:hAnsi="Times New Roman" w:cs="Times New Roman"/>
          <w:sz w:val="24"/>
          <w:szCs w:val="24"/>
        </w:rPr>
        <w:t xml:space="preserve"> страны соответственно, </w:t>
      </w:r>
      <w:r w:rsidRPr="0082342D">
        <w:rPr>
          <w:rFonts w:ascii="Times New Roman" w:hAnsi="Times New Roman" w:cs="Times New Roman"/>
          <w:sz w:val="24"/>
          <w:szCs w:val="24"/>
          <w:lang w:val="en-US"/>
        </w:rPr>
        <w:t>V</w:t>
      </w:r>
      <w:r w:rsidRPr="0082342D">
        <w:rPr>
          <w:rFonts w:ascii="Times New Roman" w:hAnsi="Times New Roman" w:cs="Times New Roman"/>
          <w:sz w:val="24"/>
          <w:szCs w:val="24"/>
        </w:rPr>
        <w:t xml:space="preserve"> – дисперсия, </w:t>
      </w:r>
      <w:r w:rsidRPr="0082342D">
        <w:rPr>
          <w:rFonts w:ascii="Times New Roman" w:hAnsi="Times New Roman" w:cs="Times New Roman"/>
          <w:sz w:val="24"/>
          <w:szCs w:val="24"/>
          <w:lang w:val="en-US"/>
        </w:rPr>
        <w:t>n</w:t>
      </w:r>
      <w:r w:rsidRPr="0082342D">
        <w:rPr>
          <w:rFonts w:ascii="Times New Roman" w:hAnsi="Times New Roman" w:cs="Times New Roman"/>
          <w:sz w:val="24"/>
          <w:szCs w:val="24"/>
        </w:rPr>
        <w:t xml:space="preserve"> – количество слагаемых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"10.1057/palgrave.jibs.8490394", "ISBN" : "00472506", "ISSN" : "0047-2506", "PMID" : "4667181", "abstract" : "Characteristics of national cultures have frequently been claimed to influence the selection of entry modes. This article investigates this claim by developing a theoretical argument for why culture should influence the choice of entry. Two hypotheses are derived which relate culture to entry mode choice, one focusing on the cultural distance between countries, the other on attitudes towards uncertainty avoidance. Using a multinomial logit model and controlling for other effects, the hypotheses are tested by analysing data on 228 entries into the United States market by acquisition, wholly owned greenfield, and joint venture. Empirical support for the effect of national culture on entry choice is found.", "author" : [ { "dropping-particle" : "", "family" : "Kogut", "given" : "Bruce", "non-dropping-particle" : "", "parse-names" : false, "suffix" : "" }, { "dropping-particle" : "", "family" : "Singh", "given" : "Harbir", "non-dropping-particle" : "", "parse-names" : false, "suffix" : "" } ], "container-title" : "Journal of International Business Studies", "id" : "ITEM-1", "issue" : "3", "issued" : { "date-parts" : [ [ "1988" ] ] }, "page" : "411-432", "title" : "the Effectof Nationalcultureon the Choiceof Entrymode", "type" : "article-journal", "volume" : "19" }, "uris" : [ "http://www.mendeley.com/documents/?uuid=08b10cb0-94a5-4610-a8bc-ea98ee7e2e05" ] } ], "mendeley" : { "formattedCitation" : "[20]", "plainTextFormattedCitation" : "[20]", "previouslyFormattedCitation" : "[20]"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[20]</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w:t>
      </w:r>
    </w:p>
    <w:p w14:paraId="6151E06D"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Три измерения отражают языковые различия между парой стран. Первая мера представляет собой пятибалльную шкалу, которая отражает различия основных языков, вторая и третья отражают долю населения, которая может говорить на языке страны-партнера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"id" : "ITEM-2", "itemData" : { "URL" : "http://www.ethnologue.com/15/", "id" : "ITEM-2", "issued" : { "date-parts" : [ [ "0" ] ] }, "title" : "Gordon, Raymond G., Jr. (ed.), 2005. Ethnologue: Languages of the World, Fifteenth edition.", "type" : "webpage" }, "uris" : [ "http://www.mendeley.com/documents/?uuid=648f106c-eeee-3172-980e-8a3079812f86" ] } ], "mendeley" : { "formattedCitation" : "[11, 43]", "plainTextFormattedCitation" : "[11, 43]", "previouslyFormattedCitation" : "[11, 43]"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 43]</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w:t>
      </w:r>
    </w:p>
    <w:p w14:paraId="1A309693"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Первый религиозный показатель представляет собой пятибалльную шкалу, отражающую различия между доминирующими религиями пары стран. Вторая и третья мера </w:t>
      </w:r>
      <w:r w:rsidRPr="0082342D">
        <w:rPr>
          <w:rFonts w:ascii="Times New Roman" w:hAnsi="Times New Roman" w:cs="Times New Roman"/>
          <w:sz w:val="24"/>
          <w:szCs w:val="24"/>
        </w:rPr>
        <w:lastRenderedPageBreak/>
        <w:t xml:space="preserve">отражаю долю населения рассматриваемого государства, принадлежащую к главенствующей религии другой страны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"id" : "ITEM-2", "itemData" : { "URL" : "http://worldchristiandatabase.org/wcd/about/more.asp", "id" : "ITEM-2", "issued" : { "date-parts" : [ [ "0" ] ] }, "title" : "World Christian Database", "type" : "webpage" }, "uris" : [ "http://www.mendeley.com/documents/?uuid=f42d55d8-5dfa-384f-bc6b-147939198d30" ] }, { "id" : "ITEM-3", "itemData" : { "URL" : "https://www.cia.gov/library/publications/download/download-2002/index.html", "id" : "ITEM-3", "issued" : { "date-parts" : [ [ "0" ] ] }, "title" : "CIA Factbook, 2002", "type" : "webpage" }, "uris" : [ "http://www.mendeley.com/documents/?uuid=5b375188-824f-35ea-b9f1-448c6ce960a3" ] }, { "id" : "ITEM-4", "itemData" : { "URL" : "http://www.jewishagency.org/", "id" : "ITEM-4", "issued" : { "date-parts" : [ [ "0" ] ] }, "title" : "The Jewish Agency", "type" : "webpage" }, "uris" : [ "http://www.mendeley.com/documents/?uuid=077b1f4a-86b7-3d53-8aec-9aceafe2053b" ] } ], "mendeley" : { "formattedCitation" : "[11, 33\u201335]", "plainTextFormattedCitation" : "[11, 33\u201335]", "previouslyFormattedCitation" : "[11, 33\u201335]"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 33–35]</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w:t>
      </w:r>
    </w:p>
    <w:p w14:paraId="53E8C276"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Для анализа индустриального развития стран были отобраны 9 показателей, включая ВВП на душу населения, потребление энергии на душу населения, автомобили в собственности на 1000 человек, доля населения занятого не в аграрном секторе, уровень урбанизации, показатели развития коммуникационных технологий (газеты, радио, телефоны и телевизоры на 1000 человек)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"id" : "ITEM-2", "itemData" : { "URL" : "https://unstats.un.org/unsd/demographic/products/socind/", "id" : "ITEM-2", "issued" : { "date-parts" : [ [ "0" ] ] }, "title" : "United Nations Statistics Division - Demographic and Social Statistics", "type" : "webpage" }, "uris" : [ "http://www.mendeley.com/documents/?uuid=88b93233-777c-320f-9ecb-996caeb0fc23" ] }, { "id" : "ITEM-3", "itemData" : { "URL" : "https://unstats.un.org/unsd/publications/statistical-yearbook/past-issues/", "id" : "ITEM-3", "issued" : { "date-parts" : [ [ "0" ] ] }, "title" : "UNSD \u2014 Statistical Yearbook", "type" : "webpage" }, "uris" : [ "http://www.mendeley.com/documents/?uuid=947c62a2-f3ac-3e0a-9f67-a2a564ba0c40" ] } ], "mendeley" : { "formattedCitation" : "[11, 36, 37]", "plainTextFormattedCitation" : "[11, 36, 37]", "previouslyFormattedCitation" : "[11, 36, 37]"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 36, 37]</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Данный показатель, в отличии от показателя ВВП, включенного в гравитационную модель, отражает структуру экономического развития стран.</w:t>
      </w:r>
    </w:p>
    <w:p w14:paraId="6F8D4F0D"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Разница в уровне грамотности между странами, доля населения, включенного в образование второго и третьего уровней являются мерами, отражающими различия стран в образовании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"id" : "ITEM-2", "itemData" : { "URL" : "https://unstats.un.org/unsd/demographic/products/socind/", "id" : "ITEM-2", "issued" : { "date-parts" : [ [ "0" ] ] }, "title" : "United Nations Statistics Division - Demographic and Social Statistics", "type" : "webpage" }, "uris" : [ "http://www.mendeley.com/documents/?uuid=88b93233-777c-320f-9ecb-996caeb0fc23" ] }, { "id" : "ITEM-3", "itemData" : { "URL" : "https://unstats.un.org/unsd/publications/statistical-yearbook/past-issues/", "id" : "ITEM-3", "issued" : { "date-parts" : [ [ "0" ] ] }, "title" : "UNSD \u2014 Statistical Yearbook", "type" : "webpage" }, "uris" : [ "http://www.mendeley.com/documents/?uuid=947c62a2-f3ac-3e0a-9f67-a2a564ba0c40" ] } ], "mendeley" : { "formattedCitation" : "[11, 36, 37]", "plainTextFormattedCitation" : "[11, 36, 37]", "previouslyFormattedCitation" : "[11, 36, 37]"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[11, 36, 37]</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w:t>
      </w:r>
    </w:p>
    <w:p w14:paraId="45B933BF"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 xml:space="preserve">Политический аспект представлен четырьмя переменными. Первая мера – это шкала </w:t>
      </w:r>
      <w:r w:rsidRPr="0082342D">
        <w:rPr>
          <w:rFonts w:ascii="Times New Roman" w:hAnsi="Times New Roman" w:cs="Times New Roman"/>
          <w:sz w:val="24"/>
          <w:szCs w:val="24"/>
          <w:lang w:val="en-US"/>
        </w:rPr>
        <w:t>POLCON</w:t>
      </w:r>
      <w:r w:rsidRPr="0082342D">
        <w:rPr>
          <w:rFonts w:ascii="Times New Roman" w:hAnsi="Times New Roman" w:cs="Times New Roman"/>
          <w:sz w:val="24"/>
          <w:szCs w:val="24"/>
        </w:rPr>
        <w:t xml:space="preserve"> В. Хениса (Henisz)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"abstract" : "This article forges an explicit link between an objective measure of political constraints and variation in cross-national growth rates. It derives a new measure of political constraints from a simple spatial model of political interaction that incorporates information on the number of independent branches of government with veto power and the distribution of preferences across and within those branches. The derived variable is found to have a statistically and economically significant impact on growth rates using simple ordinary least squares, three-stage least squares and generalized method of moments estimation techniques.", "author" : [ { "dropping-particle" : "", "family" : "Henisz", "given" : "Witold J", "non-dropping-particle" : "", "parse-names" : false, "suffix" : "" } ], "container-title" : "Economics and Politics", "id" : "ITEM-1", "issue" : "1", "issued" : { "date-parts" : [ [ "2000" ] ] }, "page" : "1-31", "title" : "The Institutional Environment for Economic Growth", "type" : "article-journal", "volume" : "12" }, "uris" : [ "http://www.mendeley.com/documents/?uuid=ae2ef0bd-38b4-32c8-acdb-7a8d2cc6ef03" ] } ], "mendeley" : { "formattedCitation" : "[16]", "plainTextFormattedCitation" : "[16]", "previouslyFormattedCitation" : "[16]"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[16]</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POLCON – это шкала, измеряющая степень политических ограничений внутри страны. В качестве второго измерения используется показатель К. Гледечи (Gleditsch) POLITY IV, который отражает уровень демократии в стране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"https://sites.google.com/site/ddowresearch/home", "id" : "ITEM-1", "issued" : { "date-parts" : [ [ "0" ] ] }, "title" : "Melbourne Business School", "type" : "webpage" }, "uris" : [ "http://www.mendeley.com/documents/?uuid=15d01995-7ee8-3201-a510-2c7d0bf5ed49" ] } ], "mendeley" : { "formattedCitation" : "[32]", "plainTextFormattedCitation" : "[32]", "previouslyFormattedCitation" : "[32]"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[32]</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 xml:space="preserve">. Вторая и третья меры – это показатели политических прав и гражданских свобод от </w:t>
      </w:r>
      <w:r w:rsidRPr="0082342D">
        <w:rPr>
          <w:rFonts w:ascii="Times New Roman" w:hAnsi="Times New Roman" w:cs="Times New Roman"/>
          <w:sz w:val="24"/>
          <w:szCs w:val="24"/>
          <w:lang w:val="en-US"/>
        </w:rPr>
        <w:t>Freedom</w:t>
      </w:r>
      <w:r w:rsidRPr="0082342D">
        <w:rPr>
          <w:rFonts w:ascii="Times New Roman" w:hAnsi="Times New Roman" w:cs="Times New Roman"/>
          <w:sz w:val="24"/>
          <w:szCs w:val="24"/>
        </w:rPr>
        <w:t xml:space="preserve"> </w:t>
      </w:r>
      <w:r w:rsidRPr="0082342D">
        <w:rPr>
          <w:rFonts w:ascii="Times New Roman" w:hAnsi="Times New Roman" w:cs="Times New Roman"/>
          <w:sz w:val="24"/>
          <w:szCs w:val="24"/>
          <w:lang w:val="en-US"/>
        </w:rPr>
        <w:t>House</w:t>
      </w:r>
      <w:r w:rsidRPr="0082342D">
        <w:rPr>
          <w:rFonts w:ascii="Times New Roman" w:hAnsi="Times New Roman" w:cs="Times New Roman"/>
          <w:sz w:val="24"/>
          <w:szCs w:val="24"/>
        </w:rPr>
        <w:t xml:space="preserve"> </w:t>
      </w:r>
      <w:r w:rsidR="00CB3F9D" w:rsidRPr="0082342D">
        <w:rPr>
          <w:rFonts w:ascii="Times New Roman" w:hAnsi="Times New Roman" w:cs="Times New Roman"/>
          <w:sz w:val="24"/>
          <w:szCs w:val="24"/>
        </w:rPr>
        <w:fldChar w:fldCharType="begin" w:fldLock="1"/>
      </w:r>
      <w:r w:rsidRPr="0082342D">
        <w:rPr>
          <w:rFonts w:ascii="Times New Roman" w:hAnsi="Times New Roman" w:cs="Times New Roman"/>
          <w:sz w:val="24"/>
          <w:szCs w:val="24"/>
        </w:rPr>
        <w:instrText>ADDIN CSL_CITATION { "citationItems" : [ { "id" : "ITEM-1", "itemData" : { "URL" : "https://freedomhouse.org/", "id" : "ITEM-1", "issued" : { "date-parts" : [ [ "0" ] ] }, "title" : "Freedom House | Championing Democracy", "type" : "webpage" }, "uris" : [ "http://www.mendeley.com/documents/?uuid=af7ad6a6-f035-394c-993f-2ff62f1c5f73" ] } ], "mendeley" : { "formattedCitation" : "[38]", "plainTextFormattedCitation" : "[38]", "previouslyFormattedCitation" : "[38]" }, "properties" : {  }, "schema" : "https://github.com/citation-style-language/schema/raw/master/csl-citation.json" }</w:instrText>
      </w:r>
      <w:r w:rsidR="00CB3F9D" w:rsidRPr="0082342D">
        <w:rPr>
          <w:rFonts w:ascii="Times New Roman" w:hAnsi="Times New Roman" w:cs="Times New Roman"/>
          <w:sz w:val="24"/>
          <w:szCs w:val="24"/>
        </w:rPr>
        <w:fldChar w:fldCharType="separate"/>
      </w:r>
      <w:r w:rsidRPr="0082342D">
        <w:rPr>
          <w:rFonts w:ascii="Times New Roman" w:hAnsi="Times New Roman" w:cs="Times New Roman"/>
          <w:noProof/>
          <w:sz w:val="24"/>
          <w:szCs w:val="24"/>
        </w:rPr>
        <w:t>[38]</w:t>
      </w:r>
      <w:r w:rsidR="00CB3F9D" w:rsidRPr="0082342D">
        <w:rPr>
          <w:rFonts w:ascii="Times New Roman" w:hAnsi="Times New Roman" w:cs="Times New Roman"/>
          <w:sz w:val="24"/>
          <w:szCs w:val="24"/>
        </w:rPr>
        <w:fldChar w:fldCharType="end"/>
      </w:r>
      <w:r w:rsidRPr="0082342D">
        <w:rPr>
          <w:rFonts w:ascii="Times New Roman" w:hAnsi="Times New Roman" w:cs="Times New Roman"/>
          <w:sz w:val="24"/>
          <w:szCs w:val="24"/>
        </w:rPr>
        <w:t>.</w:t>
      </w:r>
    </w:p>
    <w:p w14:paraId="63066DF0" w14:textId="77777777" w:rsidR="002245D5" w:rsidRPr="0082342D" w:rsidRDefault="002245D5" w:rsidP="0082342D">
      <w:pPr>
        <w:spacing w:after="0" w:line="240" w:lineRule="auto"/>
        <w:ind w:firstLine="709"/>
        <w:jc w:val="both"/>
        <w:rPr>
          <w:rFonts w:ascii="Times New Roman" w:hAnsi="Times New Roman" w:cs="Times New Roman"/>
          <w:sz w:val="24"/>
          <w:szCs w:val="24"/>
        </w:rPr>
      </w:pPr>
      <w:r w:rsidRPr="0082342D">
        <w:rPr>
          <w:rFonts w:ascii="Times New Roman" w:hAnsi="Times New Roman" w:cs="Times New Roman"/>
          <w:sz w:val="24"/>
          <w:szCs w:val="24"/>
        </w:rPr>
        <w:t>Данные пять стимулов психологической дистанции были интегрированы в один показатель с помощью индекса Б. Когута и Х. Сингха, а также на основе результатов Д. Доу и С. Ференчиковой.</w:t>
      </w:r>
    </w:p>
    <w:p w14:paraId="49E398E2" w14:textId="77777777" w:rsidR="002245D5" w:rsidRPr="00E7256F" w:rsidRDefault="002245D5" w:rsidP="002245D5">
      <w:pPr>
        <w:spacing w:after="0" w:line="240" w:lineRule="auto"/>
        <w:ind w:firstLine="709"/>
        <w:jc w:val="both"/>
        <w:rPr>
          <w:rFonts w:ascii="Times New Roman" w:hAnsi="Times New Roman" w:cs="Times New Roman"/>
          <w:sz w:val="20"/>
          <w:szCs w:val="20"/>
        </w:rPr>
      </w:pPr>
    </w:p>
    <w:p w14:paraId="649D7B4E" w14:textId="77777777" w:rsidR="002245D5" w:rsidRPr="003D7553" w:rsidRDefault="002245D5" w:rsidP="002245D5">
      <w:pPr>
        <w:spacing w:after="0" w:line="240" w:lineRule="auto"/>
        <w:ind w:firstLine="709"/>
        <w:jc w:val="both"/>
        <w:rPr>
          <w:rFonts w:ascii="Times New Roman" w:hAnsi="Times New Roman" w:cs="Times New Roman"/>
          <w:sz w:val="24"/>
          <w:szCs w:val="24"/>
          <w:lang w:val="pt-BR"/>
        </w:rPr>
      </w:pPr>
      <m:oMath>
        <m:r>
          <w:rPr>
            <w:rFonts w:ascii="Cambria Math" w:hAnsi="Cambria Math" w:cs="Times New Roman"/>
            <w:sz w:val="24"/>
            <w:szCs w:val="24"/>
            <w:lang w:val="en-US"/>
          </w:rPr>
          <m:t>P</m:t>
        </m:r>
        <m:r>
          <w:rPr>
            <w:rFonts w:ascii="Cambria Math" w:hAnsi="Cambria Math" w:cs="Times New Roman"/>
            <w:sz w:val="24"/>
            <w:szCs w:val="24"/>
            <w:lang w:val="pt-BR"/>
          </w:rPr>
          <m:t>D = ∑{(I</m:t>
        </m:r>
        <m:r>
          <w:rPr>
            <w:rFonts w:ascii="Cambria Math" w:hAnsi="Cambria Math" w:cs="Times New Roman"/>
            <w:sz w:val="24"/>
            <w:szCs w:val="24"/>
            <w:vertAlign w:val="subscript"/>
            <w:lang w:val="pt-BR"/>
          </w:rPr>
          <m:t>ij</m:t>
        </m:r>
        <m:r>
          <w:rPr>
            <w:rFonts w:ascii="Cambria Math" w:hAnsi="Cambria Math" w:cs="Times New Roman"/>
            <w:sz w:val="24"/>
            <w:szCs w:val="24"/>
            <w:lang w:val="pt-BR"/>
          </w:rPr>
          <m:t>)</m:t>
        </m:r>
        <m:r>
          <w:rPr>
            <w:rFonts w:ascii="Cambria Math" w:hAnsi="Cambria Math" w:cs="Times New Roman"/>
            <w:sz w:val="24"/>
            <w:szCs w:val="24"/>
            <w:vertAlign w:val="superscript"/>
            <w:lang w:val="pt-BR"/>
          </w:rPr>
          <m:t>2</m:t>
        </m:r>
        <m:r>
          <w:rPr>
            <w:rFonts w:ascii="Cambria Math" w:hAnsi="Cambria Math" w:cs="Times New Roman"/>
            <w:sz w:val="24"/>
            <w:szCs w:val="24"/>
            <w:lang w:val="pt-BR"/>
          </w:rPr>
          <m:t>/V}/5</m:t>
        </m:r>
      </m:oMath>
      <w:r w:rsidRPr="003D7553">
        <w:rPr>
          <w:rFonts w:ascii="Times New Roman" w:hAnsi="Times New Roman" w:cs="Times New Roman"/>
          <w:sz w:val="24"/>
          <w:szCs w:val="24"/>
          <w:lang w:val="pt-BR"/>
        </w:rPr>
        <w:t xml:space="preserve">, </w:t>
      </w:r>
      <w:r w:rsidRPr="003D7553">
        <w:rPr>
          <w:rFonts w:ascii="Times New Roman" w:hAnsi="Times New Roman" w:cs="Times New Roman"/>
          <w:sz w:val="24"/>
          <w:szCs w:val="24"/>
        </w:rPr>
        <w:t>где</w:t>
      </w:r>
      <w:r w:rsidRPr="003D7553">
        <w:rPr>
          <w:rFonts w:ascii="Times New Roman" w:hAnsi="Times New Roman" w:cs="Times New Roman"/>
          <w:sz w:val="24"/>
          <w:szCs w:val="24"/>
          <w:lang w:val="pt-BR"/>
        </w:rPr>
        <w:t xml:space="preserve"> </w:t>
      </w:r>
    </w:p>
    <w:p w14:paraId="16287F21" w14:textId="77777777" w:rsidR="002245D5" w:rsidRPr="00E7256F" w:rsidRDefault="002245D5" w:rsidP="002245D5">
      <w:pPr>
        <w:spacing w:after="0" w:line="240" w:lineRule="auto"/>
        <w:ind w:firstLine="709"/>
        <w:jc w:val="both"/>
        <w:rPr>
          <w:rFonts w:ascii="Times New Roman" w:hAnsi="Times New Roman" w:cs="Times New Roman"/>
          <w:sz w:val="20"/>
          <w:szCs w:val="20"/>
          <w:lang w:val="pt-BR"/>
        </w:rPr>
      </w:pPr>
    </w:p>
    <w:p w14:paraId="1AB70ECD" w14:textId="77777777" w:rsidR="002245D5" w:rsidRPr="003D7553" w:rsidRDefault="002245D5" w:rsidP="002245D5">
      <w:pPr>
        <w:spacing w:after="0" w:line="240" w:lineRule="auto"/>
        <w:ind w:firstLine="709"/>
        <w:jc w:val="both"/>
        <w:rPr>
          <w:rFonts w:ascii="Times New Roman" w:hAnsi="Times New Roman" w:cs="Times New Roman"/>
          <w:sz w:val="24"/>
          <w:szCs w:val="24"/>
          <w:lang w:val="pt-BR"/>
        </w:rPr>
      </w:pPr>
      <w:r w:rsidRPr="003D7553">
        <w:rPr>
          <w:rFonts w:ascii="Times New Roman" w:hAnsi="Times New Roman" w:cs="Times New Roman"/>
          <w:sz w:val="24"/>
          <w:szCs w:val="24"/>
          <w:lang w:val="en-US"/>
        </w:rPr>
        <w:t>I</w:t>
      </w:r>
      <w:r w:rsidRPr="003D7553">
        <w:rPr>
          <w:rFonts w:ascii="Times New Roman" w:hAnsi="Times New Roman" w:cs="Times New Roman"/>
          <w:sz w:val="24"/>
          <w:szCs w:val="24"/>
          <w:vertAlign w:val="subscript"/>
          <w:lang w:val="en-US"/>
        </w:rPr>
        <w:t>ij</w:t>
      </w:r>
      <w:r w:rsidRPr="003D7553">
        <w:rPr>
          <w:rFonts w:ascii="Times New Roman" w:hAnsi="Times New Roman" w:cs="Times New Roman"/>
          <w:sz w:val="24"/>
          <w:szCs w:val="24"/>
          <w:vertAlign w:val="subscript"/>
        </w:rPr>
        <w:t xml:space="preserve"> </w:t>
      </w:r>
      <w:r w:rsidRPr="003D7553">
        <w:rPr>
          <w:rFonts w:ascii="Times New Roman" w:hAnsi="Times New Roman" w:cs="Times New Roman"/>
          <w:sz w:val="24"/>
          <w:szCs w:val="24"/>
        </w:rPr>
        <w:t xml:space="preserve">– «расстояние» между </w:t>
      </w:r>
      <w:r w:rsidRPr="003D7553">
        <w:rPr>
          <w:rFonts w:ascii="Times New Roman" w:hAnsi="Times New Roman" w:cs="Times New Roman"/>
          <w:sz w:val="24"/>
          <w:szCs w:val="24"/>
          <w:lang w:val="en-US"/>
        </w:rPr>
        <w:t>i</w:t>
      </w:r>
      <w:r w:rsidRPr="003D7553">
        <w:rPr>
          <w:rFonts w:ascii="Times New Roman" w:hAnsi="Times New Roman" w:cs="Times New Roman"/>
          <w:sz w:val="24"/>
          <w:szCs w:val="24"/>
        </w:rPr>
        <w:t xml:space="preserve"> и </w:t>
      </w:r>
      <w:r w:rsidRPr="003D7553">
        <w:rPr>
          <w:rFonts w:ascii="Times New Roman" w:hAnsi="Times New Roman" w:cs="Times New Roman"/>
          <w:sz w:val="24"/>
          <w:szCs w:val="24"/>
          <w:lang w:val="en-US"/>
        </w:rPr>
        <w:t>j</w:t>
      </w:r>
      <w:r w:rsidRPr="003D7553">
        <w:rPr>
          <w:rFonts w:ascii="Times New Roman" w:hAnsi="Times New Roman" w:cs="Times New Roman"/>
          <w:sz w:val="24"/>
          <w:szCs w:val="24"/>
        </w:rPr>
        <w:t xml:space="preserve"> страной, </w:t>
      </w:r>
      <w:r w:rsidRPr="003D7553">
        <w:rPr>
          <w:rFonts w:ascii="Times New Roman" w:hAnsi="Times New Roman" w:cs="Times New Roman"/>
          <w:sz w:val="24"/>
          <w:szCs w:val="24"/>
          <w:lang w:val="en-US"/>
        </w:rPr>
        <w:t>V</w:t>
      </w:r>
      <w:r w:rsidRPr="003D7553">
        <w:rPr>
          <w:rFonts w:ascii="Times New Roman" w:hAnsi="Times New Roman" w:cs="Times New Roman"/>
          <w:sz w:val="24"/>
          <w:szCs w:val="24"/>
        </w:rPr>
        <w:t xml:space="preserve"> – дисперсия </w:t>
      </w:r>
      <w:r w:rsidR="00CB3F9D" w:rsidRPr="003D7553">
        <w:rPr>
          <w:rFonts w:ascii="Times New Roman" w:hAnsi="Times New Roman" w:cs="Times New Roman"/>
          <w:sz w:val="24"/>
          <w:szCs w:val="24"/>
          <w:lang w:val="en-US"/>
        </w:rPr>
        <w:fldChar w:fldCharType="begin" w:fldLock="1"/>
      </w:r>
      <w:r w:rsidRPr="003D7553">
        <w:rPr>
          <w:rFonts w:ascii="Times New Roman" w:hAnsi="Times New Roman" w:cs="Times New Roman"/>
          <w:sz w:val="24"/>
          <w:szCs w:val="24"/>
          <w:lang w:val="en-US"/>
        </w:rPr>
        <w:instrText>ADDIN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CSL</w:instrText>
      </w:r>
      <w:r w:rsidRPr="003D7553">
        <w:rPr>
          <w:rFonts w:ascii="Times New Roman" w:hAnsi="Times New Roman" w:cs="Times New Roman"/>
          <w:sz w:val="24"/>
          <w:szCs w:val="24"/>
        </w:rPr>
        <w:instrText>_</w:instrText>
      </w:r>
      <w:r w:rsidRPr="003D7553">
        <w:rPr>
          <w:rFonts w:ascii="Times New Roman" w:hAnsi="Times New Roman" w:cs="Times New Roman"/>
          <w:sz w:val="24"/>
          <w:szCs w:val="24"/>
          <w:lang w:val="en-US"/>
        </w:rPr>
        <w:instrText>CITATION</w:instrText>
      </w:r>
      <w:r w:rsidRPr="003D7553">
        <w:rPr>
          <w:rFonts w:ascii="Times New Roman" w:hAnsi="Times New Roman" w:cs="Times New Roman"/>
          <w:sz w:val="24"/>
          <w:szCs w:val="24"/>
        </w:rPr>
        <w:instrText xml:space="preserve"> { "</w:instrText>
      </w:r>
      <w:r w:rsidRPr="003D7553">
        <w:rPr>
          <w:rFonts w:ascii="Times New Roman" w:hAnsi="Times New Roman" w:cs="Times New Roman"/>
          <w:sz w:val="24"/>
          <w:szCs w:val="24"/>
          <w:lang w:val="en-US"/>
        </w:rPr>
        <w:instrText>citationItems</w:instrText>
      </w:r>
      <w:r w:rsidRPr="003D7553">
        <w:rPr>
          <w:rFonts w:ascii="Times New Roman" w:hAnsi="Times New Roman" w:cs="Times New Roman"/>
          <w:sz w:val="24"/>
          <w:szCs w:val="24"/>
        </w:rPr>
        <w:instrText>" : [ { "</w:instrText>
      </w:r>
      <w:r w:rsidRPr="003D7553">
        <w:rPr>
          <w:rFonts w:ascii="Times New Roman" w:hAnsi="Times New Roman" w:cs="Times New Roman"/>
          <w:sz w:val="24"/>
          <w:szCs w:val="24"/>
          <w:lang w:val="en-US"/>
        </w:rPr>
        <w:instrText>id</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ITEM</w:instrText>
      </w:r>
      <w:r w:rsidRPr="003D7553">
        <w:rPr>
          <w:rFonts w:ascii="Times New Roman" w:hAnsi="Times New Roman" w:cs="Times New Roman"/>
          <w:sz w:val="24"/>
          <w:szCs w:val="24"/>
        </w:rPr>
        <w:instrText>-1", "</w:instrText>
      </w:r>
      <w:r w:rsidRPr="003D7553">
        <w:rPr>
          <w:rFonts w:ascii="Times New Roman" w:hAnsi="Times New Roman" w:cs="Times New Roman"/>
          <w:sz w:val="24"/>
          <w:szCs w:val="24"/>
          <w:lang w:val="en-US"/>
        </w:rPr>
        <w:instrText>itemData</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DOI</w:instrText>
      </w:r>
      <w:r w:rsidRPr="003D7553">
        <w:rPr>
          <w:rFonts w:ascii="Times New Roman" w:hAnsi="Times New Roman" w:cs="Times New Roman"/>
          <w:sz w:val="24"/>
          <w:szCs w:val="24"/>
        </w:rPr>
        <w:instrText>" : "10.1057/</w:instrText>
      </w:r>
      <w:r w:rsidRPr="003D7553">
        <w:rPr>
          <w:rFonts w:ascii="Times New Roman" w:hAnsi="Times New Roman" w:cs="Times New Roman"/>
          <w:sz w:val="24"/>
          <w:szCs w:val="24"/>
          <w:lang w:val="en-US"/>
        </w:rPr>
        <w:instrText>palgrave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jibs</w:instrText>
      </w:r>
      <w:r w:rsidRPr="003D7553">
        <w:rPr>
          <w:rFonts w:ascii="Times New Roman" w:hAnsi="Times New Roman" w:cs="Times New Roman"/>
          <w:sz w:val="24"/>
          <w:szCs w:val="24"/>
        </w:rPr>
        <w:instrText>.8490394", "</w:instrText>
      </w:r>
      <w:r w:rsidRPr="003D7553">
        <w:rPr>
          <w:rFonts w:ascii="Times New Roman" w:hAnsi="Times New Roman" w:cs="Times New Roman"/>
          <w:sz w:val="24"/>
          <w:szCs w:val="24"/>
          <w:lang w:val="en-US"/>
        </w:rPr>
        <w:instrText>ISBN</w:instrText>
      </w:r>
      <w:r w:rsidRPr="003D7553">
        <w:rPr>
          <w:rFonts w:ascii="Times New Roman" w:hAnsi="Times New Roman" w:cs="Times New Roman"/>
          <w:sz w:val="24"/>
          <w:szCs w:val="24"/>
        </w:rPr>
        <w:instrText>" : "00472506", "</w:instrText>
      </w:r>
      <w:r w:rsidRPr="003D7553">
        <w:rPr>
          <w:rFonts w:ascii="Times New Roman" w:hAnsi="Times New Roman" w:cs="Times New Roman"/>
          <w:sz w:val="24"/>
          <w:szCs w:val="24"/>
          <w:lang w:val="en-US"/>
        </w:rPr>
        <w:instrText>ISSN</w:instrText>
      </w:r>
      <w:r w:rsidRPr="003D7553">
        <w:rPr>
          <w:rFonts w:ascii="Times New Roman" w:hAnsi="Times New Roman" w:cs="Times New Roman"/>
          <w:sz w:val="24"/>
          <w:szCs w:val="24"/>
        </w:rPr>
        <w:instrText>" : "0047-2506", "</w:instrText>
      </w:r>
      <w:r w:rsidRPr="003D7553">
        <w:rPr>
          <w:rFonts w:ascii="Times New Roman" w:hAnsi="Times New Roman" w:cs="Times New Roman"/>
          <w:sz w:val="24"/>
          <w:szCs w:val="24"/>
          <w:lang w:val="en-US"/>
        </w:rPr>
        <w:instrText>PMID</w:instrText>
      </w:r>
      <w:r w:rsidRPr="003D7553">
        <w:rPr>
          <w:rFonts w:ascii="Times New Roman" w:hAnsi="Times New Roman" w:cs="Times New Roman"/>
          <w:sz w:val="24"/>
          <w:szCs w:val="24"/>
        </w:rPr>
        <w:instrText>" : "4667181", "</w:instrText>
      </w:r>
      <w:r w:rsidRPr="003D7553">
        <w:rPr>
          <w:rFonts w:ascii="Times New Roman" w:hAnsi="Times New Roman" w:cs="Times New Roman"/>
          <w:sz w:val="24"/>
          <w:szCs w:val="24"/>
          <w:lang w:val="en-US"/>
        </w:rPr>
        <w:instrText>abstract</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Characteristics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national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cultures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have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frequently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been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claimed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to</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influence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selection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entry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modes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This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article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investigates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this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claim</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developing</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theoretical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argument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for</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why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culture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should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influence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choice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entry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Two</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hypotheses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are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derived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which</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relate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culture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to</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entry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mode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choice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one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focusing</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cultural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distance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between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countries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other</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attitudes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towards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uncertainty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avoidance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Using</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multinomial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logit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model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and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controlling</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for</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other</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effects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hypotheses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are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tested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analysing</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data</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on</w:instrText>
      </w:r>
      <w:r w:rsidRPr="003D7553">
        <w:rPr>
          <w:rFonts w:ascii="Times New Roman" w:hAnsi="Times New Roman" w:cs="Times New Roman"/>
          <w:sz w:val="24"/>
          <w:szCs w:val="24"/>
        </w:rPr>
        <w:instrText xml:space="preserve"> 228 </w:instrText>
      </w:r>
      <w:r w:rsidRPr="003D7553">
        <w:rPr>
          <w:rFonts w:ascii="Times New Roman" w:hAnsi="Times New Roman" w:cs="Times New Roman"/>
          <w:sz w:val="24"/>
          <w:szCs w:val="24"/>
          <w:lang w:val="en-US"/>
        </w:rPr>
        <w:instrText>entries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into</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United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States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market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acquisition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wholly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owned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greenfield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and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joint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venture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Empirical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support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for</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effect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national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culture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entry</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choice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found</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author</w:instrText>
      </w:r>
      <w:r w:rsidRPr="003D7553">
        <w:rPr>
          <w:rFonts w:ascii="Times New Roman" w:hAnsi="Times New Roman" w:cs="Times New Roman"/>
          <w:sz w:val="24"/>
          <w:szCs w:val="24"/>
        </w:rPr>
        <w:instrText>" : [ { "</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family</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Kogut</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given</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Bruce</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non</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parse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names</w:instrText>
      </w:r>
      <w:r w:rsidRPr="003D7553">
        <w:rPr>
          <w:rFonts w:ascii="Times New Roman" w:hAnsi="Times New Roman" w:cs="Times New Roman"/>
          <w:sz w:val="24"/>
          <w:szCs w:val="24"/>
        </w:rPr>
        <w:instrText xml:space="preserve">" : </w:instrText>
      </w:r>
      <w:r w:rsidRPr="003D7553">
        <w:rPr>
          <w:rFonts w:ascii="Times New Roman" w:hAnsi="Times New Roman" w:cs="Times New Roman"/>
          <w:sz w:val="24"/>
          <w:szCs w:val="24"/>
          <w:lang w:val="en-US"/>
        </w:rPr>
        <w:instrText>false</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suffix</w:instrText>
      </w:r>
      <w:r w:rsidRPr="003D7553">
        <w:rPr>
          <w:rFonts w:ascii="Times New Roman" w:hAnsi="Times New Roman" w:cs="Times New Roman"/>
          <w:sz w:val="24"/>
          <w:szCs w:val="24"/>
        </w:rPr>
        <w:instrText>" : "" }, { "</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family</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Singh</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given</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Harbir</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non</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parse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names</w:instrText>
      </w:r>
      <w:r w:rsidRPr="003D7553">
        <w:rPr>
          <w:rFonts w:ascii="Times New Roman" w:hAnsi="Times New Roman" w:cs="Times New Roman"/>
          <w:sz w:val="24"/>
          <w:szCs w:val="24"/>
        </w:rPr>
        <w:instrText xml:space="preserve">" : </w:instrText>
      </w:r>
      <w:r w:rsidRPr="003D7553">
        <w:rPr>
          <w:rFonts w:ascii="Times New Roman" w:hAnsi="Times New Roman" w:cs="Times New Roman"/>
          <w:sz w:val="24"/>
          <w:szCs w:val="24"/>
          <w:lang w:val="en-US"/>
        </w:rPr>
        <w:instrText>false</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suffix</w:instrText>
      </w:r>
      <w:r w:rsidRPr="003D7553">
        <w:rPr>
          <w:rFonts w:ascii="Times New Roman" w:hAnsi="Times New Roman" w:cs="Times New Roman"/>
          <w:sz w:val="24"/>
          <w:szCs w:val="24"/>
        </w:rPr>
        <w:instrText>" : "" } ], "</w:instrText>
      </w:r>
      <w:r w:rsidRPr="003D7553">
        <w:rPr>
          <w:rFonts w:ascii="Times New Roman" w:hAnsi="Times New Roman" w:cs="Times New Roman"/>
          <w:sz w:val="24"/>
          <w:szCs w:val="24"/>
          <w:lang w:val="en-US"/>
        </w:rPr>
        <w:instrText>container</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title</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Journal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International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Business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Studies</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id</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ITEM</w:instrText>
      </w:r>
      <w:r w:rsidRPr="003D7553">
        <w:rPr>
          <w:rFonts w:ascii="Times New Roman" w:hAnsi="Times New Roman" w:cs="Times New Roman"/>
          <w:sz w:val="24"/>
          <w:szCs w:val="24"/>
        </w:rPr>
        <w:instrText>-1", "</w:instrText>
      </w:r>
      <w:r w:rsidRPr="003D7553">
        <w:rPr>
          <w:rFonts w:ascii="Times New Roman" w:hAnsi="Times New Roman" w:cs="Times New Roman"/>
          <w:sz w:val="24"/>
          <w:szCs w:val="24"/>
          <w:lang w:val="en-US"/>
        </w:rPr>
        <w:instrText>issue</w:instrText>
      </w:r>
      <w:r w:rsidRPr="003D7553">
        <w:rPr>
          <w:rFonts w:ascii="Times New Roman" w:hAnsi="Times New Roman" w:cs="Times New Roman"/>
          <w:sz w:val="24"/>
          <w:szCs w:val="24"/>
        </w:rPr>
        <w:instrText>" : "3", "</w:instrText>
      </w:r>
      <w:r w:rsidRPr="003D7553">
        <w:rPr>
          <w:rFonts w:ascii="Times New Roman" w:hAnsi="Times New Roman" w:cs="Times New Roman"/>
          <w:sz w:val="24"/>
          <w:szCs w:val="24"/>
          <w:lang w:val="en-US"/>
        </w:rPr>
        <w:instrText>issued</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date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parts</w:instrText>
      </w:r>
      <w:r w:rsidRPr="003D7553">
        <w:rPr>
          <w:rFonts w:ascii="Times New Roman" w:hAnsi="Times New Roman" w:cs="Times New Roman"/>
          <w:sz w:val="24"/>
          <w:szCs w:val="24"/>
        </w:rPr>
        <w:instrText>" : [ [ "1988" ] ] }, "</w:instrText>
      </w:r>
      <w:r w:rsidRPr="003D7553">
        <w:rPr>
          <w:rFonts w:ascii="Times New Roman" w:hAnsi="Times New Roman" w:cs="Times New Roman"/>
          <w:sz w:val="24"/>
          <w:szCs w:val="24"/>
          <w:lang w:val="en-US"/>
        </w:rPr>
        <w:instrText>page</w:instrText>
      </w:r>
      <w:r w:rsidRPr="003D7553">
        <w:rPr>
          <w:rFonts w:ascii="Times New Roman" w:hAnsi="Times New Roman" w:cs="Times New Roman"/>
          <w:sz w:val="24"/>
          <w:szCs w:val="24"/>
        </w:rPr>
        <w:instrText>" : "411-432", "</w:instrText>
      </w:r>
      <w:r w:rsidRPr="003D7553">
        <w:rPr>
          <w:rFonts w:ascii="Times New Roman" w:hAnsi="Times New Roman" w:cs="Times New Roman"/>
          <w:sz w:val="24"/>
          <w:szCs w:val="24"/>
          <w:lang w:val="en-US"/>
        </w:rPr>
        <w:instrText>title</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Effectof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Nationalcultureon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Choiceof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Entrymode</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type</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article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journal</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volume</w:instrText>
      </w:r>
      <w:r w:rsidRPr="003D7553">
        <w:rPr>
          <w:rFonts w:ascii="Times New Roman" w:hAnsi="Times New Roman" w:cs="Times New Roman"/>
          <w:sz w:val="24"/>
          <w:szCs w:val="24"/>
        </w:rPr>
        <w:instrText>" : "19" }, "</w:instrText>
      </w:r>
      <w:r w:rsidRPr="003D7553">
        <w:rPr>
          <w:rFonts w:ascii="Times New Roman" w:hAnsi="Times New Roman" w:cs="Times New Roman"/>
          <w:sz w:val="24"/>
          <w:szCs w:val="24"/>
          <w:lang w:val="en-US"/>
        </w:rPr>
        <w:instrText>uris</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http</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www</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mendeley</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com</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documents</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uuid</w:instrText>
      </w:r>
      <w:r w:rsidRPr="003D7553">
        <w:rPr>
          <w:rFonts w:ascii="Times New Roman" w:hAnsi="Times New Roman" w:cs="Times New Roman"/>
          <w:sz w:val="24"/>
          <w:szCs w:val="24"/>
        </w:rPr>
        <w:instrText>=08</w:instrText>
      </w:r>
      <w:r w:rsidRPr="003D7553">
        <w:rPr>
          <w:rFonts w:ascii="Times New Roman" w:hAnsi="Times New Roman" w:cs="Times New Roman"/>
          <w:sz w:val="24"/>
          <w:szCs w:val="24"/>
          <w:lang w:val="en-US"/>
        </w:rPr>
        <w:instrText>b</w:instrText>
      </w:r>
      <w:r w:rsidRPr="003D7553">
        <w:rPr>
          <w:rFonts w:ascii="Times New Roman" w:hAnsi="Times New Roman" w:cs="Times New Roman"/>
          <w:sz w:val="24"/>
          <w:szCs w:val="24"/>
        </w:rPr>
        <w:instrText>10</w:instrText>
      </w:r>
      <w:r w:rsidRPr="003D7553">
        <w:rPr>
          <w:rFonts w:ascii="Times New Roman" w:hAnsi="Times New Roman" w:cs="Times New Roman"/>
          <w:sz w:val="24"/>
          <w:szCs w:val="24"/>
          <w:lang w:val="en-US"/>
        </w:rPr>
        <w:instrText>cb</w:instrText>
      </w:r>
      <w:r w:rsidRPr="003D7553">
        <w:rPr>
          <w:rFonts w:ascii="Times New Roman" w:hAnsi="Times New Roman" w:cs="Times New Roman"/>
          <w:sz w:val="24"/>
          <w:szCs w:val="24"/>
        </w:rPr>
        <w:instrText>0-94</w:instrText>
      </w:r>
      <w:r w:rsidRPr="003D7553">
        <w:rPr>
          <w:rFonts w:ascii="Times New Roman" w:hAnsi="Times New Roman" w:cs="Times New Roman"/>
          <w:sz w:val="24"/>
          <w:szCs w:val="24"/>
          <w:lang w:val="en-US"/>
        </w:rPr>
        <w:instrText>a</w:instrText>
      </w:r>
      <w:r w:rsidRPr="003D7553">
        <w:rPr>
          <w:rFonts w:ascii="Times New Roman" w:hAnsi="Times New Roman" w:cs="Times New Roman"/>
          <w:sz w:val="24"/>
          <w:szCs w:val="24"/>
        </w:rPr>
        <w:instrText>5-4610-</w:instrText>
      </w:r>
      <w:r w:rsidRPr="003D7553">
        <w:rPr>
          <w:rFonts w:ascii="Times New Roman" w:hAnsi="Times New Roman" w:cs="Times New Roman"/>
          <w:sz w:val="24"/>
          <w:szCs w:val="24"/>
          <w:lang w:val="en-US"/>
        </w:rPr>
        <w:instrText>a</w:instrText>
      </w:r>
      <w:r w:rsidRPr="003D7553">
        <w:rPr>
          <w:rFonts w:ascii="Times New Roman" w:hAnsi="Times New Roman" w:cs="Times New Roman"/>
          <w:sz w:val="24"/>
          <w:szCs w:val="24"/>
        </w:rPr>
        <w:instrText>8</w:instrText>
      </w:r>
      <w:r w:rsidRPr="003D7553">
        <w:rPr>
          <w:rFonts w:ascii="Times New Roman" w:hAnsi="Times New Roman" w:cs="Times New Roman"/>
          <w:sz w:val="24"/>
          <w:szCs w:val="24"/>
          <w:lang w:val="en-US"/>
        </w:rPr>
        <w:instrText>bc</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ea</w:instrText>
      </w:r>
      <w:r w:rsidRPr="003D7553">
        <w:rPr>
          <w:rFonts w:ascii="Times New Roman" w:hAnsi="Times New Roman" w:cs="Times New Roman"/>
          <w:sz w:val="24"/>
          <w:szCs w:val="24"/>
        </w:rPr>
        <w:instrText>98</w:instrText>
      </w:r>
      <w:r w:rsidRPr="003D7553">
        <w:rPr>
          <w:rFonts w:ascii="Times New Roman" w:hAnsi="Times New Roman" w:cs="Times New Roman"/>
          <w:sz w:val="24"/>
          <w:szCs w:val="24"/>
          <w:lang w:val="en-US"/>
        </w:rPr>
        <w:instrText>ee</w:instrText>
      </w:r>
      <w:r w:rsidRPr="003D7553">
        <w:rPr>
          <w:rFonts w:ascii="Times New Roman" w:hAnsi="Times New Roman" w:cs="Times New Roman"/>
          <w:sz w:val="24"/>
          <w:szCs w:val="24"/>
        </w:rPr>
        <w:instrText>7</w:instrText>
      </w:r>
      <w:r w:rsidRPr="003D7553">
        <w:rPr>
          <w:rFonts w:ascii="Times New Roman" w:hAnsi="Times New Roman" w:cs="Times New Roman"/>
          <w:sz w:val="24"/>
          <w:szCs w:val="24"/>
          <w:lang w:val="en-US"/>
        </w:rPr>
        <w:instrText>e</w:instrText>
      </w:r>
      <w:r w:rsidRPr="003D7553">
        <w:rPr>
          <w:rFonts w:ascii="Times New Roman" w:hAnsi="Times New Roman" w:cs="Times New Roman"/>
          <w:sz w:val="24"/>
          <w:szCs w:val="24"/>
        </w:rPr>
        <w:instrText>2</w:instrText>
      </w:r>
      <w:r w:rsidRPr="003D7553">
        <w:rPr>
          <w:rFonts w:ascii="Times New Roman" w:hAnsi="Times New Roman" w:cs="Times New Roman"/>
          <w:sz w:val="24"/>
          <w:szCs w:val="24"/>
          <w:lang w:val="en-US"/>
        </w:rPr>
        <w:instrText>e</w:instrText>
      </w:r>
      <w:r w:rsidRPr="003D7553">
        <w:rPr>
          <w:rFonts w:ascii="Times New Roman" w:hAnsi="Times New Roman" w:cs="Times New Roman"/>
          <w:sz w:val="24"/>
          <w:szCs w:val="24"/>
        </w:rPr>
        <w:instrText>05" ] }, { "</w:instrText>
      </w:r>
      <w:r w:rsidRPr="003D7553">
        <w:rPr>
          <w:rFonts w:ascii="Times New Roman" w:hAnsi="Times New Roman" w:cs="Times New Roman"/>
          <w:sz w:val="24"/>
          <w:szCs w:val="24"/>
          <w:lang w:val="en-US"/>
        </w:rPr>
        <w:instrText>id</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ITEM</w:instrText>
      </w:r>
      <w:r w:rsidRPr="003D7553">
        <w:rPr>
          <w:rFonts w:ascii="Times New Roman" w:hAnsi="Times New Roman" w:cs="Times New Roman"/>
          <w:sz w:val="24"/>
          <w:szCs w:val="24"/>
        </w:rPr>
        <w:instrText>-2", "</w:instrText>
      </w:r>
      <w:r w:rsidRPr="003D7553">
        <w:rPr>
          <w:rFonts w:ascii="Times New Roman" w:hAnsi="Times New Roman" w:cs="Times New Roman"/>
          <w:sz w:val="24"/>
          <w:szCs w:val="24"/>
          <w:lang w:val="en-US"/>
        </w:rPr>
        <w:instrText>itemData</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author</w:instrText>
      </w:r>
      <w:r w:rsidRPr="003D7553">
        <w:rPr>
          <w:rFonts w:ascii="Times New Roman" w:hAnsi="Times New Roman" w:cs="Times New Roman"/>
          <w:sz w:val="24"/>
          <w:szCs w:val="24"/>
        </w:rPr>
        <w:instrText>" : [ { "</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family</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Dow</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given</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Douglas</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non</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parse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names</w:instrText>
      </w:r>
      <w:r w:rsidRPr="003D7553">
        <w:rPr>
          <w:rFonts w:ascii="Times New Roman" w:hAnsi="Times New Roman" w:cs="Times New Roman"/>
          <w:sz w:val="24"/>
          <w:szCs w:val="24"/>
        </w:rPr>
        <w:instrText xml:space="preserve">" : </w:instrText>
      </w:r>
      <w:r w:rsidRPr="003D7553">
        <w:rPr>
          <w:rFonts w:ascii="Times New Roman" w:hAnsi="Times New Roman" w:cs="Times New Roman"/>
          <w:sz w:val="24"/>
          <w:szCs w:val="24"/>
          <w:lang w:val="en-US"/>
        </w:rPr>
        <w:instrText>false</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suffix</w:instrText>
      </w:r>
      <w:r w:rsidRPr="003D7553">
        <w:rPr>
          <w:rFonts w:ascii="Times New Roman" w:hAnsi="Times New Roman" w:cs="Times New Roman"/>
          <w:sz w:val="24"/>
          <w:szCs w:val="24"/>
        </w:rPr>
        <w:instrText>" : "" }, { "</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family</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Ferencikova</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given</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Sonia</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non</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dropping</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particle</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parse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names</w:instrText>
      </w:r>
      <w:r w:rsidRPr="003D7553">
        <w:rPr>
          <w:rFonts w:ascii="Times New Roman" w:hAnsi="Times New Roman" w:cs="Times New Roman"/>
          <w:sz w:val="24"/>
          <w:szCs w:val="24"/>
        </w:rPr>
        <w:instrText xml:space="preserve">" : </w:instrText>
      </w:r>
      <w:r w:rsidRPr="003D7553">
        <w:rPr>
          <w:rFonts w:ascii="Times New Roman" w:hAnsi="Times New Roman" w:cs="Times New Roman"/>
          <w:sz w:val="24"/>
          <w:szCs w:val="24"/>
          <w:lang w:val="en-US"/>
        </w:rPr>
        <w:instrText>false</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suffix</w:instrText>
      </w:r>
      <w:r w:rsidRPr="003D7553">
        <w:rPr>
          <w:rFonts w:ascii="Times New Roman" w:hAnsi="Times New Roman" w:cs="Times New Roman"/>
          <w:sz w:val="24"/>
          <w:szCs w:val="24"/>
        </w:rPr>
        <w:instrText>" : "" } ], "</w:instrText>
      </w:r>
      <w:r w:rsidRPr="003D7553">
        <w:rPr>
          <w:rFonts w:ascii="Times New Roman" w:hAnsi="Times New Roman" w:cs="Times New Roman"/>
          <w:sz w:val="24"/>
          <w:szCs w:val="24"/>
          <w:lang w:val="en-US"/>
        </w:rPr>
        <w:instrText>container</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title</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European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International</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Business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Academy</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id</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ITEM</w:instrText>
      </w:r>
      <w:r w:rsidRPr="003D7553">
        <w:rPr>
          <w:rFonts w:ascii="Times New Roman" w:hAnsi="Times New Roman" w:cs="Times New Roman"/>
          <w:sz w:val="24"/>
          <w:szCs w:val="24"/>
        </w:rPr>
        <w:instrText>-2", "</w:instrText>
      </w:r>
      <w:r w:rsidRPr="003D7553">
        <w:rPr>
          <w:rFonts w:ascii="Times New Roman" w:hAnsi="Times New Roman" w:cs="Times New Roman"/>
          <w:sz w:val="24"/>
          <w:szCs w:val="24"/>
          <w:lang w:val="en-US"/>
        </w:rPr>
        <w:instrText>issue</w:instrText>
      </w:r>
      <w:r w:rsidRPr="003D7553">
        <w:rPr>
          <w:rFonts w:ascii="Times New Roman" w:hAnsi="Times New Roman" w:cs="Times New Roman"/>
          <w:sz w:val="24"/>
          <w:szCs w:val="24"/>
        </w:rPr>
        <w:instrText>" : "33", "</w:instrText>
      </w:r>
      <w:r w:rsidRPr="003D7553">
        <w:rPr>
          <w:rFonts w:ascii="Times New Roman" w:hAnsi="Times New Roman" w:cs="Times New Roman"/>
          <w:sz w:val="24"/>
          <w:szCs w:val="24"/>
          <w:lang w:val="en-US"/>
        </w:rPr>
        <w:instrText>issued</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date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parts</w:instrText>
      </w:r>
      <w:r w:rsidRPr="003D7553">
        <w:rPr>
          <w:rFonts w:ascii="Times New Roman" w:hAnsi="Times New Roman" w:cs="Times New Roman"/>
          <w:sz w:val="24"/>
          <w:szCs w:val="24"/>
        </w:rPr>
        <w:instrText>" : [ [ "2007" ] ] }, "</w:instrText>
      </w:r>
      <w:r w:rsidRPr="003D7553">
        <w:rPr>
          <w:rFonts w:ascii="Times New Roman" w:hAnsi="Times New Roman" w:cs="Times New Roman"/>
          <w:sz w:val="24"/>
          <w:szCs w:val="24"/>
          <w:lang w:val="en-US"/>
        </w:rPr>
        <w:instrText>page</w:instrText>
      </w:r>
      <w:r w:rsidRPr="003D7553">
        <w:rPr>
          <w:rFonts w:ascii="Times New Roman" w:hAnsi="Times New Roman" w:cs="Times New Roman"/>
          <w:sz w:val="24"/>
          <w:szCs w:val="24"/>
        </w:rPr>
        <w:instrText>" : "1-26", "</w:instrText>
      </w:r>
      <w:r w:rsidRPr="003D7553">
        <w:rPr>
          <w:rFonts w:ascii="Times New Roman" w:hAnsi="Times New Roman" w:cs="Times New Roman"/>
          <w:sz w:val="24"/>
          <w:szCs w:val="24"/>
          <w:lang w:val="en-US"/>
        </w:rPr>
        <w:instrText>title</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The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Measurement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and</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Impact</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of</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Psychic</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Distance</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Testing</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New</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Scales</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on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FDI</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in</w:instrText>
      </w:r>
      <w:r w:rsidRPr="003D7553">
        <w:rPr>
          <w:rFonts w:ascii="Times New Roman" w:hAnsi="Times New Roman" w:cs="Times New Roman"/>
          <w:sz w:val="24"/>
          <w:szCs w:val="24"/>
        </w:rPr>
        <w:instrText xml:space="preserve"> </w:instrText>
      </w:r>
      <w:r w:rsidRPr="003D7553">
        <w:rPr>
          <w:rFonts w:ascii="Times New Roman" w:hAnsi="Times New Roman" w:cs="Times New Roman"/>
          <w:sz w:val="24"/>
          <w:szCs w:val="24"/>
          <w:lang w:val="en-US"/>
        </w:rPr>
        <w:instrText>Slovakia</w:instrText>
      </w:r>
      <w:r w:rsidRPr="003D7553">
        <w:rPr>
          <w:rFonts w:ascii="Times New Roman" w:hAnsi="Times New Roman" w:cs="Times New Roman"/>
          <w:sz w:val="24"/>
          <w:szCs w:val="24"/>
        </w:rPr>
        <w:instrText>", "</w:instrText>
      </w:r>
      <w:r w:rsidRPr="003D7553">
        <w:rPr>
          <w:rFonts w:ascii="Times New Roman" w:hAnsi="Times New Roman" w:cs="Times New Roman"/>
          <w:sz w:val="24"/>
          <w:szCs w:val="24"/>
          <w:lang w:val="en-US"/>
        </w:rPr>
        <w:instrText>type</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article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journal</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uris</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http</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www</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mendeley</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com</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documents</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uuid</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b</w:instrText>
      </w:r>
      <w:r w:rsidRPr="003D7553">
        <w:rPr>
          <w:rFonts w:ascii="Times New Roman" w:hAnsi="Times New Roman" w:cs="Times New Roman"/>
          <w:sz w:val="24"/>
          <w:szCs w:val="24"/>
        </w:rPr>
        <w:instrText>2</w:instrText>
      </w:r>
      <w:r w:rsidRPr="003D7553">
        <w:rPr>
          <w:rFonts w:ascii="Times New Roman" w:hAnsi="Times New Roman" w:cs="Times New Roman"/>
          <w:sz w:val="24"/>
          <w:szCs w:val="24"/>
          <w:lang w:val="en-US"/>
        </w:rPr>
        <w:instrText>cc</w:instrText>
      </w:r>
      <w:r w:rsidRPr="003D7553">
        <w:rPr>
          <w:rFonts w:ascii="Times New Roman" w:hAnsi="Times New Roman" w:cs="Times New Roman"/>
          <w:sz w:val="24"/>
          <w:szCs w:val="24"/>
        </w:rPr>
        <w:instrText>1</w:instrText>
      </w:r>
      <w:r w:rsidRPr="003D7553">
        <w:rPr>
          <w:rFonts w:ascii="Times New Roman" w:hAnsi="Times New Roman" w:cs="Times New Roman"/>
          <w:sz w:val="24"/>
          <w:szCs w:val="24"/>
          <w:lang w:val="en-US"/>
        </w:rPr>
        <w:instrText>b</w:instrText>
      </w:r>
      <w:r w:rsidRPr="003D7553">
        <w:rPr>
          <w:rFonts w:ascii="Times New Roman" w:hAnsi="Times New Roman" w:cs="Times New Roman"/>
          <w:sz w:val="24"/>
          <w:szCs w:val="24"/>
        </w:rPr>
        <w:instrText>0</w:instrText>
      </w:r>
      <w:r w:rsidRPr="003D7553">
        <w:rPr>
          <w:rFonts w:ascii="Times New Roman" w:hAnsi="Times New Roman" w:cs="Times New Roman"/>
          <w:sz w:val="24"/>
          <w:szCs w:val="24"/>
          <w:lang w:val="en-US"/>
        </w:rPr>
        <w:instrText>f</w:instrText>
      </w:r>
      <w:r w:rsidRPr="003D7553">
        <w:rPr>
          <w:rFonts w:ascii="Times New Roman" w:hAnsi="Times New Roman" w:cs="Times New Roman"/>
          <w:sz w:val="24"/>
          <w:szCs w:val="24"/>
        </w:rPr>
        <w:instrText>-56</w:instrText>
      </w:r>
      <w:r w:rsidRPr="003D7553">
        <w:rPr>
          <w:rFonts w:ascii="Times New Roman" w:hAnsi="Times New Roman" w:cs="Times New Roman"/>
          <w:sz w:val="24"/>
          <w:szCs w:val="24"/>
          <w:lang w:val="en-US"/>
        </w:rPr>
        <w:instrText>e</w:instrText>
      </w:r>
      <w:r w:rsidRPr="003D7553">
        <w:rPr>
          <w:rFonts w:ascii="Times New Roman" w:hAnsi="Times New Roman" w:cs="Times New Roman"/>
          <w:sz w:val="24"/>
          <w:szCs w:val="24"/>
        </w:rPr>
        <w:instrText>1-4754-</w:instrText>
      </w:r>
      <w:r w:rsidRPr="003D7553">
        <w:rPr>
          <w:rFonts w:ascii="Times New Roman" w:hAnsi="Times New Roman" w:cs="Times New Roman"/>
          <w:sz w:val="24"/>
          <w:szCs w:val="24"/>
          <w:lang w:val="en-US"/>
        </w:rPr>
        <w:instrText>a</w:instrText>
      </w:r>
      <w:r w:rsidRPr="003D7553">
        <w:rPr>
          <w:rFonts w:ascii="Times New Roman" w:hAnsi="Times New Roman" w:cs="Times New Roman"/>
          <w:sz w:val="24"/>
          <w:szCs w:val="24"/>
        </w:rPr>
        <w:instrText>6</w:instrText>
      </w:r>
      <w:r w:rsidRPr="003D7553">
        <w:rPr>
          <w:rFonts w:ascii="Times New Roman" w:hAnsi="Times New Roman" w:cs="Times New Roman"/>
          <w:sz w:val="24"/>
          <w:szCs w:val="24"/>
          <w:lang w:val="en-US"/>
        </w:rPr>
        <w:instrText>ae</w:instrText>
      </w:r>
      <w:r w:rsidRPr="003D7553">
        <w:rPr>
          <w:rFonts w:ascii="Times New Roman" w:hAnsi="Times New Roman" w:cs="Times New Roman"/>
          <w:sz w:val="24"/>
          <w:szCs w:val="24"/>
        </w:rPr>
        <w:instrText>-19</w:instrText>
      </w:r>
      <w:r w:rsidRPr="003D7553">
        <w:rPr>
          <w:rFonts w:ascii="Times New Roman" w:hAnsi="Times New Roman" w:cs="Times New Roman"/>
          <w:sz w:val="24"/>
          <w:szCs w:val="24"/>
          <w:lang w:val="en-US"/>
        </w:rPr>
        <w:instrText>d</w:instrText>
      </w:r>
      <w:r w:rsidRPr="003D7553">
        <w:rPr>
          <w:rFonts w:ascii="Times New Roman" w:hAnsi="Times New Roman" w:cs="Times New Roman"/>
          <w:sz w:val="24"/>
          <w:szCs w:val="24"/>
        </w:rPr>
        <w:instrText>6</w:instrText>
      </w:r>
      <w:r w:rsidRPr="003D7553">
        <w:rPr>
          <w:rFonts w:ascii="Times New Roman" w:hAnsi="Times New Roman" w:cs="Times New Roman"/>
          <w:sz w:val="24"/>
          <w:szCs w:val="24"/>
          <w:lang w:val="en-US"/>
        </w:rPr>
        <w:instrText>a</w:instrText>
      </w:r>
      <w:r w:rsidRPr="003D7553">
        <w:rPr>
          <w:rFonts w:ascii="Times New Roman" w:hAnsi="Times New Roman" w:cs="Times New Roman"/>
          <w:sz w:val="24"/>
          <w:szCs w:val="24"/>
        </w:rPr>
        <w:instrText>1204</w:instrText>
      </w:r>
      <w:r w:rsidRPr="003D7553">
        <w:rPr>
          <w:rFonts w:ascii="Times New Roman" w:hAnsi="Times New Roman" w:cs="Times New Roman"/>
          <w:sz w:val="24"/>
          <w:szCs w:val="24"/>
          <w:lang w:val="en-US"/>
        </w:rPr>
        <w:instrText>bee</w:instrText>
      </w:r>
      <w:r w:rsidRPr="003D7553">
        <w:rPr>
          <w:rFonts w:ascii="Times New Roman" w:hAnsi="Times New Roman" w:cs="Times New Roman"/>
          <w:sz w:val="24"/>
          <w:szCs w:val="24"/>
        </w:rPr>
        <w:instrText>" ] } ], "</w:instrText>
      </w:r>
      <w:r w:rsidRPr="003D7553">
        <w:rPr>
          <w:rFonts w:ascii="Times New Roman" w:hAnsi="Times New Roman" w:cs="Times New Roman"/>
          <w:sz w:val="24"/>
          <w:szCs w:val="24"/>
          <w:lang w:val="en-US"/>
        </w:rPr>
        <w:instrText>mendeley</w:instrText>
      </w:r>
      <w:r w:rsidRPr="003D7553">
        <w:rPr>
          <w:rFonts w:ascii="Times New Roman" w:hAnsi="Times New Roman" w:cs="Times New Roman"/>
          <w:sz w:val="24"/>
          <w:szCs w:val="24"/>
        </w:rPr>
        <w:instrText>" : { "</w:instrText>
      </w:r>
      <w:r w:rsidRPr="003D7553">
        <w:rPr>
          <w:rFonts w:ascii="Times New Roman" w:hAnsi="Times New Roman" w:cs="Times New Roman"/>
          <w:sz w:val="24"/>
          <w:szCs w:val="24"/>
          <w:lang w:val="en-US"/>
        </w:rPr>
        <w:instrText>formattedCitation</w:instrText>
      </w:r>
      <w:r w:rsidRPr="003D7553">
        <w:rPr>
          <w:rFonts w:ascii="Times New Roman" w:hAnsi="Times New Roman" w:cs="Times New Roman"/>
          <w:sz w:val="24"/>
          <w:szCs w:val="24"/>
        </w:rPr>
        <w:instrText>" : "[10, 20]", "</w:instrText>
      </w:r>
      <w:r w:rsidRPr="003D7553">
        <w:rPr>
          <w:rFonts w:ascii="Times New Roman" w:hAnsi="Times New Roman" w:cs="Times New Roman"/>
          <w:sz w:val="24"/>
          <w:szCs w:val="24"/>
          <w:lang w:val="en-US"/>
        </w:rPr>
        <w:instrText>plainTextFormattedCitation</w:instrText>
      </w:r>
      <w:r w:rsidRPr="003D7553">
        <w:rPr>
          <w:rFonts w:ascii="Times New Roman" w:hAnsi="Times New Roman" w:cs="Times New Roman"/>
          <w:sz w:val="24"/>
          <w:szCs w:val="24"/>
        </w:rPr>
        <w:instrText>" : "[10, 20]", "</w:instrText>
      </w:r>
      <w:r w:rsidRPr="003D7553">
        <w:rPr>
          <w:rFonts w:ascii="Times New Roman" w:hAnsi="Times New Roman" w:cs="Times New Roman"/>
          <w:sz w:val="24"/>
          <w:szCs w:val="24"/>
          <w:lang w:val="en-US"/>
        </w:rPr>
        <w:instrText>previouslyFormattedCitation</w:instrText>
      </w:r>
      <w:r w:rsidRPr="003D7553">
        <w:rPr>
          <w:rFonts w:ascii="Times New Roman" w:hAnsi="Times New Roman" w:cs="Times New Roman"/>
          <w:sz w:val="24"/>
          <w:szCs w:val="24"/>
        </w:rPr>
        <w:instrText>" : "[10, 20]" }, "</w:instrText>
      </w:r>
      <w:r w:rsidRPr="003D7553">
        <w:rPr>
          <w:rFonts w:ascii="Times New Roman" w:hAnsi="Times New Roman" w:cs="Times New Roman"/>
          <w:sz w:val="24"/>
          <w:szCs w:val="24"/>
          <w:lang w:val="en-US"/>
        </w:rPr>
        <w:instrText>properties</w:instrText>
      </w:r>
      <w:r w:rsidRPr="003D7553">
        <w:rPr>
          <w:rFonts w:ascii="Times New Roman" w:hAnsi="Times New Roman" w:cs="Times New Roman"/>
          <w:sz w:val="24"/>
          <w:szCs w:val="24"/>
        </w:rPr>
        <w:instrText>" : {  }, "</w:instrText>
      </w:r>
      <w:r w:rsidRPr="003D7553">
        <w:rPr>
          <w:rFonts w:ascii="Times New Roman" w:hAnsi="Times New Roman" w:cs="Times New Roman"/>
          <w:sz w:val="24"/>
          <w:szCs w:val="24"/>
          <w:lang w:val="en-US"/>
        </w:rPr>
        <w:instrText>schema</w:instrText>
      </w:r>
      <w:r w:rsidRPr="003D7553">
        <w:rPr>
          <w:rFonts w:ascii="Times New Roman" w:hAnsi="Times New Roman" w:cs="Times New Roman"/>
          <w:sz w:val="24"/>
          <w:szCs w:val="24"/>
        </w:rPr>
        <w:instrText>" : "</w:instrText>
      </w:r>
      <w:r w:rsidRPr="003D7553">
        <w:rPr>
          <w:rFonts w:ascii="Times New Roman" w:hAnsi="Times New Roman" w:cs="Times New Roman"/>
          <w:sz w:val="24"/>
          <w:szCs w:val="24"/>
          <w:lang w:val="en-US"/>
        </w:rPr>
        <w:instrText>https</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github</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com</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citation</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style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language</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schema</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raw</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master</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csl</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citation</w:instrText>
      </w:r>
      <w:r w:rsidRPr="003D7553">
        <w:rPr>
          <w:rFonts w:ascii="Times New Roman" w:hAnsi="Times New Roman" w:cs="Times New Roman"/>
          <w:sz w:val="24"/>
          <w:szCs w:val="24"/>
        </w:rPr>
        <w:instrText>.</w:instrText>
      </w:r>
      <w:r w:rsidRPr="003D7553">
        <w:rPr>
          <w:rFonts w:ascii="Times New Roman" w:hAnsi="Times New Roman" w:cs="Times New Roman"/>
          <w:sz w:val="24"/>
          <w:szCs w:val="24"/>
          <w:lang w:val="en-US"/>
        </w:rPr>
        <w:instrText>json</w:instrText>
      </w:r>
      <w:r w:rsidRPr="003D7553">
        <w:rPr>
          <w:rFonts w:ascii="Times New Roman" w:hAnsi="Times New Roman" w:cs="Times New Roman"/>
          <w:sz w:val="24"/>
          <w:szCs w:val="24"/>
        </w:rPr>
        <w:instrText>" }</w:instrText>
      </w:r>
      <w:r w:rsidR="00CB3F9D" w:rsidRPr="003D7553">
        <w:rPr>
          <w:rFonts w:ascii="Times New Roman" w:hAnsi="Times New Roman" w:cs="Times New Roman"/>
          <w:sz w:val="24"/>
          <w:szCs w:val="24"/>
          <w:lang w:val="en-US"/>
        </w:rPr>
        <w:fldChar w:fldCharType="separate"/>
      </w:r>
      <w:r w:rsidRPr="003D7553">
        <w:rPr>
          <w:rFonts w:ascii="Times New Roman" w:hAnsi="Times New Roman" w:cs="Times New Roman"/>
          <w:noProof/>
          <w:sz w:val="24"/>
          <w:szCs w:val="24"/>
        </w:rPr>
        <w:t>[10, 20]</w:t>
      </w:r>
      <w:r w:rsidR="00CB3F9D" w:rsidRPr="003D7553">
        <w:rPr>
          <w:rFonts w:ascii="Times New Roman" w:hAnsi="Times New Roman" w:cs="Times New Roman"/>
          <w:sz w:val="24"/>
          <w:szCs w:val="24"/>
          <w:lang w:val="en-US"/>
        </w:rPr>
        <w:fldChar w:fldCharType="end"/>
      </w:r>
      <w:r w:rsidRPr="003D7553">
        <w:rPr>
          <w:rFonts w:ascii="Times New Roman" w:hAnsi="Times New Roman" w:cs="Times New Roman"/>
          <w:sz w:val="24"/>
          <w:szCs w:val="24"/>
        </w:rPr>
        <w:t>.</w:t>
      </w:r>
    </w:p>
    <w:p w14:paraId="30587A95"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Показатель, отражающий временные зоны, представляет собой стандартизированные остатки, полученные путем регрессии географического расстояния на разницу во времени </w:t>
      </w:r>
      <w:r w:rsidR="00CB3F9D" w:rsidRPr="003D7553">
        <w:rPr>
          <w:rFonts w:ascii="Times New Roman" w:hAnsi="Times New Roman" w:cs="Times New Roman"/>
          <w:sz w:val="24"/>
          <w:szCs w:val="24"/>
        </w:rPr>
        <w:fldChar w:fldCharType="begin" w:fldLock="1"/>
      </w:r>
      <w:r w:rsidRPr="003D7553">
        <w:rPr>
          <w:rFonts w:ascii="Times New Roman" w:hAnsi="Times New Roman" w:cs="Times New Roman"/>
          <w:sz w:val="24"/>
          <w:szCs w:val="24"/>
        </w:rPr>
        <w:instrText>ADDIN CSL_CITATION { "citationItems" : [ { "id" : "ITEM-1", "itemData" : { "DOI" : "10.1057/palgrave.jibs.8400221", "ISBN" : "4951176289", "ISSN" : "00472506", "PMID" : "197133139", "abstract" : "This paper develops and tests a range of potential psychic distance stimuli including differences in culture, language, religion, education, and political systems. Using trade flows among a set of 38 nations as the dependent variable, it is shown that, whereas the majority of the proposed indicators prove to be statistically significant predictors of trade flows, the most common psychic distance surrogate \u2013 a composite measure of Hofstede\u2019s cultural dimensions \u2013 is not significant", "author" : [ { "dropping-particle" : "", "family" : "Dow", "given" : "Douglas", "non-dropping-particle" : "", "parse-names" : false, "suffix" : "" }, { "dropping-particle" : "", "family" : "Karunaratna", "given" : "Amal", "non-dropping-particle" : "", "parse-names" : false, "suffix" : "" } ], "container-title" : "Journal of International Business Studies", "id" : "ITEM-1", "issue" : "5", "issued" : { "date-parts" : [ [ "2006" ] ] }, "page" : "578-602", "title" : "Developing a multidimensional instrument to measure psychic distance stimuli", "type" : "article-journal", "volume" : "37" }, "uris" : [ "http://www.mendeley.com/documents/?uuid=086adf55-df44-4d08-a732-77e7f7d940d8" ] } ], "mendeley" : { "formattedCitation" : "[11]", "plainTextFormattedCitation" : "[11]", "previouslyFormattedCitation" : "[11]" }, "properties" : {  }, "schema" : "https://github.com/citation-style-language/schema/raw/master/csl-citation.json" }</w:instrText>
      </w:r>
      <w:r w:rsidR="00CB3F9D" w:rsidRPr="003D7553">
        <w:rPr>
          <w:rFonts w:ascii="Times New Roman" w:hAnsi="Times New Roman" w:cs="Times New Roman"/>
          <w:sz w:val="24"/>
          <w:szCs w:val="24"/>
        </w:rPr>
        <w:fldChar w:fldCharType="separate"/>
      </w:r>
      <w:r w:rsidRPr="003D7553">
        <w:rPr>
          <w:rFonts w:ascii="Times New Roman" w:hAnsi="Times New Roman" w:cs="Times New Roman"/>
          <w:noProof/>
          <w:sz w:val="24"/>
          <w:szCs w:val="24"/>
        </w:rPr>
        <w:t>[11]</w:t>
      </w:r>
      <w:r w:rsidR="00CB3F9D" w:rsidRPr="003D7553">
        <w:rPr>
          <w:rFonts w:ascii="Times New Roman" w:hAnsi="Times New Roman" w:cs="Times New Roman"/>
          <w:sz w:val="24"/>
          <w:szCs w:val="24"/>
        </w:rPr>
        <w:fldChar w:fldCharType="end"/>
      </w:r>
      <w:r w:rsidRPr="003D7553">
        <w:rPr>
          <w:rFonts w:ascii="Times New Roman" w:hAnsi="Times New Roman" w:cs="Times New Roman"/>
          <w:sz w:val="24"/>
          <w:szCs w:val="24"/>
        </w:rPr>
        <w:t xml:space="preserve">. </w:t>
      </w:r>
    </w:p>
    <w:p w14:paraId="157117B9"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Соглашения о свободной торговле – это фиктивная переменная, где 1 – подписанное соглашение, 0 – отсутствие договоренностей. </w:t>
      </w:r>
    </w:p>
    <w:p w14:paraId="378D91A0" w14:textId="77777777" w:rsidR="002245D5" w:rsidRPr="003D7553" w:rsidRDefault="002245D5" w:rsidP="002245D5">
      <w:pPr>
        <w:spacing w:after="0" w:line="240" w:lineRule="auto"/>
        <w:ind w:firstLine="709"/>
        <w:jc w:val="both"/>
        <w:rPr>
          <w:rFonts w:ascii="Times New Roman" w:hAnsi="Times New Roman" w:cs="Times New Roman"/>
          <w:sz w:val="24"/>
          <w:szCs w:val="24"/>
        </w:rPr>
      </w:pPr>
      <w:bookmarkStart w:id="7" w:name="_Hlk506815641"/>
      <w:r w:rsidRPr="003D7553">
        <w:rPr>
          <w:rFonts w:ascii="Times New Roman" w:hAnsi="Times New Roman" w:cs="Times New Roman"/>
          <w:sz w:val="24"/>
          <w:szCs w:val="24"/>
        </w:rPr>
        <w:t xml:space="preserve">В модель были включены 4 переменных, которые, как предполагается, являются стимулами психологической дистанции и оказывают влияние на объем экспорта Гонконга, Кореи, Сингапура и Тайваня. </w:t>
      </w:r>
    </w:p>
    <w:p w14:paraId="5BE93A62" w14:textId="77777777" w:rsidR="002245D5" w:rsidRPr="003D7553" w:rsidRDefault="002245D5" w:rsidP="002245D5">
      <w:pPr>
        <w:spacing w:after="0" w:line="240" w:lineRule="auto"/>
        <w:ind w:firstLine="709"/>
        <w:jc w:val="both"/>
        <w:rPr>
          <w:rFonts w:ascii="Times New Roman" w:hAnsi="Times New Roman" w:cs="Times New Roman"/>
          <w:sz w:val="24"/>
          <w:szCs w:val="24"/>
        </w:rPr>
      </w:pPr>
    </w:p>
    <w:p w14:paraId="3F46D80C" w14:textId="77777777" w:rsidR="002245D5" w:rsidRPr="003D7553" w:rsidRDefault="002245D5" w:rsidP="002245D5">
      <w:pPr>
        <w:spacing w:after="0" w:line="240" w:lineRule="auto"/>
        <w:ind w:firstLine="709"/>
        <w:jc w:val="right"/>
        <w:rPr>
          <w:rFonts w:ascii="Times New Roman" w:hAnsi="Times New Roman" w:cs="Times New Roman"/>
          <w:sz w:val="24"/>
          <w:szCs w:val="24"/>
        </w:rPr>
      </w:pPr>
      <w:r w:rsidRPr="003D7553">
        <w:rPr>
          <w:rFonts w:ascii="Times New Roman" w:hAnsi="Times New Roman" w:cs="Times New Roman"/>
          <w:sz w:val="24"/>
          <w:szCs w:val="24"/>
        </w:rPr>
        <w:t>Таблица 1 – Корреляция</w:t>
      </w:r>
    </w:p>
    <w:p w14:paraId="384BA73E" w14:textId="77777777" w:rsidR="00E7256F" w:rsidRPr="003D7553" w:rsidRDefault="00E7256F" w:rsidP="002245D5">
      <w:pPr>
        <w:spacing w:after="0" w:line="240" w:lineRule="auto"/>
        <w:ind w:firstLine="709"/>
        <w:jc w:val="right"/>
        <w:rPr>
          <w:rFonts w:ascii="Times New Roman" w:hAnsi="Times New Roman" w:cs="Times New Roman"/>
          <w:sz w:val="24"/>
          <w:szCs w:val="24"/>
        </w:rPr>
      </w:pPr>
    </w:p>
    <w:tbl>
      <w:tblPr>
        <w:tblW w:w="9913" w:type="dxa"/>
        <w:tblLook w:val="04A0" w:firstRow="1" w:lastRow="0" w:firstColumn="1" w:lastColumn="0" w:noHBand="0" w:noVBand="1"/>
      </w:tblPr>
      <w:tblGrid>
        <w:gridCol w:w="1335"/>
        <w:gridCol w:w="1357"/>
        <w:gridCol w:w="1532"/>
        <w:gridCol w:w="1050"/>
        <w:gridCol w:w="1489"/>
        <w:gridCol w:w="1050"/>
        <w:gridCol w:w="1050"/>
        <w:gridCol w:w="1050"/>
      </w:tblGrid>
      <w:tr w:rsidR="002245D5" w:rsidRPr="003D7553" w14:paraId="1BA0F074" w14:textId="77777777" w:rsidTr="002245D5">
        <w:trPr>
          <w:trHeight w:val="270"/>
        </w:trPr>
        <w:tc>
          <w:tcPr>
            <w:tcW w:w="13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7BEAA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357" w:type="dxa"/>
            <w:tcBorders>
              <w:top w:val="single" w:sz="4" w:space="0" w:color="auto"/>
              <w:left w:val="nil"/>
              <w:bottom w:val="single" w:sz="4" w:space="0" w:color="auto"/>
              <w:right w:val="nil"/>
            </w:tcBorders>
            <w:shd w:val="clear" w:color="000000" w:fill="FFFFFF"/>
            <w:noWrap/>
            <w:vAlign w:val="bottom"/>
            <w:hideMark/>
          </w:tcPr>
          <w:p w14:paraId="0FBF925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Export (ln)</w:t>
            </w:r>
          </w:p>
        </w:tc>
        <w:tc>
          <w:tcPr>
            <w:tcW w:w="1532" w:type="dxa"/>
            <w:tcBorders>
              <w:top w:val="single" w:sz="4" w:space="0" w:color="auto"/>
              <w:left w:val="nil"/>
              <w:bottom w:val="single" w:sz="4" w:space="0" w:color="auto"/>
              <w:right w:val="nil"/>
            </w:tcBorders>
            <w:shd w:val="clear" w:color="000000" w:fill="FFFFFF"/>
            <w:noWrap/>
            <w:vAlign w:val="bottom"/>
            <w:hideMark/>
          </w:tcPr>
          <w:p w14:paraId="1CF2C373"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GDP (ln)</w:t>
            </w:r>
          </w:p>
        </w:tc>
        <w:tc>
          <w:tcPr>
            <w:tcW w:w="1050" w:type="dxa"/>
            <w:tcBorders>
              <w:top w:val="single" w:sz="4" w:space="0" w:color="auto"/>
              <w:left w:val="nil"/>
              <w:bottom w:val="single" w:sz="4" w:space="0" w:color="auto"/>
              <w:right w:val="nil"/>
            </w:tcBorders>
            <w:shd w:val="clear" w:color="000000" w:fill="FFFFFF"/>
            <w:noWrap/>
            <w:vAlign w:val="bottom"/>
            <w:hideMark/>
          </w:tcPr>
          <w:p w14:paraId="2736D70D"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Dist (ln)</w:t>
            </w:r>
          </w:p>
        </w:tc>
        <w:tc>
          <w:tcPr>
            <w:tcW w:w="1489" w:type="dxa"/>
            <w:tcBorders>
              <w:top w:val="single" w:sz="4" w:space="0" w:color="auto"/>
              <w:left w:val="nil"/>
              <w:bottom w:val="single" w:sz="4" w:space="0" w:color="auto"/>
              <w:right w:val="nil"/>
            </w:tcBorders>
            <w:shd w:val="clear" w:color="000000" w:fill="FFFFFF"/>
            <w:noWrap/>
            <w:vAlign w:val="bottom"/>
            <w:hideMark/>
          </w:tcPr>
          <w:p w14:paraId="442549AA"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CD</w:t>
            </w:r>
          </w:p>
        </w:tc>
        <w:tc>
          <w:tcPr>
            <w:tcW w:w="1050" w:type="dxa"/>
            <w:tcBorders>
              <w:top w:val="single" w:sz="4" w:space="0" w:color="auto"/>
              <w:left w:val="nil"/>
              <w:bottom w:val="single" w:sz="4" w:space="0" w:color="auto"/>
              <w:right w:val="nil"/>
            </w:tcBorders>
            <w:shd w:val="clear" w:color="000000" w:fill="FFFFFF"/>
            <w:noWrap/>
            <w:vAlign w:val="bottom"/>
            <w:hideMark/>
          </w:tcPr>
          <w:p w14:paraId="278ADFF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PD</w:t>
            </w:r>
          </w:p>
        </w:tc>
        <w:tc>
          <w:tcPr>
            <w:tcW w:w="1050" w:type="dxa"/>
            <w:tcBorders>
              <w:top w:val="single" w:sz="4" w:space="0" w:color="auto"/>
              <w:left w:val="nil"/>
              <w:bottom w:val="single" w:sz="4" w:space="0" w:color="auto"/>
              <w:right w:val="nil"/>
            </w:tcBorders>
            <w:shd w:val="clear" w:color="000000" w:fill="FFFFFF"/>
            <w:noWrap/>
            <w:vAlign w:val="bottom"/>
            <w:hideMark/>
          </w:tcPr>
          <w:p w14:paraId="4A146726"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Time</w:t>
            </w:r>
          </w:p>
        </w:tc>
        <w:tc>
          <w:tcPr>
            <w:tcW w:w="1050" w:type="dxa"/>
            <w:tcBorders>
              <w:top w:val="single" w:sz="4" w:space="0" w:color="auto"/>
              <w:left w:val="nil"/>
              <w:bottom w:val="single" w:sz="4" w:space="0" w:color="auto"/>
              <w:right w:val="single" w:sz="4" w:space="0" w:color="auto"/>
            </w:tcBorders>
            <w:shd w:val="clear" w:color="000000" w:fill="FFFFFF"/>
            <w:noWrap/>
            <w:vAlign w:val="bottom"/>
            <w:hideMark/>
          </w:tcPr>
          <w:p w14:paraId="5829F1D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FTA</w:t>
            </w:r>
          </w:p>
        </w:tc>
      </w:tr>
      <w:tr w:rsidR="002245D5" w:rsidRPr="003D7553" w14:paraId="1291E227" w14:textId="77777777" w:rsidTr="002245D5">
        <w:trPr>
          <w:trHeight w:val="270"/>
        </w:trPr>
        <w:tc>
          <w:tcPr>
            <w:tcW w:w="1335" w:type="dxa"/>
            <w:tcBorders>
              <w:top w:val="nil"/>
              <w:left w:val="single" w:sz="4" w:space="0" w:color="auto"/>
              <w:bottom w:val="nil"/>
              <w:right w:val="single" w:sz="4" w:space="0" w:color="auto"/>
            </w:tcBorders>
            <w:shd w:val="clear" w:color="000000" w:fill="FFFFFF"/>
            <w:noWrap/>
            <w:vAlign w:val="bottom"/>
            <w:hideMark/>
          </w:tcPr>
          <w:p w14:paraId="1F29615E"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Export (ln)</w:t>
            </w:r>
          </w:p>
        </w:tc>
        <w:tc>
          <w:tcPr>
            <w:tcW w:w="1357" w:type="dxa"/>
            <w:tcBorders>
              <w:top w:val="nil"/>
              <w:left w:val="nil"/>
              <w:bottom w:val="nil"/>
              <w:right w:val="nil"/>
            </w:tcBorders>
            <w:shd w:val="clear" w:color="000000" w:fill="FFFFFF"/>
            <w:noWrap/>
            <w:vAlign w:val="bottom"/>
            <w:hideMark/>
          </w:tcPr>
          <w:p w14:paraId="56B20A0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c>
          <w:tcPr>
            <w:tcW w:w="1532" w:type="dxa"/>
            <w:tcBorders>
              <w:top w:val="nil"/>
              <w:left w:val="nil"/>
              <w:bottom w:val="nil"/>
              <w:right w:val="nil"/>
            </w:tcBorders>
            <w:shd w:val="clear" w:color="000000" w:fill="FFFFFF"/>
            <w:noWrap/>
            <w:vAlign w:val="bottom"/>
            <w:hideMark/>
          </w:tcPr>
          <w:p w14:paraId="63E4A9CD"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4F6584BE"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489" w:type="dxa"/>
            <w:tcBorders>
              <w:top w:val="nil"/>
              <w:left w:val="nil"/>
              <w:bottom w:val="nil"/>
              <w:right w:val="nil"/>
            </w:tcBorders>
            <w:shd w:val="clear" w:color="000000" w:fill="FFFFFF"/>
            <w:noWrap/>
            <w:vAlign w:val="bottom"/>
            <w:hideMark/>
          </w:tcPr>
          <w:p w14:paraId="09AF38F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15AA318D"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01512BE8"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single" w:sz="4" w:space="0" w:color="auto"/>
            </w:tcBorders>
            <w:shd w:val="clear" w:color="000000" w:fill="FFFFFF"/>
            <w:noWrap/>
            <w:vAlign w:val="bottom"/>
            <w:hideMark/>
          </w:tcPr>
          <w:p w14:paraId="0DA70637"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r>
      <w:tr w:rsidR="002245D5" w:rsidRPr="003D7553" w14:paraId="1E3503F3" w14:textId="77777777" w:rsidTr="002245D5">
        <w:trPr>
          <w:trHeight w:val="270"/>
        </w:trPr>
        <w:tc>
          <w:tcPr>
            <w:tcW w:w="1335" w:type="dxa"/>
            <w:tcBorders>
              <w:top w:val="nil"/>
              <w:left w:val="single" w:sz="4" w:space="0" w:color="auto"/>
              <w:bottom w:val="nil"/>
              <w:right w:val="single" w:sz="4" w:space="0" w:color="auto"/>
            </w:tcBorders>
            <w:shd w:val="clear" w:color="000000" w:fill="FFFFFF"/>
            <w:noWrap/>
            <w:vAlign w:val="bottom"/>
            <w:hideMark/>
          </w:tcPr>
          <w:p w14:paraId="15F72CC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GDP (ln)</w:t>
            </w:r>
          </w:p>
        </w:tc>
        <w:tc>
          <w:tcPr>
            <w:tcW w:w="1357" w:type="dxa"/>
            <w:tcBorders>
              <w:top w:val="nil"/>
              <w:left w:val="nil"/>
              <w:bottom w:val="nil"/>
              <w:right w:val="nil"/>
            </w:tcBorders>
            <w:shd w:val="clear" w:color="000000" w:fill="FFFFFF"/>
            <w:noWrap/>
            <w:vAlign w:val="bottom"/>
            <w:hideMark/>
          </w:tcPr>
          <w:p w14:paraId="7D87A3E6"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0,828</w:t>
            </w:r>
          </w:p>
        </w:tc>
        <w:tc>
          <w:tcPr>
            <w:tcW w:w="1532" w:type="dxa"/>
            <w:tcBorders>
              <w:top w:val="nil"/>
              <w:left w:val="nil"/>
              <w:bottom w:val="nil"/>
              <w:right w:val="nil"/>
            </w:tcBorders>
            <w:shd w:val="clear" w:color="000000" w:fill="FFFFFF"/>
            <w:noWrap/>
            <w:vAlign w:val="bottom"/>
            <w:hideMark/>
          </w:tcPr>
          <w:p w14:paraId="249FAAB8"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c>
          <w:tcPr>
            <w:tcW w:w="1050" w:type="dxa"/>
            <w:tcBorders>
              <w:top w:val="nil"/>
              <w:left w:val="nil"/>
              <w:bottom w:val="nil"/>
              <w:right w:val="nil"/>
            </w:tcBorders>
            <w:shd w:val="clear" w:color="000000" w:fill="FFFFFF"/>
            <w:noWrap/>
            <w:vAlign w:val="bottom"/>
            <w:hideMark/>
          </w:tcPr>
          <w:p w14:paraId="4662417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489" w:type="dxa"/>
            <w:tcBorders>
              <w:top w:val="nil"/>
              <w:left w:val="nil"/>
              <w:bottom w:val="nil"/>
              <w:right w:val="nil"/>
            </w:tcBorders>
            <w:shd w:val="clear" w:color="000000" w:fill="FFFFFF"/>
            <w:noWrap/>
            <w:vAlign w:val="bottom"/>
            <w:hideMark/>
          </w:tcPr>
          <w:p w14:paraId="4B8484D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4F8F56C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649CC1FA"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single" w:sz="4" w:space="0" w:color="auto"/>
            </w:tcBorders>
            <w:shd w:val="clear" w:color="000000" w:fill="FFFFFF"/>
            <w:noWrap/>
            <w:vAlign w:val="bottom"/>
            <w:hideMark/>
          </w:tcPr>
          <w:p w14:paraId="10EF996B"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r>
      <w:tr w:rsidR="002245D5" w:rsidRPr="003D7553" w14:paraId="77F68CC5" w14:textId="77777777" w:rsidTr="002245D5">
        <w:trPr>
          <w:trHeight w:val="270"/>
        </w:trPr>
        <w:tc>
          <w:tcPr>
            <w:tcW w:w="1335" w:type="dxa"/>
            <w:tcBorders>
              <w:top w:val="nil"/>
              <w:left w:val="single" w:sz="4" w:space="0" w:color="auto"/>
              <w:bottom w:val="nil"/>
              <w:right w:val="single" w:sz="4" w:space="0" w:color="auto"/>
            </w:tcBorders>
            <w:shd w:val="clear" w:color="000000" w:fill="FFFFFF"/>
            <w:noWrap/>
            <w:vAlign w:val="bottom"/>
            <w:hideMark/>
          </w:tcPr>
          <w:p w14:paraId="3DD60FC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Dist (ln)</w:t>
            </w:r>
          </w:p>
        </w:tc>
        <w:tc>
          <w:tcPr>
            <w:tcW w:w="1357" w:type="dxa"/>
            <w:tcBorders>
              <w:top w:val="nil"/>
              <w:left w:val="nil"/>
              <w:bottom w:val="nil"/>
              <w:right w:val="nil"/>
            </w:tcBorders>
            <w:shd w:val="clear" w:color="000000" w:fill="FFFFFF"/>
            <w:noWrap/>
            <w:vAlign w:val="bottom"/>
            <w:hideMark/>
          </w:tcPr>
          <w:p w14:paraId="18B7BB1F"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-0,502</w:t>
            </w:r>
          </w:p>
        </w:tc>
        <w:tc>
          <w:tcPr>
            <w:tcW w:w="1532" w:type="dxa"/>
            <w:tcBorders>
              <w:top w:val="nil"/>
              <w:left w:val="nil"/>
              <w:bottom w:val="nil"/>
              <w:right w:val="nil"/>
            </w:tcBorders>
            <w:shd w:val="clear" w:color="000000" w:fill="FFFFFF"/>
            <w:noWrap/>
            <w:vAlign w:val="bottom"/>
            <w:hideMark/>
          </w:tcPr>
          <w:p w14:paraId="38BA061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-0,336</w:t>
            </w:r>
          </w:p>
        </w:tc>
        <w:tc>
          <w:tcPr>
            <w:tcW w:w="1050" w:type="dxa"/>
            <w:tcBorders>
              <w:top w:val="nil"/>
              <w:left w:val="nil"/>
              <w:bottom w:val="nil"/>
              <w:right w:val="nil"/>
            </w:tcBorders>
            <w:shd w:val="clear" w:color="000000" w:fill="FFFFFF"/>
            <w:noWrap/>
            <w:vAlign w:val="bottom"/>
            <w:hideMark/>
          </w:tcPr>
          <w:p w14:paraId="19F14E3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c>
          <w:tcPr>
            <w:tcW w:w="1489" w:type="dxa"/>
            <w:tcBorders>
              <w:top w:val="nil"/>
              <w:left w:val="nil"/>
              <w:bottom w:val="nil"/>
              <w:right w:val="nil"/>
            </w:tcBorders>
            <w:shd w:val="clear" w:color="000000" w:fill="FFFFFF"/>
            <w:noWrap/>
            <w:vAlign w:val="bottom"/>
            <w:hideMark/>
          </w:tcPr>
          <w:p w14:paraId="5E3886A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4ECEB11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0D8BF348"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single" w:sz="4" w:space="0" w:color="auto"/>
            </w:tcBorders>
            <w:shd w:val="clear" w:color="000000" w:fill="FFFFFF"/>
            <w:noWrap/>
            <w:vAlign w:val="bottom"/>
            <w:hideMark/>
          </w:tcPr>
          <w:p w14:paraId="5EDB29A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r>
      <w:tr w:rsidR="002245D5" w:rsidRPr="003D7553" w14:paraId="25B5909E" w14:textId="77777777" w:rsidTr="002245D5">
        <w:trPr>
          <w:trHeight w:val="270"/>
        </w:trPr>
        <w:tc>
          <w:tcPr>
            <w:tcW w:w="1335" w:type="dxa"/>
            <w:tcBorders>
              <w:top w:val="nil"/>
              <w:left w:val="single" w:sz="4" w:space="0" w:color="auto"/>
              <w:bottom w:val="nil"/>
              <w:right w:val="single" w:sz="4" w:space="0" w:color="auto"/>
            </w:tcBorders>
            <w:shd w:val="clear" w:color="000000" w:fill="FFFFFF"/>
            <w:noWrap/>
            <w:vAlign w:val="bottom"/>
            <w:hideMark/>
          </w:tcPr>
          <w:p w14:paraId="1CE8E39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CD</w:t>
            </w:r>
          </w:p>
        </w:tc>
        <w:tc>
          <w:tcPr>
            <w:tcW w:w="1357" w:type="dxa"/>
            <w:tcBorders>
              <w:top w:val="nil"/>
              <w:left w:val="nil"/>
              <w:bottom w:val="nil"/>
              <w:right w:val="nil"/>
            </w:tcBorders>
            <w:shd w:val="clear" w:color="000000" w:fill="FFFFFF"/>
            <w:noWrap/>
            <w:vAlign w:val="bottom"/>
            <w:hideMark/>
          </w:tcPr>
          <w:p w14:paraId="170424F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0,097</w:t>
            </w:r>
          </w:p>
        </w:tc>
        <w:tc>
          <w:tcPr>
            <w:tcW w:w="1532" w:type="dxa"/>
            <w:tcBorders>
              <w:top w:val="nil"/>
              <w:left w:val="nil"/>
              <w:bottom w:val="nil"/>
              <w:right w:val="nil"/>
            </w:tcBorders>
            <w:shd w:val="clear" w:color="000000" w:fill="FFFFFF"/>
            <w:noWrap/>
            <w:vAlign w:val="bottom"/>
            <w:hideMark/>
          </w:tcPr>
          <w:p w14:paraId="21074ACF"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0,235</w:t>
            </w:r>
          </w:p>
        </w:tc>
        <w:tc>
          <w:tcPr>
            <w:tcW w:w="1050" w:type="dxa"/>
            <w:tcBorders>
              <w:top w:val="nil"/>
              <w:left w:val="nil"/>
              <w:bottom w:val="nil"/>
              <w:right w:val="nil"/>
            </w:tcBorders>
            <w:shd w:val="clear" w:color="000000" w:fill="FFFFFF"/>
            <w:noWrap/>
            <w:vAlign w:val="bottom"/>
            <w:hideMark/>
          </w:tcPr>
          <w:p w14:paraId="6EAE768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0,186</w:t>
            </w:r>
          </w:p>
        </w:tc>
        <w:tc>
          <w:tcPr>
            <w:tcW w:w="1489" w:type="dxa"/>
            <w:tcBorders>
              <w:top w:val="nil"/>
              <w:left w:val="nil"/>
              <w:bottom w:val="nil"/>
              <w:right w:val="nil"/>
            </w:tcBorders>
            <w:shd w:val="clear" w:color="000000" w:fill="FFFFFF"/>
            <w:noWrap/>
            <w:vAlign w:val="bottom"/>
            <w:hideMark/>
          </w:tcPr>
          <w:p w14:paraId="065D241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c>
          <w:tcPr>
            <w:tcW w:w="1050" w:type="dxa"/>
            <w:tcBorders>
              <w:top w:val="nil"/>
              <w:left w:val="nil"/>
              <w:bottom w:val="nil"/>
              <w:right w:val="nil"/>
            </w:tcBorders>
            <w:shd w:val="clear" w:color="000000" w:fill="FFFFFF"/>
            <w:noWrap/>
            <w:vAlign w:val="bottom"/>
            <w:hideMark/>
          </w:tcPr>
          <w:p w14:paraId="4474F8A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nil"/>
            </w:tcBorders>
            <w:shd w:val="clear" w:color="000000" w:fill="FFFFFF"/>
            <w:noWrap/>
            <w:vAlign w:val="bottom"/>
            <w:hideMark/>
          </w:tcPr>
          <w:p w14:paraId="5E6F60B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single" w:sz="4" w:space="0" w:color="auto"/>
            </w:tcBorders>
            <w:shd w:val="clear" w:color="000000" w:fill="FFFFFF"/>
            <w:noWrap/>
            <w:vAlign w:val="bottom"/>
            <w:hideMark/>
          </w:tcPr>
          <w:p w14:paraId="1DF8BA6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r>
      <w:tr w:rsidR="002245D5" w:rsidRPr="003D7553" w14:paraId="0C873A2D" w14:textId="77777777" w:rsidTr="002245D5">
        <w:trPr>
          <w:trHeight w:val="270"/>
        </w:trPr>
        <w:tc>
          <w:tcPr>
            <w:tcW w:w="1335" w:type="dxa"/>
            <w:tcBorders>
              <w:top w:val="nil"/>
              <w:left w:val="single" w:sz="4" w:space="0" w:color="auto"/>
              <w:bottom w:val="nil"/>
              <w:right w:val="single" w:sz="4" w:space="0" w:color="auto"/>
            </w:tcBorders>
            <w:shd w:val="clear" w:color="000000" w:fill="FFFFFF"/>
            <w:noWrap/>
            <w:vAlign w:val="bottom"/>
            <w:hideMark/>
          </w:tcPr>
          <w:p w14:paraId="43F472E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PD</w:t>
            </w:r>
          </w:p>
        </w:tc>
        <w:tc>
          <w:tcPr>
            <w:tcW w:w="1357" w:type="dxa"/>
            <w:tcBorders>
              <w:top w:val="nil"/>
              <w:left w:val="nil"/>
              <w:bottom w:val="nil"/>
              <w:right w:val="nil"/>
            </w:tcBorders>
            <w:shd w:val="clear" w:color="000000" w:fill="FFFFFF"/>
            <w:noWrap/>
            <w:vAlign w:val="bottom"/>
            <w:hideMark/>
          </w:tcPr>
          <w:p w14:paraId="6F096F5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0,000</w:t>
            </w:r>
          </w:p>
        </w:tc>
        <w:tc>
          <w:tcPr>
            <w:tcW w:w="1532" w:type="dxa"/>
            <w:tcBorders>
              <w:top w:val="nil"/>
              <w:left w:val="nil"/>
              <w:bottom w:val="nil"/>
              <w:right w:val="nil"/>
            </w:tcBorders>
            <w:shd w:val="clear" w:color="000000" w:fill="FFFFFF"/>
            <w:noWrap/>
            <w:vAlign w:val="bottom"/>
            <w:hideMark/>
          </w:tcPr>
          <w:p w14:paraId="775FD6B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0,006</w:t>
            </w:r>
          </w:p>
        </w:tc>
        <w:tc>
          <w:tcPr>
            <w:tcW w:w="1050" w:type="dxa"/>
            <w:tcBorders>
              <w:top w:val="nil"/>
              <w:left w:val="nil"/>
              <w:bottom w:val="nil"/>
              <w:right w:val="nil"/>
            </w:tcBorders>
            <w:shd w:val="clear" w:color="000000" w:fill="FFFFFF"/>
            <w:noWrap/>
            <w:vAlign w:val="bottom"/>
            <w:hideMark/>
          </w:tcPr>
          <w:p w14:paraId="52456A8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0,016</w:t>
            </w:r>
          </w:p>
        </w:tc>
        <w:tc>
          <w:tcPr>
            <w:tcW w:w="1489" w:type="dxa"/>
            <w:tcBorders>
              <w:top w:val="nil"/>
              <w:left w:val="nil"/>
              <w:bottom w:val="nil"/>
              <w:right w:val="nil"/>
            </w:tcBorders>
            <w:shd w:val="clear" w:color="000000" w:fill="FFFFFF"/>
            <w:noWrap/>
            <w:vAlign w:val="bottom"/>
            <w:hideMark/>
          </w:tcPr>
          <w:p w14:paraId="3CDBC86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0,004</w:t>
            </w:r>
          </w:p>
        </w:tc>
        <w:tc>
          <w:tcPr>
            <w:tcW w:w="1050" w:type="dxa"/>
            <w:tcBorders>
              <w:top w:val="nil"/>
              <w:left w:val="nil"/>
              <w:bottom w:val="nil"/>
              <w:right w:val="nil"/>
            </w:tcBorders>
            <w:shd w:val="clear" w:color="000000" w:fill="FFFFFF"/>
            <w:noWrap/>
            <w:vAlign w:val="bottom"/>
            <w:hideMark/>
          </w:tcPr>
          <w:p w14:paraId="2E32D52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c>
          <w:tcPr>
            <w:tcW w:w="1050" w:type="dxa"/>
            <w:tcBorders>
              <w:top w:val="nil"/>
              <w:left w:val="nil"/>
              <w:bottom w:val="nil"/>
              <w:right w:val="nil"/>
            </w:tcBorders>
            <w:shd w:val="clear" w:color="000000" w:fill="FFFFFF"/>
            <w:noWrap/>
            <w:vAlign w:val="bottom"/>
            <w:hideMark/>
          </w:tcPr>
          <w:p w14:paraId="365DB198"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c>
          <w:tcPr>
            <w:tcW w:w="1050" w:type="dxa"/>
            <w:tcBorders>
              <w:top w:val="nil"/>
              <w:left w:val="nil"/>
              <w:bottom w:val="nil"/>
              <w:right w:val="single" w:sz="4" w:space="0" w:color="auto"/>
            </w:tcBorders>
            <w:shd w:val="clear" w:color="000000" w:fill="FFFFFF"/>
            <w:noWrap/>
            <w:vAlign w:val="bottom"/>
            <w:hideMark/>
          </w:tcPr>
          <w:p w14:paraId="1D5BCD6B"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r>
      <w:tr w:rsidR="002245D5" w:rsidRPr="003D7553" w14:paraId="63D5F12B" w14:textId="77777777" w:rsidTr="002245D5">
        <w:trPr>
          <w:trHeight w:val="270"/>
        </w:trPr>
        <w:tc>
          <w:tcPr>
            <w:tcW w:w="1335" w:type="dxa"/>
            <w:tcBorders>
              <w:top w:val="nil"/>
              <w:left w:val="single" w:sz="4" w:space="0" w:color="auto"/>
              <w:bottom w:val="nil"/>
              <w:right w:val="single" w:sz="4" w:space="0" w:color="auto"/>
            </w:tcBorders>
            <w:shd w:val="clear" w:color="000000" w:fill="FFFFFF"/>
            <w:noWrap/>
            <w:vAlign w:val="bottom"/>
            <w:hideMark/>
          </w:tcPr>
          <w:p w14:paraId="77B6B7C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Time</w:t>
            </w:r>
          </w:p>
        </w:tc>
        <w:tc>
          <w:tcPr>
            <w:tcW w:w="1357" w:type="dxa"/>
            <w:tcBorders>
              <w:top w:val="nil"/>
              <w:left w:val="nil"/>
              <w:bottom w:val="nil"/>
              <w:right w:val="nil"/>
            </w:tcBorders>
            <w:shd w:val="clear" w:color="000000" w:fill="FFFFFF"/>
            <w:noWrap/>
            <w:vAlign w:val="bottom"/>
            <w:hideMark/>
          </w:tcPr>
          <w:p w14:paraId="3F151C67"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0,037</w:t>
            </w:r>
          </w:p>
        </w:tc>
        <w:tc>
          <w:tcPr>
            <w:tcW w:w="1532" w:type="dxa"/>
            <w:tcBorders>
              <w:top w:val="nil"/>
              <w:left w:val="nil"/>
              <w:bottom w:val="nil"/>
              <w:right w:val="nil"/>
            </w:tcBorders>
            <w:shd w:val="clear" w:color="000000" w:fill="FFFFFF"/>
            <w:noWrap/>
            <w:vAlign w:val="bottom"/>
            <w:hideMark/>
          </w:tcPr>
          <w:p w14:paraId="5A54655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0,143</w:t>
            </w:r>
          </w:p>
        </w:tc>
        <w:tc>
          <w:tcPr>
            <w:tcW w:w="1050" w:type="dxa"/>
            <w:tcBorders>
              <w:top w:val="nil"/>
              <w:left w:val="nil"/>
              <w:bottom w:val="nil"/>
              <w:right w:val="nil"/>
            </w:tcBorders>
            <w:shd w:val="clear" w:color="000000" w:fill="FFFFFF"/>
            <w:noWrap/>
            <w:vAlign w:val="bottom"/>
            <w:hideMark/>
          </w:tcPr>
          <w:p w14:paraId="641B3006"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0,053</w:t>
            </w:r>
          </w:p>
        </w:tc>
        <w:tc>
          <w:tcPr>
            <w:tcW w:w="1489" w:type="dxa"/>
            <w:tcBorders>
              <w:top w:val="nil"/>
              <w:left w:val="nil"/>
              <w:bottom w:val="nil"/>
              <w:right w:val="nil"/>
            </w:tcBorders>
            <w:shd w:val="clear" w:color="000000" w:fill="FFFFFF"/>
            <w:noWrap/>
            <w:vAlign w:val="bottom"/>
            <w:hideMark/>
          </w:tcPr>
          <w:p w14:paraId="7AAE42CE"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0,052</w:t>
            </w:r>
          </w:p>
        </w:tc>
        <w:tc>
          <w:tcPr>
            <w:tcW w:w="1050" w:type="dxa"/>
            <w:tcBorders>
              <w:top w:val="nil"/>
              <w:left w:val="nil"/>
              <w:bottom w:val="nil"/>
              <w:right w:val="nil"/>
            </w:tcBorders>
            <w:shd w:val="clear" w:color="000000" w:fill="FFFFFF"/>
            <w:noWrap/>
            <w:vAlign w:val="bottom"/>
            <w:hideMark/>
          </w:tcPr>
          <w:p w14:paraId="6790168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-0,015</w:t>
            </w:r>
          </w:p>
        </w:tc>
        <w:tc>
          <w:tcPr>
            <w:tcW w:w="1050" w:type="dxa"/>
            <w:tcBorders>
              <w:top w:val="nil"/>
              <w:left w:val="nil"/>
              <w:bottom w:val="nil"/>
              <w:right w:val="nil"/>
            </w:tcBorders>
            <w:shd w:val="clear" w:color="000000" w:fill="FFFFFF"/>
            <w:noWrap/>
            <w:vAlign w:val="bottom"/>
            <w:hideMark/>
          </w:tcPr>
          <w:p w14:paraId="0C50080F"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c>
          <w:tcPr>
            <w:tcW w:w="1050" w:type="dxa"/>
            <w:tcBorders>
              <w:top w:val="nil"/>
              <w:left w:val="nil"/>
              <w:bottom w:val="nil"/>
              <w:right w:val="single" w:sz="4" w:space="0" w:color="auto"/>
            </w:tcBorders>
            <w:shd w:val="clear" w:color="000000" w:fill="FFFFFF"/>
            <w:noWrap/>
            <w:vAlign w:val="bottom"/>
            <w:hideMark/>
          </w:tcPr>
          <w:p w14:paraId="3BC5EC03"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w:t>
            </w:r>
          </w:p>
        </w:tc>
      </w:tr>
      <w:tr w:rsidR="002245D5" w:rsidRPr="003D7553" w14:paraId="438A3781" w14:textId="77777777" w:rsidTr="002245D5">
        <w:trPr>
          <w:trHeight w:val="270"/>
        </w:trPr>
        <w:tc>
          <w:tcPr>
            <w:tcW w:w="1335" w:type="dxa"/>
            <w:tcBorders>
              <w:top w:val="nil"/>
              <w:left w:val="single" w:sz="4" w:space="0" w:color="auto"/>
              <w:bottom w:val="single" w:sz="4" w:space="0" w:color="auto"/>
              <w:right w:val="single" w:sz="4" w:space="0" w:color="auto"/>
            </w:tcBorders>
            <w:shd w:val="clear" w:color="000000" w:fill="FFFFFF"/>
            <w:noWrap/>
            <w:vAlign w:val="bottom"/>
            <w:hideMark/>
          </w:tcPr>
          <w:p w14:paraId="34A14B1B"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FTA</w:t>
            </w:r>
          </w:p>
        </w:tc>
        <w:tc>
          <w:tcPr>
            <w:tcW w:w="1357" w:type="dxa"/>
            <w:tcBorders>
              <w:top w:val="nil"/>
              <w:left w:val="nil"/>
              <w:bottom w:val="single" w:sz="4" w:space="0" w:color="auto"/>
              <w:right w:val="nil"/>
            </w:tcBorders>
            <w:shd w:val="clear" w:color="000000" w:fill="FFFFFF"/>
            <w:noWrap/>
            <w:vAlign w:val="bottom"/>
            <w:hideMark/>
          </w:tcPr>
          <w:p w14:paraId="5FE9406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0,290</w:t>
            </w:r>
          </w:p>
        </w:tc>
        <w:tc>
          <w:tcPr>
            <w:tcW w:w="1532" w:type="dxa"/>
            <w:tcBorders>
              <w:top w:val="nil"/>
              <w:left w:val="nil"/>
              <w:bottom w:val="single" w:sz="4" w:space="0" w:color="auto"/>
              <w:right w:val="nil"/>
            </w:tcBorders>
            <w:shd w:val="clear" w:color="000000" w:fill="FFFFFF"/>
            <w:noWrap/>
            <w:vAlign w:val="bottom"/>
            <w:hideMark/>
          </w:tcPr>
          <w:p w14:paraId="0DA41E3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0,314</w:t>
            </w:r>
          </w:p>
        </w:tc>
        <w:tc>
          <w:tcPr>
            <w:tcW w:w="1050" w:type="dxa"/>
            <w:tcBorders>
              <w:top w:val="nil"/>
              <w:left w:val="nil"/>
              <w:bottom w:val="single" w:sz="4" w:space="0" w:color="auto"/>
              <w:right w:val="nil"/>
            </w:tcBorders>
            <w:shd w:val="clear" w:color="000000" w:fill="FFFFFF"/>
            <w:noWrap/>
            <w:vAlign w:val="bottom"/>
            <w:hideMark/>
          </w:tcPr>
          <w:p w14:paraId="6598AFA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-0,102</w:t>
            </w:r>
          </w:p>
        </w:tc>
        <w:tc>
          <w:tcPr>
            <w:tcW w:w="1489" w:type="dxa"/>
            <w:tcBorders>
              <w:top w:val="nil"/>
              <w:left w:val="nil"/>
              <w:bottom w:val="single" w:sz="4" w:space="0" w:color="auto"/>
              <w:right w:val="nil"/>
            </w:tcBorders>
            <w:shd w:val="clear" w:color="000000" w:fill="FFFFFF"/>
            <w:noWrap/>
            <w:vAlign w:val="bottom"/>
            <w:hideMark/>
          </w:tcPr>
          <w:p w14:paraId="3955D43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0,175</w:t>
            </w:r>
          </w:p>
        </w:tc>
        <w:tc>
          <w:tcPr>
            <w:tcW w:w="1050" w:type="dxa"/>
            <w:tcBorders>
              <w:top w:val="nil"/>
              <w:left w:val="nil"/>
              <w:bottom w:val="single" w:sz="4" w:space="0" w:color="auto"/>
              <w:right w:val="nil"/>
            </w:tcBorders>
            <w:shd w:val="clear" w:color="000000" w:fill="FFFFFF"/>
            <w:noWrap/>
            <w:vAlign w:val="bottom"/>
            <w:hideMark/>
          </w:tcPr>
          <w:p w14:paraId="05F6021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-0,009</w:t>
            </w:r>
          </w:p>
        </w:tc>
        <w:tc>
          <w:tcPr>
            <w:tcW w:w="1050" w:type="dxa"/>
            <w:tcBorders>
              <w:top w:val="nil"/>
              <w:left w:val="nil"/>
              <w:bottom w:val="single" w:sz="4" w:space="0" w:color="auto"/>
              <w:right w:val="nil"/>
            </w:tcBorders>
            <w:shd w:val="clear" w:color="000000" w:fill="FFFFFF"/>
            <w:noWrap/>
            <w:vAlign w:val="bottom"/>
            <w:hideMark/>
          </w:tcPr>
          <w:p w14:paraId="3E4C206A"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0,111</w:t>
            </w:r>
          </w:p>
        </w:tc>
        <w:tc>
          <w:tcPr>
            <w:tcW w:w="1050" w:type="dxa"/>
            <w:tcBorders>
              <w:top w:val="nil"/>
              <w:left w:val="nil"/>
              <w:bottom w:val="single" w:sz="4" w:space="0" w:color="auto"/>
              <w:right w:val="single" w:sz="4" w:space="0" w:color="auto"/>
            </w:tcBorders>
            <w:shd w:val="clear" w:color="000000" w:fill="FFFFFF"/>
            <w:noWrap/>
            <w:vAlign w:val="bottom"/>
            <w:hideMark/>
          </w:tcPr>
          <w:p w14:paraId="050B3AD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w:t>
            </w:r>
          </w:p>
        </w:tc>
      </w:tr>
    </w:tbl>
    <w:p w14:paraId="73EBF3CB" w14:textId="77777777" w:rsidR="002245D5" w:rsidRPr="003D7553" w:rsidRDefault="002245D5" w:rsidP="002245D5">
      <w:pPr>
        <w:spacing w:after="0" w:line="240" w:lineRule="auto"/>
        <w:ind w:firstLine="709"/>
        <w:jc w:val="both"/>
        <w:rPr>
          <w:rFonts w:ascii="Times New Roman" w:hAnsi="Times New Roman" w:cs="Times New Roman"/>
          <w:b/>
          <w:sz w:val="24"/>
          <w:szCs w:val="24"/>
        </w:rPr>
      </w:pPr>
      <w:r w:rsidRPr="003D7553">
        <w:rPr>
          <w:rFonts w:ascii="Times New Roman" w:hAnsi="Times New Roman" w:cs="Times New Roman"/>
          <w:sz w:val="24"/>
          <w:szCs w:val="24"/>
        </w:rPr>
        <w:t xml:space="preserve">Источник: расчеты автора на основе </w:t>
      </w:r>
      <w:r w:rsidR="00CB3F9D" w:rsidRPr="003D7553">
        <w:rPr>
          <w:rFonts w:ascii="Times New Roman" w:hAnsi="Times New Roman" w:cs="Times New Roman"/>
          <w:sz w:val="24"/>
          <w:szCs w:val="24"/>
        </w:rPr>
        <w:fldChar w:fldCharType="begin" w:fldLock="1"/>
      </w:r>
      <w:r w:rsidRPr="003D7553">
        <w:rPr>
          <w:rFonts w:ascii="Times New Roman" w:hAnsi="Times New Roman" w:cs="Times New Roman"/>
          <w:sz w:val="24"/>
          <w:szCs w:val="24"/>
        </w:rPr>
        <w:instrText>ADDIN CSL_CITATION { "citationItems" : [ { "id" : "ITEM-1", "itemData" : { "URL" : "https://comtrade.un.org/", "id" : "ITEM-1", "issued" : { "date-parts" : [ [ "0" ] ] }, "title" : "UN Comtrade | International Trade Statistics Database", "type" : "webpage" }, "uris" : [ "http://www.mendeley.com/documents/?uuid=990707cf-e075-3dfb-a02b-ddbb265dd2a5" ] }, { "id" : "ITEM-2", "itemData" : { "URL" : "https://data.worldbank.org/indicator/NY.GDP.MKTP.CD", "id" : "ITEM-2", "issued" : { "date-parts" : [ [ "0" ] ] }, "title" : "The World Bank", "type" : "webpage" }, "uris" : [ "http://www.mendeley.com/documents/?uuid=2923d538-8fed-3928-a6fb-d304be691218" ] }, { "id" : "ITEM-3", "itemData" : { "URL" : "http://www.cepii.fr/cepii/en/bdd_modele/presentation.asp?id=6", "id" : "ITEM-3", "issued" : { "date-parts" : [ [ "0" ] ] }, "title" : "CEPII - GeoDist", "type" : "webpage" }, "uris" : [ "http://www.mendeley.com/documents/?uuid=a4c4b0c2-5849-3e43-81f0-f3292d5e3797" ] }, { "id" : "ITEM-4", "itemData" : { "URL" : "https://www.hofstede-insights.com/models/national-culture/", "id" : "ITEM-4", "issued" : { "date-parts" : [ [ "0" ] ] }, "title" : "National Culture - Hofstede Insights", "type" : "webpage" }, "uris" : [ "http://www.mendeley.com/documents/?uuid=9ec7ce2a-6240-36f8-80b1-3300ebfd61a1" ] }, { "id" : "ITEM-5", "itemData" : { "URL" : "https://sites.google.com/site/ddowresearch/home", "id" : "ITEM-5", "issued" : { "date-parts" : [ [ "0" ] ] }, "title" : "Melbourne Business School", "type" : "webpage" }, "uris" : [ "http://www.mendeley.com/documents/?uuid=15d01995-7ee8-3201-a510-2c7d0bf5ed49" ] } ], "mendeley" : { "formattedCitation" : "[32, 39, 41, 42, 44]", "plainTextFormattedCitation" : "[32, 39, 41, 42, 44]", "previouslyFormattedCitation" : "[32, 39, 41, 42, 44]" }, "properties" : {  }, "schema" : "https://github.com/citation-style-language/schema/raw/master/csl-citation.json" }</w:instrText>
      </w:r>
      <w:r w:rsidR="00CB3F9D" w:rsidRPr="003D7553">
        <w:rPr>
          <w:rFonts w:ascii="Times New Roman" w:hAnsi="Times New Roman" w:cs="Times New Roman"/>
          <w:sz w:val="24"/>
          <w:szCs w:val="24"/>
        </w:rPr>
        <w:fldChar w:fldCharType="separate"/>
      </w:r>
      <w:r w:rsidRPr="003D7553">
        <w:rPr>
          <w:rFonts w:ascii="Times New Roman" w:hAnsi="Times New Roman" w:cs="Times New Roman"/>
          <w:noProof/>
          <w:sz w:val="24"/>
          <w:szCs w:val="24"/>
        </w:rPr>
        <w:t>[32, 39, 41, 42, 44]</w:t>
      </w:r>
      <w:r w:rsidR="00CB3F9D" w:rsidRPr="003D7553">
        <w:rPr>
          <w:rFonts w:ascii="Times New Roman" w:hAnsi="Times New Roman" w:cs="Times New Roman"/>
          <w:sz w:val="24"/>
          <w:szCs w:val="24"/>
        </w:rPr>
        <w:fldChar w:fldCharType="end"/>
      </w:r>
    </w:p>
    <w:p w14:paraId="34B3F2EB" w14:textId="77777777" w:rsidR="002245D5" w:rsidRPr="003D7553" w:rsidRDefault="002245D5" w:rsidP="002245D5">
      <w:pPr>
        <w:spacing w:after="0" w:line="240" w:lineRule="auto"/>
        <w:ind w:firstLine="709"/>
        <w:jc w:val="both"/>
        <w:rPr>
          <w:rFonts w:ascii="Times New Roman" w:hAnsi="Times New Roman" w:cs="Times New Roman"/>
          <w:sz w:val="24"/>
          <w:szCs w:val="24"/>
        </w:rPr>
      </w:pPr>
    </w:p>
    <w:p w14:paraId="024C4E70"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Как видно из Таблицы 1, все факторы являются независимыми, мультиколлинеарность отсутствует. В качестве контрольных переменных в исследовании выступают показатели гравитационной модели, ВВП и географическое расстояние. Модель была протестирована для четырех новых индустриальных стран.</w:t>
      </w:r>
    </w:p>
    <w:p w14:paraId="431C513A"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ходе исследования нами были получены следующие </w:t>
      </w:r>
      <w:r w:rsidRPr="003D7553">
        <w:rPr>
          <w:rFonts w:ascii="Times New Roman" w:hAnsi="Times New Roman" w:cs="Times New Roman"/>
          <w:b/>
          <w:sz w:val="24"/>
          <w:szCs w:val="24"/>
        </w:rPr>
        <w:t>результаты</w:t>
      </w:r>
      <w:r w:rsidRPr="003D7553">
        <w:rPr>
          <w:rFonts w:ascii="Times New Roman" w:hAnsi="Times New Roman" w:cs="Times New Roman"/>
          <w:sz w:val="24"/>
          <w:szCs w:val="24"/>
        </w:rPr>
        <w:t>.</w:t>
      </w:r>
    </w:p>
    <w:p w14:paraId="5BF4EDC4" w14:textId="77777777" w:rsidR="003D7553" w:rsidRDefault="002245D5" w:rsidP="001973E4">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lastRenderedPageBreak/>
        <w:t xml:space="preserve">На основе данных Таблицы 2 можно говорить о том, что психологическая дистанция не оказывает влияние на экспортные потоки четырех азиатских «тигров». Только для Гонконга, Сингапура и Тайваня было подтверждено наличие влияния отдельных показателей на экспортные потоки. </w:t>
      </w:r>
    </w:p>
    <w:p w14:paraId="7D34F5C7" w14:textId="77777777" w:rsidR="003D7553" w:rsidRDefault="003D7553" w:rsidP="002245D5">
      <w:pPr>
        <w:spacing w:after="0" w:line="240" w:lineRule="auto"/>
        <w:ind w:firstLine="709"/>
        <w:jc w:val="right"/>
        <w:rPr>
          <w:rFonts w:ascii="Times New Roman" w:hAnsi="Times New Roman" w:cs="Times New Roman"/>
          <w:sz w:val="24"/>
          <w:szCs w:val="24"/>
        </w:rPr>
      </w:pPr>
    </w:p>
    <w:p w14:paraId="73608B0A" w14:textId="77777777" w:rsidR="002245D5" w:rsidRPr="003D7553" w:rsidRDefault="002245D5" w:rsidP="001973E4">
      <w:pPr>
        <w:spacing w:after="0" w:line="240" w:lineRule="auto"/>
        <w:jc w:val="right"/>
        <w:rPr>
          <w:rFonts w:ascii="Times New Roman" w:hAnsi="Times New Roman" w:cs="Times New Roman"/>
          <w:sz w:val="24"/>
          <w:szCs w:val="24"/>
        </w:rPr>
      </w:pPr>
      <w:r w:rsidRPr="003D7553">
        <w:rPr>
          <w:rFonts w:ascii="Times New Roman" w:hAnsi="Times New Roman" w:cs="Times New Roman"/>
          <w:sz w:val="24"/>
          <w:szCs w:val="24"/>
        </w:rPr>
        <w:t>Таблица 2 – Результаты регрессии</w:t>
      </w:r>
    </w:p>
    <w:p w14:paraId="0B4020A7" w14:textId="77777777" w:rsidR="00E7256F" w:rsidRPr="003D7553" w:rsidRDefault="00E7256F" w:rsidP="002245D5">
      <w:pPr>
        <w:spacing w:after="0" w:line="240" w:lineRule="auto"/>
        <w:ind w:firstLine="709"/>
        <w:jc w:val="right"/>
        <w:rPr>
          <w:rFonts w:ascii="Times New Roman" w:hAnsi="Times New Roman" w:cs="Times New Roman"/>
          <w:sz w:val="24"/>
          <w:szCs w:val="24"/>
        </w:rPr>
      </w:pPr>
    </w:p>
    <w:tbl>
      <w:tblPr>
        <w:tblW w:w="9659" w:type="dxa"/>
        <w:tblLook w:val="04A0" w:firstRow="1" w:lastRow="0" w:firstColumn="1" w:lastColumn="0" w:noHBand="0" w:noVBand="1"/>
      </w:tblPr>
      <w:tblGrid>
        <w:gridCol w:w="2202"/>
        <w:gridCol w:w="1864"/>
        <w:gridCol w:w="1864"/>
        <w:gridCol w:w="1864"/>
        <w:gridCol w:w="1865"/>
      </w:tblGrid>
      <w:tr w:rsidR="002245D5" w:rsidRPr="003D7553" w14:paraId="73879204" w14:textId="77777777" w:rsidTr="002245D5">
        <w:trPr>
          <w:trHeight w:val="262"/>
        </w:trPr>
        <w:tc>
          <w:tcPr>
            <w:tcW w:w="2202" w:type="dxa"/>
            <w:tcBorders>
              <w:top w:val="single" w:sz="4" w:space="0" w:color="auto"/>
              <w:left w:val="single" w:sz="4" w:space="0" w:color="auto"/>
              <w:bottom w:val="single" w:sz="4" w:space="0" w:color="auto"/>
              <w:right w:val="nil"/>
            </w:tcBorders>
            <w:shd w:val="clear" w:color="000000" w:fill="FFFFFF"/>
            <w:noWrap/>
            <w:vAlign w:val="bottom"/>
            <w:hideMark/>
          </w:tcPr>
          <w:p w14:paraId="7DC7CF5F"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Показатели</w:t>
            </w:r>
          </w:p>
        </w:tc>
        <w:tc>
          <w:tcPr>
            <w:tcW w:w="1864" w:type="dxa"/>
            <w:tcBorders>
              <w:top w:val="single" w:sz="4" w:space="0" w:color="auto"/>
              <w:left w:val="single" w:sz="4" w:space="0" w:color="auto"/>
              <w:bottom w:val="single" w:sz="4" w:space="0" w:color="auto"/>
              <w:right w:val="nil"/>
            </w:tcBorders>
            <w:shd w:val="clear" w:color="000000" w:fill="FFFFFF"/>
            <w:noWrap/>
            <w:vAlign w:val="bottom"/>
            <w:hideMark/>
          </w:tcPr>
          <w:p w14:paraId="2D6B0D6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Гонконг</w:t>
            </w:r>
          </w:p>
        </w:tc>
        <w:tc>
          <w:tcPr>
            <w:tcW w:w="1864" w:type="dxa"/>
            <w:tcBorders>
              <w:top w:val="single" w:sz="4" w:space="0" w:color="auto"/>
              <w:left w:val="nil"/>
              <w:bottom w:val="single" w:sz="4" w:space="0" w:color="auto"/>
              <w:right w:val="nil"/>
            </w:tcBorders>
            <w:shd w:val="clear" w:color="000000" w:fill="FFFFFF"/>
            <w:noWrap/>
            <w:vAlign w:val="bottom"/>
            <w:hideMark/>
          </w:tcPr>
          <w:p w14:paraId="1F409A5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Корея</w:t>
            </w:r>
          </w:p>
        </w:tc>
        <w:tc>
          <w:tcPr>
            <w:tcW w:w="1864" w:type="dxa"/>
            <w:tcBorders>
              <w:top w:val="single" w:sz="4" w:space="0" w:color="auto"/>
              <w:left w:val="nil"/>
              <w:bottom w:val="single" w:sz="4" w:space="0" w:color="auto"/>
              <w:right w:val="nil"/>
            </w:tcBorders>
            <w:shd w:val="clear" w:color="000000" w:fill="FFFFFF"/>
            <w:noWrap/>
            <w:vAlign w:val="bottom"/>
            <w:hideMark/>
          </w:tcPr>
          <w:p w14:paraId="3EF01A9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Сингапур</w:t>
            </w:r>
          </w:p>
        </w:tc>
        <w:tc>
          <w:tcPr>
            <w:tcW w:w="1865" w:type="dxa"/>
            <w:tcBorders>
              <w:top w:val="single" w:sz="4" w:space="0" w:color="auto"/>
              <w:left w:val="nil"/>
              <w:bottom w:val="single" w:sz="4" w:space="0" w:color="auto"/>
              <w:right w:val="single" w:sz="4" w:space="0" w:color="auto"/>
            </w:tcBorders>
            <w:shd w:val="clear" w:color="000000" w:fill="FFFFFF"/>
            <w:noWrap/>
            <w:vAlign w:val="bottom"/>
            <w:hideMark/>
          </w:tcPr>
          <w:p w14:paraId="0C00913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Тайвань</w:t>
            </w:r>
          </w:p>
        </w:tc>
      </w:tr>
      <w:tr w:rsidR="002245D5" w:rsidRPr="003D7553" w14:paraId="010652D6" w14:textId="77777777" w:rsidTr="002245D5">
        <w:trPr>
          <w:trHeight w:val="262"/>
        </w:trPr>
        <w:tc>
          <w:tcPr>
            <w:tcW w:w="2202" w:type="dxa"/>
            <w:tcBorders>
              <w:top w:val="nil"/>
              <w:left w:val="single" w:sz="4" w:space="0" w:color="auto"/>
              <w:bottom w:val="nil"/>
              <w:right w:val="single" w:sz="4" w:space="0" w:color="auto"/>
            </w:tcBorders>
            <w:shd w:val="clear" w:color="000000" w:fill="FFFFFF"/>
            <w:noWrap/>
            <w:vAlign w:val="bottom"/>
            <w:hideMark/>
          </w:tcPr>
          <w:p w14:paraId="14470723"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GDP (In)</w:t>
            </w:r>
          </w:p>
        </w:tc>
        <w:tc>
          <w:tcPr>
            <w:tcW w:w="1864" w:type="dxa"/>
            <w:tcBorders>
              <w:top w:val="nil"/>
              <w:left w:val="nil"/>
              <w:bottom w:val="nil"/>
              <w:right w:val="nil"/>
            </w:tcBorders>
            <w:shd w:val="clear" w:color="000000" w:fill="FFFFFF"/>
            <w:noWrap/>
            <w:vAlign w:val="bottom"/>
            <w:hideMark/>
          </w:tcPr>
          <w:p w14:paraId="765C0D17"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0,957(***)</w:t>
            </w:r>
          </w:p>
        </w:tc>
        <w:tc>
          <w:tcPr>
            <w:tcW w:w="1864" w:type="dxa"/>
            <w:tcBorders>
              <w:top w:val="nil"/>
              <w:left w:val="nil"/>
              <w:bottom w:val="nil"/>
              <w:right w:val="nil"/>
            </w:tcBorders>
            <w:shd w:val="clear" w:color="000000" w:fill="FFFFFF"/>
            <w:noWrap/>
            <w:vAlign w:val="bottom"/>
            <w:hideMark/>
          </w:tcPr>
          <w:p w14:paraId="5FB2B41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0,929(***)</w:t>
            </w:r>
          </w:p>
        </w:tc>
        <w:tc>
          <w:tcPr>
            <w:tcW w:w="1864" w:type="dxa"/>
            <w:tcBorders>
              <w:top w:val="nil"/>
              <w:left w:val="nil"/>
              <w:bottom w:val="nil"/>
              <w:right w:val="nil"/>
            </w:tcBorders>
            <w:shd w:val="clear" w:color="000000" w:fill="FFFFFF"/>
            <w:noWrap/>
            <w:vAlign w:val="bottom"/>
            <w:hideMark/>
          </w:tcPr>
          <w:p w14:paraId="0852C09A"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0,989(***)</w:t>
            </w:r>
          </w:p>
        </w:tc>
        <w:tc>
          <w:tcPr>
            <w:tcW w:w="1865" w:type="dxa"/>
            <w:tcBorders>
              <w:top w:val="nil"/>
              <w:left w:val="nil"/>
              <w:bottom w:val="nil"/>
              <w:right w:val="single" w:sz="4" w:space="0" w:color="auto"/>
            </w:tcBorders>
            <w:shd w:val="clear" w:color="000000" w:fill="FFFFFF"/>
            <w:noWrap/>
            <w:vAlign w:val="bottom"/>
            <w:hideMark/>
          </w:tcPr>
          <w:p w14:paraId="205AA6AD"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0,905(***)</w:t>
            </w:r>
          </w:p>
        </w:tc>
      </w:tr>
      <w:tr w:rsidR="002245D5" w:rsidRPr="003D7553" w14:paraId="556ECB03" w14:textId="77777777" w:rsidTr="002245D5">
        <w:trPr>
          <w:trHeight w:val="262"/>
        </w:trPr>
        <w:tc>
          <w:tcPr>
            <w:tcW w:w="2202" w:type="dxa"/>
            <w:tcBorders>
              <w:top w:val="nil"/>
              <w:left w:val="single" w:sz="4" w:space="0" w:color="auto"/>
              <w:bottom w:val="nil"/>
              <w:right w:val="single" w:sz="4" w:space="0" w:color="auto"/>
            </w:tcBorders>
            <w:shd w:val="clear" w:color="000000" w:fill="FFFFFF"/>
            <w:noWrap/>
            <w:vAlign w:val="bottom"/>
            <w:hideMark/>
          </w:tcPr>
          <w:p w14:paraId="471AC44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Distance (ln)</w:t>
            </w:r>
          </w:p>
        </w:tc>
        <w:tc>
          <w:tcPr>
            <w:tcW w:w="1864" w:type="dxa"/>
            <w:tcBorders>
              <w:top w:val="nil"/>
              <w:left w:val="nil"/>
              <w:bottom w:val="nil"/>
              <w:right w:val="nil"/>
            </w:tcBorders>
            <w:shd w:val="clear" w:color="000000" w:fill="FFFFFF"/>
            <w:noWrap/>
            <w:vAlign w:val="bottom"/>
            <w:hideMark/>
          </w:tcPr>
          <w:p w14:paraId="0D9AE56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-0,814(***)</w:t>
            </w:r>
          </w:p>
        </w:tc>
        <w:tc>
          <w:tcPr>
            <w:tcW w:w="1864" w:type="dxa"/>
            <w:tcBorders>
              <w:top w:val="nil"/>
              <w:left w:val="nil"/>
              <w:bottom w:val="nil"/>
              <w:right w:val="nil"/>
            </w:tcBorders>
            <w:shd w:val="clear" w:color="000000" w:fill="FFFFFF"/>
            <w:noWrap/>
            <w:vAlign w:val="bottom"/>
            <w:hideMark/>
          </w:tcPr>
          <w:p w14:paraId="30D6A31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-0,838(***)</w:t>
            </w:r>
          </w:p>
        </w:tc>
        <w:tc>
          <w:tcPr>
            <w:tcW w:w="1864" w:type="dxa"/>
            <w:tcBorders>
              <w:top w:val="nil"/>
              <w:left w:val="nil"/>
              <w:bottom w:val="nil"/>
              <w:right w:val="nil"/>
            </w:tcBorders>
            <w:shd w:val="clear" w:color="000000" w:fill="FFFFFF"/>
            <w:noWrap/>
            <w:vAlign w:val="bottom"/>
            <w:hideMark/>
          </w:tcPr>
          <w:p w14:paraId="2BDC5FF7"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-1,625(***)</w:t>
            </w:r>
          </w:p>
        </w:tc>
        <w:tc>
          <w:tcPr>
            <w:tcW w:w="1865" w:type="dxa"/>
            <w:tcBorders>
              <w:top w:val="nil"/>
              <w:left w:val="nil"/>
              <w:bottom w:val="nil"/>
              <w:right w:val="single" w:sz="4" w:space="0" w:color="auto"/>
            </w:tcBorders>
            <w:shd w:val="clear" w:color="000000" w:fill="FFFFFF"/>
            <w:noWrap/>
            <w:vAlign w:val="bottom"/>
            <w:hideMark/>
          </w:tcPr>
          <w:p w14:paraId="4215180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-1,443(***)</w:t>
            </w:r>
          </w:p>
        </w:tc>
      </w:tr>
      <w:tr w:rsidR="002245D5" w:rsidRPr="003D7553" w14:paraId="7A65E6CE" w14:textId="77777777" w:rsidTr="002245D5">
        <w:trPr>
          <w:trHeight w:val="262"/>
        </w:trPr>
        <w:tc>
          <w:tcPr>
            <w:tcW w:w="2202" w:type="dxa"/>
            <w:tcBorders>
              <w:top w:val="nil"/>
              <w:left w:val="single" w:sz="4" w:space="0" w:color="auto"/>
              <w:bottom w:val="nil"/>
              <w:right w:val="single" w:sz="4" w:space="0" w:color="auto"/>
            </w:tcBorders>
            <w:shd w:val="clear" w:color="000000" w:fill="FFFFFF"/>
            <w:noWrap/>
            <w:vAlign w:val="bottom"/>
            <w:hideMark/>
          </w:tcPr>
          <w:p w14:paraId="1A28A457"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CD</w:t>
            </w:r>
          </w:p>
        </w:tc>
        <w:tc>
          <w:tcPr>
            <w:tcW w:w="1864" w:type="dxa"/>
            <w:tcBorders>
              <w:top w:val="nil"/>
              <w:left w:val="nil"/>
              <w:bottom w:val="nil"/>
              <w:right w:val="nil"/>
            </w:tcBorders>
            <w:shd w:val="clear" w:color="000000" w:fill="FFFFFF"/>
            <w:noWrap/>
            <w:vAlign w:val="bottom"/>
            <w:hideMark/>
          </w:tcPr>
          <w:p w14:paraId="2AA39C0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-0,003</w:t>
            </w:r>
          </w:p>
        </w:tc>
        <w:tc>
          <w:tcPr>
            <w:tcW w:w="1864" w:type="dxa"/>
            <w:tcBorders>
              <w:top w:val="nil"/>
              <w:left w:val="nil"/>
              <w:bottom w:val="nil"/>
              <w:right w:val="nil"/>
            </w:tcBorders>
            <w:shd w:val="clear" w:color="000000" w:fill="FFFFFF"/>
            <w:noWrap/>
            <w:vAlign w:val="bottom"/>
            <w:hideMark/>
          </w:tcPr>
          <w:p w14:paraId="2289CAC6"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-0,069</w:t>
            </w:r>
          </w:p>
        </w:tc>
        <w:tc>
          <w:tcPr>
            <w:tcW w:w="1864" w:type="dxa"/>
            <w:tcBorders>
              <w:top w:val="nil"/>
              <w:left w:val="nil"/>
              <w:bottom w:val="nil"/>
              <w:right w:val="nil"/>
            </w:tcBorders>
            <w:shd w:val="clear" w:color="000000" w:fill="FFFFFF"/>
            <w:noWrap/>
            <w:vAlign w:val="bottom"/>
            <w:hideMark/>
          </w:tcPr>
          <w:p w14:paraId="39622BBE"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0,031</w:t>
            </w:r>
          </w:p>
        </w:tc>
        <w:tc>
          <w:tcPr>
            <w:tcW w:w="1865" w:type="dxa"/>
            <w:tcBorders>
              <w:top w:val="nil"/>
              <w:left w:val="nil"/>
              <w:bottom w:val="nil"/>
              <w:right w:val="single" w:sz="4" w:space="0" w:color="auto"/>
            </w:tcBorders>
            <w:shd w:val="clear" w:color="000000" w:fill="FFFFFF"/>
            <w:noWrap/>
            <w:vAlign w:val="bottom"/>
            <w:hideMark/>
          </w:tcPr>
          <w:p w14:paraId="6AE36078"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-0,030</w:t>
            </w:r>
          </w:p>
        </w:tc>
      </w:tr>
      <w:tr w:rsidR="002245D5" w:rsidRPr="003D7553" w14:paraId="6924EADA" w14:textId="77777777" w:rsidTr="002245D5">
        <w:trPr>
          <w:trHeight w:val="262"/>
        </w:trPr>
        <w:tc>
          <w:tcPr>
            <w:tcW w:w="2202" w:type="dxa"/>
            <w:tcBorders>
              <w:top w:val="nil"/>
              <w:left w:val="single" w:sz="4" w:space="0" w:color="auto"/>
              <w:bottom w:val="nil"/>
              <w:right w:val="single" w:sz="4" w:space="0" w:color="auto"/>
            </w:tcBorders>
            <w:shd w:val="clear" w:color="000000" w:fill="FFFFFF"/>
            <w:noWrap/>
            <w:vAlign w:val="bottom"/>
            <w:hideMark/>
          </w:tcPr>
          <w:p w14:paraId="6D15A9F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PD</w:t>
            </w:r>
          </w:p>
        </w:tc>
        <w:tc>
          <w:tcPr>
            <w:tcW w:w="1864" w:type="dxa"/>
            <w:tcBorders>
              <w:top w:val="nil"/>
              <w:left w:val="nil"/>
              <w:bottom w:val="nil"/>
              <w:right w:val="nil"/>
            </w:tcBorders>
            <w:shd w:val="clear" w:color="000000" w:fill="FFFFFF"/>
            <w:noWrap/>
            <w:vAlign w:val="bottom"/>
            <w:hideMark/>
          </w:tcPr>
          <w:p w14:paraId="37F3EC9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0,026</w:t>
            </w:r>
          </w:p>
        </w:tc>
        <w:tc>
          <w:tcPr>
            <w:tcW w:w="1864" w:type="dxa"/>
            <w:tcBorders>
              <w:top w:val="nil"/>
              <w:left w:val="nil"/>
              <w:bottom w:val="nil"/>
              <w:right w:val="nil"/>
            </w:tcBorders>
            <w:shd w:val="clear" w:color="000000" w:fill="FFFFFF"/>
            <w:noWrap/>
            <w:vAlign w:val="bottom"/>
            <w:hideMark/>
          </w:tcPr>
          <w:p w14:paraId="1FEB635F"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-7,33E-15</w:t>
            </w:r>
          </w:p>
        </w:tc>
        <w:tc>
          <w:tcPr>
            <w:tcW w:w="1864" w:type="dxa"/>
            <w:tcBorders>
              <w:top w:val="nil"/>
              <w:left w:val="nil"/>
              <w:bottom w:val="nil"/>
              <w:right w:val="nil"/>
            </w:tcBorders>
            <w:shd w:val="clear" w:color="000000" w:fill="FFFFFF"/>
            <w:noWrap/>
            <w:vAlign w:val="bottom"/>
            <w:hideMark/>
          </w:tcPr>
          <w:p w14:paraId="444E298B"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0,036</w:t>
            </w:r>
          </w:p>
        </w:tc>
        <w:tc>
          <w:tcPr>
            <w:tcW w:w="1865" w:type="dxa"/>
            <w:tcBorders>
              <w:top w:val="nil"/>
              <w:left w:val="nil"/>
              <w:bottom w:val="nil"/>
              <w:right w:val="single" w:sz="4" w:space="0" w:color="auto"/>
            </w:tcBorders>
            <w:shd w:val="clear" w:color="000000" w:fill="FFFFFF"/>
            <w:noWrap/>
            <w:vAlign w:val="bottom"/>
            <w:hideMark/>
          </w:tcPr>
          <w:p w14:paraId="20663A13"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-0,181(***)</w:t>
            </w:r>
          </w:p>
        </w:tc>
      </w:tr>
      <w:tr w:rsidR="002245D5" w:rsidRPr="003D7553" w14:paraId="51472836" w14:textId="77777777" w:rsidTr="002245D5">
        <w:trPr>
          <w:trHeight w:val="262"/>
        </w:trPr>
        <w:tc>
          <w:tcPr>
            <w:tcW w:w="2202" w:type="dxa"/>
            <w:tcBorders>
              <w:top w:val="nil"/>
              <w:left w:val="single" w:sz="4" w:space="0" w:color="auto"/>
              <w:bottom w:val="nil"/>
              <w:right w:val="single" w:sz="4" w:space="0" w:color="auto"/>
            </w:tcBorders>
            <w:shd w:val="clear" w:color="000000" w:fill="FFFFFF"/>
            <w:noWrap/>
            <w:vAlign w:val="bottom"/>
            <w:hideMark/>
          </w:tcPr>
          <w:p w14:paraId="70280D3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 xml:space="preserve">Time </w:t>
            </w:r>
          </w:p>
        </w:tc>
        <w:tc>
          <w:tcPr>
            <w:tcW w:w="1864" w:type="dxa"/>
            <w:tcBorders>
              <w:top w:val="nil"/>
              <w:left w:val="nil"/>
              <w:bottom w:val="nil"/>
              <w:right w:val="nil"/>
            </w:tcBorders>
            <w:shd w:val="clear" w:color="000000" w:fill="FFFFFF"/>
            <w:noWrap/>
            <w:vAlign w:val="bottom"/>
            <w:hideMark/>
          </w:tcPr>
          <w:p w14:paraId="2EE18E4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-0,010</w:t>
            </w:r>
          </w:p>
        </w:tc>
        <w:tc>
          <w:tcPr>
            <w:tcW w:w="1864" w:type="dxa"/>
            <w:tcBorders>
              <w:top w:val="nil"/>
              <w:left w:val="nil"/>
              <w:bottom w:val="nil"/>
              <w:right w:val="nil"/>
            </w:tcBorders>
            <w:shd w:val="clear" w:color="000000" w:fill="FFFFFF"/>
            <w:noWrap/>
            <w:vAlign w:val="bottom"/>
            <w:hideMark/>
          </w:tcPr>
          <w:p w14:paraId="035AB6C2"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-0,134</w:t>
            </w:r>
          </w:p>
        </w:tc>
        <w:tc>
          <w:tcPr>
            <w:tcW w:w="1864" w:type="dxa"/>
            <w:tcBorders>
              <w:top w:val="nil"/>
              <w:left w:val="nil"/>
              <w:bottom w:val="nil"/>
              <w:right w:val="nil"/>
            </w:tcBorders>
            <w:shd w:val="clear" w:color="000000" w:fill="FFFFFF"/>
            <w:noWrap/>
            <w:vAlign w:val="bottom"/>
            <w:hideMark/>
          </w:tcPr>
          <w:p w14:paraId="67D6A5E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-0,429(***)</w:t>
            </w:r>
          </w:p>
        </w:tc>
        <w:tc>
          <w:tcPr>
            <w:tcW w:w="1865" w:type="dxa"/>
            <w:tcBorders>
              <w:top w:val="nil"/>
              <w:left w:val="nil"/>
              <w:bottom w:val="nil"/>
              <w:right w:val="single" w:sz="4" w:space="0" w:color="auto"/>
            </w:tcBorders>
            <w:shd w:val="clear" w:color="000000" w:fill="FFFFFF"/>
            <w:noWrap/>
            <w:vAlign w:val="bottom"/>
            <w:hideMark/>
          </w:tcPr>
          <w:p w14:paraId="0EEAE539"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0,082</w:t>
            </w:r>
          </w:p>
        </w:tc>
      </w:tr>
      <w:tr w:rsidR="002245D5" w:rsidRPr="003D7553" w14:paraId="2193CBF0" w14:textId="77777777" w:rsidTr="002245D5">
        <w:trPr>
          <w:trHeight w:val="262"/>
        </w:trPr>
        <w:tc>
          <w:tcPr>
            <w:tcW w:w="2202" w:type="dxa"/>
            <w:tcBorders>
              <w:top w:val="nil"/>
              <w:left w:val="single" w:sz="4" w:space="0" w:color="auto"/>
              <w:bottom w:val="nil"/>
              <w:right w:val="single" w:sz="4" w:space="0" w:color="auto"/>
            </w:tcBorders>
            <w:shd w:val="clear" w:color="000000" w:fill="FFFFFF"/>
            <w:noWrap/>
            <w:vAlign w:val="bottom"/>
            <w:hideMark/>
          </w:tcPr>
          <w:p w14:paraId="0A065C5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FTA</w:t>
            </w:r>
          </w:p>
        </w:tc>
        <w:tc>
          <w:tcPr>
            <w:tcW w:w="1864" w:type="dxa"/>
            <w:tcBorders>
              <w:top w:val="nil"/>
              <w:left w:val="nil"/>
              <w:bottom w:val="nil"/>
              <w:right w:val="nil"/>
            </w:tcBorders>
            <w:shd w:val="clear" w:color="000000" w:fill="FFFFFF"/>
            <w:noWrap/>
            <w:vAlign w:val="bottom"/>
            <w:hideMark/>
          </w:tcPr>
          <w:p w14:paraId="07AE12C5"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0,498(*)</w:t>
            </w:r>
          </w:p>
        </w:tc>
        <w:tc>
          <w:tcPr>
            <w:tcW w:w="1864" w:type="dxa"/>
            <w:tcBorders>
              <w:top w:val="nil"/>
              <w:left w:val="nil"/>
              <w:bottom w:val="nil"/>
              <w:right w:val="nil"/>
            </w:tcBorders>
            <w:shd w:val="clear" w:color="000000" w:fill="FFFFFF"/>
            <w:noWrap/>
            <w:vAlign w:val="bottom"/>
            <w:hideMark/>
          </w:tcPr>
          <w:p w14:paraId="58D8036D"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0,163</w:t>
            </w:r>
          </w:p>
        </w:tc>
        <w:tc>
          <w:tcPr>
            <w:tcW w:w="1864" w:type="dxa"/>
            <w:tcBorders>
              <w:top w:val="nil"/>
              <w:left w:val="nil"/>
              <w:bottom w:val="nil"/>
              <w:right w:val="nil"/>
            </w:tcBorders>
            <w:shd w:val="clear" w:color="000000" w:fill="FFFFFF"/>
            <w:noWrap/>
            <w:vAlign w:val="bottom"/>
            <w:hideMark/>
          </w:tcPr>
          <w:p w14:paraId="6CDB1BE0"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0,621(**)</w:t>
            </w:r>
          </w:p>
        </w:tc>
        <w:tc>
          <w:tcPr>
            <w:tcW w:w="1865" w:type="dxa"/>
            <w:tcBorders>
              <w:top w:val="nil"/>
              <w:left w:val="nil"/>
              <w:bottom w:val="nil"/>
              <w:right w:val="single" w:sz="4" w:space="0" w:color="auto"/>
            </w:tcBorders>
            <w:shd w:val="clear" w:color="000000" w:fill="FFFFFF"/>
            <w:noWrap/>
            <w:vAlign w:val="bottom"/>
            <w:hideMark/>
          </w:tcPr>
          <w:p w14:paraId="359ACB0A"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1,381(***)</w:t>
            </w:r>
          </w:p>
        </w:tc>
      </w:tr>
      <w:tr w:rsidR="002245D5" w:rsidRPr="003D7553" w14:paraId="50337DCB" w14:textId="77777777" w:rsidTr="002245D5">
        <w:trPr>
          <w:trHeight w:val="262"/>
        </w:trPr>
        <w:tc>
          <w:tcPr>
            <w:tcW w:w="2202" w:type="dxa"/>
            <w:tcBorders>
              <w:top w:val="nil"/>
              <w:left w:val="single" w:sz="4" w:space="0" w:color="auto"/>
              <w:bottom w:val="single" w:sz="4" w:space="0" w:color="auto"/>
              <w:right w:val="nil"/>
            </w:tcBorders>
            <w:shd w:val="clear" w:color="000000" w:fill="FFFFFF"/>
            <w:noWrap/>
            <w:vAlign w:val="bottom"/>
            <w:hideMark/>
          </w:tcPr>
          <w:p w14:paraId="15B3C516"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R^2</w:t>
            </w:r>
          </w:p>
        </w:tc>
        <w:tc>
          <w:tcPr>
            <w:tcW w:w="1864" w:type="dxa"/>
            <w:tcBorders>
              <w:top w:val="single" w:sz="4" w:space="0" w:color="auto"/>
              <w:left w:val="single" w:sz="4" w:space="0" w:color="auto"/>
              <w:bottom w:val="single" w:sz="4" w:space="0" w:color="auto"/>
              <w:right w:val="nil"/>
            </w:tcBorders>
            <w:shd w:val="clear" w:color="000000" w:fill="FFFFFF"/>
            <w:noWrap/>
            <w:vAlign w:val="bottom"/>
            <w:hideMark/>
          </w:tcPr>
          <w:p w14:paraId="6A9A2ADB"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0,847</w:t>
            </w:r>
          </w:p>
        </w:tc>
        <w:tc>
          <w:tcPr>
            <w:tcW w:w="1864" w:type="dxa"/>
            <w:tcBorders>
              <w:top w:val="single" w:sz="4" w:space="0" w:color="auto"/>
              <w:left w:val="nil"/>
              <w:bottom w:val="single" w:sz="4" w:space="0" w:color="auto"/>
              <w:right w:val="nil"/>
            </w:tcBorders>
            <w:shd w:val="clear" w:color="000000" w:fill="FFFFFF"/>
            <w:noWrap/>
            <w:vAlign w:val="bottom"/>
            <w:hideMark/>
          </w:tcPr>
          <w:p w14:paraId="4D69349C"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0,749</w:t>
            </w:r>
          </w:p>
        </w:tc>
        <w:tc>
          <w:tcPr>
            <w:tcW w:w="1864" w:type="dxa"/>
            <w:tcBorders>
              <w:top w:val="single" w:sz="4" w:space="0" w:color="auto"/>
              <w:left w:val="nil"/>
              <w:bottom w:val="single" w:sz="4" w:space="0" w:color="auto"/>
              <w:right w:val="nil"/>
            </w:tcBorders>
            <w:shd w:val="clear" w:color="000000" w:fill="FFFFFF"/>
            <w:noWrap/>
            <w:vAlign w:val="bottom"/>
            <w:hideMark/>
          </w:tcPr>
          <w:p w14:paraId="23AC44E1"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0,769</w:t>
            </w:r>
          </w:p>
        </w:tc>
        <w:tc>
          <w:tcPr>
            <w:tcW w:w="1865" w:type="dxa"/>
            <w:tcBorders>
              <w:top w:val="single" w:sz="4" w:space="0" w:color="auto"/>
              <w:left w:val="nil"/>
              <w:bottom w:val="single" w:sz="4" w:space="0" w:color="auto"/>
              <w:right w:val="single" w:sz="4" w:space="0" w:color="auto"/>
            </w:tcBorders>
            <w:shd w:val="clear" w:color="000000" w:fill="FFFFFF"/>
            <w:noWrap/>
            <w:vAlign w:val="bottom"/>
            <w:hideMark/>
          </w:tcPr>
          <w:p w14:paraId="6CC18FEA"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0,850</w:t>
            </w:r>
          </w:p>
        </w:tc>
      </w:tr>
      <w:tr w:rsidR="002245D5" w:rsidRPr="003D7553" w14:paraId="2E62B9D9" w14:textId="77777777" w:rsidTr="002245D5">
        <w:trPr>
          <w:trHeight w:val="262"/>
        </w:trPr>
        <w:tc>
          <w:tcPr>
            <w:tcW w:w="9659" w:type="dxa"/>
            <w:gridSpan w:val="5"/>
            <w:tcBorders>
              <w:top w:val="nil"/>
              <w:left w:val="single" w:sz="4" w:space="0" w:color="auto"/>
              <w:bottom w:val="single" w:sz="4" w:space="0" w:color="auto"/>
              <w:right w:val="single" w:sz="4" w:space="0" w:color="auto"/>
            </w:tcBorders>
            <w:shd w:val="clear" w:color="000000" w:fill="FFFFFF"/>
            <w:noWrap/>
            <w:vAlign w:val="bottom"/>
            <w:hideMark/>
          </w:tcPr>
          <w:p w14:paraId="4B019A24" w14:textId="77777777" w:rsidR="002245D5" w:rsidRPr="003D7553" w:rsidRDefault="002245D5" w:rsidP="002245D5">
            <w:pPr>
              <w:spacing w:after="0" w:line="240" w:lineRule="auto"/>
              <w:rPr>
                <w:rFonts w:ascii="Times New Roman" w:hAnsi="Times New Roman" w:cs="Times New Roman"/>
                <w:sz w:val="24"/>
                <w:szCs w:val="24"/>
              </w:rPr>
            </w:pPr>
            <w:r w:rsidRPr="003D7553">
              <w:rPr>
                <w:rFonts w:ascii="Times New Roman" w:hAnsi="Times New Roman" w:cs="Times New Roman"/>
                <w:sz w:val="24"/>
                <w:szCs w:val="24"/>
              </w:rPr>
              <w:t>*p&lt;10%     **p&lt;5%     ***p&lt;1%</w:t>
            </w:r>
          </w:p>
        </w:tc>
      </w:tr>
    </w:tbl>
    <w:p w14:paraId="22277ABF" w14:textId="77777777" w:rsidR="002245D5" w:rsidRPr="003D7553" w:rsidRDefault="002245D5" w:rsidP="002245D5">
      <w:pPr>
        <w:spacing w:after="0" w:line="240" w:lineRule="auto"/>
        <w:ind w:firstLine="709"/>
        <w:jc w:val="both"/>
        <w:rPr>
          <w:rFonts w:ascii="Times New Roman" w:hAnsi="Times New Roman" w:cs="Times New Roman"/>
          <w:sz w:val="24"/>
          <w:szCs w:val="24"/>
          <w:highlight w:val="yellow"/>
        </w:rPr>
      </w:pPr>
      <w:r w:rsidRPr="003D7553">
        <w:rPr>
          <w:rFonts w:ascii="Times New Roman" w:hAnsi="Times New Roman" w:cs="Times New Roman"/>
          <w:sz w:val="24"/>
          <w:szCs w:val="24"/>
        </w:rPr>
        <w:t xml:space="preserve">Источник: расчеты автора на основе </w:t>
      </w:r>
      <w:r w:rsidR="00CB3F9D" w:rsidRPr="003D7553">
        <w:rPr>
          <w:rFonts w:ascii="Times New Roman" w:hAnsi="Times New Roman" w:cs="Times New Roman"/>
          <w:sz w:val="24"/>
          <w:szCs w:val="24"/>
        </w:rPr>
        <w:fldChar w:fldCharType="begin" w:fldLock="1"/>
      </w:r>
      <w:r w:rsidRPr="003D7553">
        <w:rPr>
          <w:rFonts w:ascii="Times New Roman" w:hAnsi="Times New Roman" w:cs="Times New Roman"/>
          <w:sz w:val="24"/>
          <w:szCs w:val="24"/>
        </w:rPr>
        <w:instrText>ADDIN CSL_CITATION { "citationItems" : [ { "id" : "ITEM-1", "itemData" : { "URL" : "https://comtrade.un.org/", "id" : "ITEM-1", "issued" : { "date-parts" : [ [ "0" ] ] }, "title" : "UN Comtrade | International Trade Statistics Database", "type" : "webpage" }, "uris" : [ "http://www.mendeley.com/documents/?uuid=990707cf-e075-3dfb-a02b-ddbb265dd2a5" ] }, { "id" : "ITEM-2", "itemData" : { "URL" : "https://data.worldbank.org/indicator/NY.GDP.MKTP.CD", "id" : "ITEM-2", "issued" : { "date-parts" : [ [ "0" ] ] }, "title" : "The World Bank", "type" : "webpage" }, "uris" : [ "http://www.mendeley.com/documents/?uuid=2923d538-8fed-3928-a6fb-d304be691218" ] }, { "id" : "ITEM-3", "itemData" : { "URL" : "http://www.cepii.fr/cepii/en/bdd_modele/presentation.asp?id=6", "id" : "ITEM-3", "issued" : { "date-parts" : [ [ "0" ] ] }, "title" : "CEPII - GeoDist", "type" : "webpage" }, "uris" : [ "http://www.mendeley.com/documents/?uuid=a4c4b0c2-5849-3e43-81f0-f3292d5e3797" ] }, { "id" : "ITEM-4", "itemData" : { "URL" : "https://www.hofstede-insights.com/models/national-culture/", "id" : "ITEM-4", "issued" : { "date-parts" : [ [ "0" ] ] }, "title" : "National Culture - Hofstede Insights", "type" : "webpage" }, "uris" : [ "http://www.mendeley.com/documents/?uuid=9ec7ce2a-6240-36f8-80b1-3300ebfd61a1" ] }, { "id" : "ITEM-5", "itemData" : { "URL" : "https://sites.google.com/site/ddowresearch/home", "id" : "ITEM-5", "issued" : { "date-parts" : [ [ "0" ] ] }, "title" : "Melbourne Business School", "type" : "webpage" }, "uris" : [ "http://www.mendeley.com/documents/?uuid=15d01995-7ee8-3201-a510-2c7d0bf5ed49" ] } ], "mendeley" : { "formattedCitation" : "[32, 39, 41, 42, 44]", "plainTextFormattedCitation" : "[32, 39, 41, 42, 44]", "previouslyFormattedCitation" : "[32, 39, 41, 42, 44]" }, "properties" : {  }, "schema" : "https://github.com/citation-style-language/schema/raw/master/csl-citation.json" }</w:instrText>
      </w:r>
      <w:r w:rsidR="00CB3F9D" w:rsidRPr="003D7553">
        <w:rPr>
          <w:rFonts w:ascii="Times New Roman" w:hAnsi="Times New Roman" w:cs="Times New Roman"/>
          <w:sz w:val="24"/>
          <w:szCs w:val="24"/>
        </w:rPr>
        <w:fldChar w:fldCharType="separate"/>
      </w:r>
      <w:r w:rsidRPr="003D7553">
        <w:rPr>
          <w:rFonts w:ascii="Times New Roman" w:hAnsi="Times New Roman" w:cs="Times New Roman"/>
          <w:noProof/>
          <w:sz w:val="24"/>
          <w:szCs w:val="24"/>
        </w:rPr>
        <w:t>[32, 39, 41, 42, 44]</w:t>
      </w:r>
      <w:r w:rsidR="00CB3F9D" w:rsidRPr="003D7553">
        <w:rPr>
          <w:rFonts w:ascii="Times New Roman" w:hAnsi="Times New Roman" w:cs="Times New Roman"/>
          <w:sz w:val="24"/>
          <w:szCs w:val="24"/>
        </w:rPr>
        <w:fldChar w:fldCharType="end"/>
      </w:r>
    </w:p>
    <w:p w14:paraId="1D7B270A" w14:textId="77777777" w:rsidR="002245D5" w:rsidRPr="003D7553" w:rsidRDefault="002245D5" w:rsidP="002245D5">
      <w:pPr>
        <w:spacing w:after="0" w:line="240" w:lineRule="auto"/>
        <w:ind w:firstLine="709"/>
        <w:jc w:val="both"/>
        <w:rPr>
          <w:rFonts w:ascii="Times New Roman" w:hAnsi="Times New Roman" w:cs="Times New Roman"/>
          <w:sz w:val="24"/>
          <w:szCs w:val="24"/>
        </w:rPr>
      </w:pPr>
    </w:p>
    <w:p w14:paraId="7516CAE7"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Гипотеза 1 была полностью опровергнута во всех четырех случаях, а Гипотеза 2 в трех из них. Отсутствие влияния культурных и психологических стимулов на внешнюю торговлю новых индустриальных стран можно объяснить тем, что, во-первых, развитие экономик НИС во многом зависит от активности на зарубежных рынках. Рост макроэкономических показателей четырех азиатских «драконов» тесно завязан на экспорте и прямых иностранных инвестициях (ПИИ) </w:t>
      </w:r>
      <w:r w:rsidR="00CB3F9D" w:rsidRPr="003D7553">
        <w:rPr>
          <w:rFonts w:ascii="Times New Roman" w:hAnsi="Times New Roman" w:cs="Times New Roman"/>
          <w:sz w:val="24"/>
          <w:szCs w:val="24"/>
        </w:rPr>
        <w:fldChar w:fldCharType="begin" w:fldLock="1"/>
      </w:r>
      <w:r w:rsidRPr="003D7553">
        <w:rPr>
          <w:rFonts w:ascii="Times New Roman" w:hAnsi="Times New Roman" w:cs="Times New Roman"/>
          <w:sz w:val="24"/>
          <w:szCs w:val="24"/>
        </w:rPr>
        <w:instrText>ADDIN CSL_CITATION { "citationItems" : [ { "id" : "ITEM-1", "itemData" : { "DOI" : "10.1017/CBO9781139962858.009", "ISBN" : "9781139962858", "ISSN" : "1824-2979.", "abstract" : "China is located in East Asia and, just as Japan, Taiwan, or (South) Korea at earlier stages of their development, has now grown very rapidly for some three decades. That is not enough, however, for it to qualify for membership of the club. The East Asian development model has a number of additional and important characteristics. Four are selected for discussion: the almost constant encouragement given to investment, the manufacturing sector and external competitiveness, and pursued via a variety of fairly interventionist industrial, trade, and financial policies; a concomitant belief in the virtues of intense domestic (Japan and Taiwan) and foreign (Korea) competition; a set of broadly sensible and appropriate macroeconomic policies; and a number of favourable (pre-)conditions, such as the presence of a homogeneous population, a relatively high stock of human capital, reasonable income equality, and fairly authoritarian governments. China, since reforms began in the late 1970s, has shared some of these characteristics, but not all. In particular, it is still much more of a command economy than the other three countries have ever been, yet, at the same time, has embraced globalization with, arguably, much greater enthusiasm than was done, in earlier times, by Japan, Taiwan, or Korea. If China's experience, however, is compared with that of other, more or less successful, developing countries, the similarities with the East Asia development model would seem to dwarf such differences.", "author" : [ { "dropping-particle" : "", "family" : "Boltho", "given" : "Andrea", "non-dropping-particle" : "", "parse-names" : false, "suffix" : "" }, { "dropping-particle" : "", "family" : "Weber", "given" : "Maria", "non-dropping-particle" : "", "parse-names" : false, "suffix" : "" } ], "container-title" : "The European Journal of Comparative Economics", "id" : "ITEM-1", "issue" : "2", "issued" : { "date-parts" : [ [ "2009" ] ] }, "page" : "267-286", "title" : "Did China follow the East Asian development model?", "type" : "article-journal", "volume" : "6" }, "uris" : [ "http://www.mendeley.com/documents/?uuid=26b69c78-0e69-4082-86da-1c991b6f4e8a" ] } ], "mendeley" : { "formattedCitation" : "[6]", "plainTextFormattedCitation" : "[6]", "previouslyFormattedCitation" : "[6]" }, "properties" : {  }, "schema" : "https://github.com/citation-style-language/schema/raw/master/csl-citation.json" }</w:instrText>
      </w:r>
      <w:r w:rsidR="00CB3F9D" w:rsidRPr="003D7553">
        <w:rPr>
          <w:rFonts w:ascii="Times New Roman" w:hAnsi="Times New Roman" w:cs="Times New Roman"/>
          <w:sz w:val="24"/>
          <w:szCs w:val="24"/>
        </w:rPr>
        <w:fldChar w:fldCharType="separate"/>
      </w:r>
      <w:r w:rsidRPr="003D7553">
        <w:rPr>
          <w:rFonts w:ascii="Times New Roman" w:hAnsi="Times New Roman" w:cs="Times New Roman"/>
          <w:noProof/>
          <w:sz w:val="24"/>
          <w:szCs w:val="24"/>
        </w:rPr>
        <w:t>[6]</w:t>
      </w:r>
      <w:r w:rsidR="00CB3F9D" w:rsidRPr="003D7553">
        <w:rPr>
          <w:rFonts w:ascii="Times New Roman" w:hAnsi="Times New Roman" w:cs="Times New Roman"/>
          <w:sz w:val="24"/>
          <w:szCs w:val="24"/>
        </w:rPr>
        <w:fldChar w:fldCharType="end"/>
      </w:r>
      <w:r w:rsidRPr="003D7553">
        <w:rPr>
          <w:rFonts w:ascii="Times New Roman" w:hAnsi="Times New Roman" w:cs="Times New Roman"/>
          <w:sz w:val="24"/>
          <w:szCs w:val="24"/>
        </w:rPr>
        <w:t xml:space="preserve">. Например, по итогам 2017 года Гонконг и Сингапур находятся на 5 и 10 месте в мире по запасам ПИИ </w:t>
      </w:r>
      <w:r w:rsidR="00CB3F9D" w:rsidRPr="003D7553">
        <w:rPr>
          <w:rFonts w:ascii="Times New Roman" w:hAnsi="Times New Roman" w:cs="Times New Roman"/>
          <w:sz w:val="24"/>
          <w:szCs w:val="24"/>
        </w:rPr>
        <w:fldChar w:fldCharType="begin" w:fldLock="1"/>
      </w:r>
      <w:r w:rsidRPr="003D7553">
        <w:rPr>
          <w:rFonts w:ascii="Times New Roman" w:hAnsi="Times New Roman" w:cs="Times New Roman"/>
          <w:sz w:val="24"/>
          <w:szCs w:val="24"/>
        </w:rPr>
        <w:instrText>ADDIN CSL_CITATION { "citationItems" : [ { "id" : "ITEM-1", "itemData" : { "URL" : "https://www.cia.gov/library/publications/the-world-factbook/rankorder/2078rank.html", "id" : "ITEM-1", "issued" : { "date-parts" : [ [ "0" ] ] }, "title" : "The World Factbook \u2014 Central Intelligence Agency", "type" : "webpage" }, "uris" : [ "http://www.mendeley.com/documents/?uuid=65d757d3-069e-3231-b789-dd06609b99ec" ] } ], "mendeley" : { "formattedCitation" : "[30]", "plainTextFormattedCitation" : "[30]", "previouslyFormattedCitation" : "[30]" }, "properties" : {  }, "schema" : "https://github.com/citation-style-language/schema/raw/master/csl-citation.json" }</w:instrText>
      </w:r>
      <w:r w:rsidR="00CB3F9D" w:rsidRPr="003D7553">
        <w:rPr>
          <w:rFonts w:ascii="Times New Roman" w:hAnsi="Times New Roman" w:cs="Times New Roman"/>
          <w:sz w:val="24"/>
          <w:szCs w:val="24"/>
        </w:rPr>
        <w:fldChar w:fldCharType="separate"/>
      </w:r>
      <w:r w:rsidRPr="003D7553">
        <w:rPr>
          <w:rFonts w:ascii="Times New Roman" w:hAnsi="Times New Roman" w:cs="Times New Roman"/>
          <w:noProof/>
          <w:sz w:val="24"/>
          <w:szCs w:val="24"/>
        </w:rPr>
        <w:t>[30]</w:t>
      </w:r>
      <w:r w:rsidR="00CB3F9D" w:rsidRPr="003D7553">
        <w:rPr>
          <w:rFonts w:ascii="Times New Roman" w:hAnsi="Times New Roman" w:cs="Times New Roman"/>
          <w:sz w:val="24"/>
          <w:szCs w:val="24"/>
        </w:rPr>
        <w:fldChar w:fldCharType="end"/>
      </w:r>
      <w:r w:rsidRPr="003D7553">
        <w:rPr>
          <w:rFonts w:ascii="Times New Roman" w:hAnsi="Times New Roman" w:cs="Times New Roman"/>
          <w:sz w:val="24"/>
          <w:szCs w:val="24"/>
        </w:rPr>
        <w:t>. Во-вторых, для осуществления восточноазиатского чуда Гонконг, Корея, Сингапур и Тайвань наладили тесные экономические и политические связи с разными странами, вне зависимости от уровня их развития или культурных различий между ними. В-третьих, в Сингапуре, Гонконге и Китае китайский, один из самых распространенных языков в мире, является официальным языком. Это снижает влияние языковых различий на внешнюю торговлю. В-четвертых, для ускорения темпов индустриализации, азиатские «драконы» большое значение уделяют образованию. Правительство стран инвестирует большие суммы в модернизацию образования, повышение его качества и приближения к международным стандартам. По государственной программе многие студенты проходят обучение в лучших зарубежных университетах, перенимая опыт и знания развитых стран. Данный факт так же сокращает психологическую дистанцию. В-пятых, если, например, Корея активно инвестирует и поддерживает рост местных чеболей, то другие три «тигра» открыты для иностранного бизнеса и зарубежных ТНК, которые получают субсидии и поддержку со стороны государства.</w:t>
      </w:r>
    </w:p>
    <w:p w14:paraId="4AFFE0E5"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Единственная страна для которой подтвердилась Гипотеза 2 – это Тайвань. При увеличении PD стимула на единицу, стоимость экспорта уменьшается на 18,1%. Тайвань – это исключительное государство, которое до сих пор не признано самостоятельным некоторыми странами. Торговые отношения Тайваня ограничены политическими и экономическими аспектами. В таких условиях государство вынуждено торговать с «психологически близкими» странами. Сегодня около 40% экспорта Тайваня идет в Китай и Гонконг. Данный факт обуславливает негативное влияние психологической дистанции на стоимость экспорта. </w:t>
      </w:r>
    </w:p>
    <w:p w14:paraId="5875B366"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Гипотеза 3 была опровергнута в отношении Гонконга, Кореи и Тайваня. Отсутствие влияния стимула можно объяснить тем, что с развитием транспортных, информационных и коммуникационных технологий влияние разницы во времени сокращается. Что касается Сингапура, влияние показателя часовых зон на экспортные потоки подтвердилось на уровне 1% ошибки. При увеличении показателя на 1 единицу, стоимость экспорта сокращается на </w:t>
      </w:r>
      <w:r w:rsidRPr="003D7553">
        <w:rPr>
          <w:rFonts w:ascii="Times New Roman" w:hAnsi="Times New Roman" w:cs="Times New Roman"/>
          <w:sz w:val="24"/>
          <w:szCs w:val="24"/>
        </w:rPr>
        <w:lastRenderedPageBreak/>
        <w:t xml:space="preserve">42,9%. Последнее десятилетие Сингапур активно развивается как финансовый центр. Его удобное географическое положение позволило ему занять пустующее место в международных финансовых операциях между закрытием банков в Сан-Франциско и открытием банков в Цюрихе. Этот факт объясняет то, что Сингапур будет больше торговать со своими финансовыми партнерами, которые находятся с ним в одной часовой зоне. </w:t>
      </w:r>
    </w:p>
    <w:p w14:paraId="7320F7F7"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Как видно из Таблицы 2 для трех стран Гипотеза 4 подтвердилась. При наличии соглашения о свободной торговле экспорт из Гонконга, Сингапура и Тайваня увеличивается на 49,8%, 62,1% и 138,1% соответственно. Для Кореи данная гипотеза не подтвердилась. Это можно объяснить тем, что страна утренней свежести имеет двусторонние торговые соглашения с 58 странами мира </w:t>
      </w:r>
      <w:r w:rsidR="00CB3F9D" w:rsidRPr="003D7553">
        <w:rPr>
          <w:rFonts w:ascii="Times New Roman" w:hAnsi="Times New Roman" w:cs="Times New Roman"/>
          <w:sz w:val="24"/>
          <w:szCs w:val="24"/>
        </w:rPr>
        <w:fldChar w:fldCharType="begin" w:fldLock="1"/>
      </w:r>
      <w:r w:rsidRPr="003D7553">
        <w:rPr>
          <w:rFonts w:ascii="Times New Roman" w:hAnsi="Times New Roman" w:cs="Times New Roman"/>
          <w:sz w:val="24"/>
          <w:szCs w:val="24"/>
        </w:rPr>
        <w:instrText>ADDIN CSL_CITATION { "citationItems" : [ { "id" : "ITEM-1", "itemData" : { "URL" : "https://www.cia.gov/library/publications/the-world-factbook/rankorder/2078rank.html", "id" : "ITEM-1", "issued" : { "date-parts" : [ [ "0" ] ] }, "title" : "The World Factbook \u2014 Central Intelligence Agency", "type" : "webpage" }, "uris" : [ "http://www.mendeley.com/documents/?uuid=65d757d3-069e-3231-b789-dd06609b99ec" ] } ], "mendeley" : { "formattedCitation" : "[30]", "plainTextFormattedCitation" : "[30]", "previouslyFormattedCitation" : "[30]" }, "properties" : {  }, "schema" : "https://github.com/citation-style-language/schema/raw/master/csl-citation.json" }</w:instrText>
      </w:r>
      <w:r w:rsidR="00CB3F9D" w:rsidRPr="003D7553">
        <w:rPr>
          <w:rFonts w:ascii="Times New Roman" w:hAnsi="Times New Roman" w:cs="Times New Roman"/>
          <w:sz w:val="24"/>
          <w:szCs w:val="24"/>
        </w:rPr>
        <w:fldChar w:fldCharType="separate"/>
      </w:r>
      <w:r w:rsidRPr="003D7553">
        <w:rPr>
          <w:rFonts w:ascii="Times New Roman" w:hAnsi="Times New Roman" w:cs="Times New Roman"/>
          <w:noProof/>
          <w:sz w:val="24"/>
          <w:szCs w:val="24"/>
        </w:rPr>
        <w:t>[30]</w:t>
      </w:r>
      <w:r w:rsidR="00CB3F9D" w:rsidRPr="003D7553">
        <w:rPr>
          <w:rFonts w:ascii="Times New Roman" w:hAnsi="Times New Roman" w:cs="Times New Roman"/>
          <w:sz w:val="24"/>
          <w:szCs w:val="24"/>
        </w:rPr>
        <w:fldChar w:fldCharType="end"/>
      </w:r>
      <w:r w:rsidRPr="003D7553">
        <w:rPr>
          <w:rFonts w:ascii="Times New Roman" w:hAnsi="Times New Roman" w:cs="Times New Roman"/>
          <w:sz w:val="24"/>
          <w:szCs w:val="24"/>
        </w:rPr>
        <w:t xml:space="preserve">, это означает, что с половиной представленных торговых  партнеров она имеет подписанные и ратифицированные договоры. </w:t>
      </w:r>
    </w:p>
    <w:p w14:paraId="62830660"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Исходя из полученных результатов, можно сделать вывод о том, что на экспортные потоки новых индустриальных стран первой волны стимулы психологической дистанции не оказывают влияния. Главным фактором, определяющим объем торговли с той или иной страной, является наличие соглашений о свободной торговле.</w:t>
      </w:r>
    </w:p>
    <w:p w14:paraId="7339AE4C"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Дальнейшее увеличение объясняющей способности модели может быть достигнуто путем добавления новых переменных, уточнения уже имеющихся (например, разделение показателя «психологическая дистанция» на отдельные стимулы, язык, религия, экономика и т.п.), а также конкретизации экспортных потоков, т.е. изучение экспорта конкретных продуктов (например, разделение экспорта по 10 разделам </w:t>
      </w:r>
      <w:r w:rsidRPr="003D7553">
        <w:rPr>
          <w:rFonts w:ascii="Times New Roman" w:hAnsi="Times New Roman" w:cs="Times New Roman"/>
          <w:sz w:val="24"/>
          <w:szCs w:val="24"/>
          <w:lang w:val="en-US"/>
        </w:rPr>
        <w:t>SITC</w:t>
      </w:r>
      <w:r w:rsidRPr="003D7553">
        <w:rPr>
          <w:rFonts w:ascii="Times New Roman" w:hAnsi="Times New Roman" w:cs="Times New Roman"/>
          <w:sz w:val="24"/>
          <w:szCs w:val="24"/>
        </w:rPr>
        <w:t>). Также в перспективе, влияние психологической дистанции можно оценить в динамике, например, с шагом в 10 лет, чтобы определить есть ли тенденция к увеличению или сокращению воздействия стимулов. Представленные результаты послужили лучшему понимаю внешней торговли Гонконга, Кореи, Сингапура и Тайваня.</w:t>
      </w:r>
    </w:p>
    <w:bookmarkEnd w:id="7"/>
    <w:p w14:paraId="4F904CB7" w14:textId="77777777" w:rsidR="002245D5" w:rsidRPr="003D7553" w:rsidRDefault="002245D5" w:rsidP="002245D5">
      <w:pPr>
        <w:spacing w:after="0" w:line="240" w:lineRule="auto"/>
        <w:ind w:firstLine="709"/>
        <w:jc w:val="both"/>
        <w:rPr>
          <w:rFonts w:ascii="Times New Roman" w:hAnsi="Times New Roman" w:cs="Times New Roman"/>
          <w:sz w:val="24"/>
          <w:szCs w:val="24"/>
          <w:highlight w:val="yellow"/>
        </w:rPr>
      </w:pPr>
    </w:p>
    <w:p w14:paraId="3D49DFA7" w14:textId="77777777" w:rsidR="002245D5" w:rsidRPr="003D7553" w:rsidRDefault="002245D5" w:rsidP="002245D5">
      <w:pPr>
        <w:spacing w:after="0" w:line="240" w:lineRule="auto"/>
        <w:ind w:firstLine="709"/>
        <w:jc w:val="both"/>
        <w:rPr>
          <w:rFonts w:ascii="Times New Roman" w:hAnsi="Times New Roman" w:cs="Times New Roman"/>
          <w:b/>
          <w:sz w:val="24"/>
          <w:szCs w:val="24"/>
          <w:lang w:val="en-US"/>
        </w:rPr>
      </w:pPr>
      <w:r w:rsidRPr="003D7553">
        <w:rPr>
          <w:rFonts w:ascii="Times New Roman" w:hAnsi="Times New Roman" w:cs="Times New Roman"/>
          <w:b/>
          <w:sz w:val="24"/>
          <w:szCs w:val="24"/>
          <w:lang w:val="en-US"/>
        </w:rPr>
        <w:t>_____________________________</w:t>
      </w:r>
    </w:p>
    <w:p w14:paraId="09FF43A8" w14:textId="77777777" w:rsidR="002245D5" w:rsidRPr="003D7553" w:rsidRDefault="00CB3F9D"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sz w:val="24"/>
          <w:szCs w:val="24"/>
          <w:lang w:val="en-US"/>
        </w:rPr>
        <w:fldChar w:fldCharType="begin" w:fldLock="1"/>
      </w:r>
      <w:r w:rsidR="002245D5" w:rsidRPr="003D7553">
        <w:rPr>
          <w:rFonts w:ascii="Times New Roman" w:hAnsi="Times New Roman" w:cs="Times New Roman"/>
          <w:sz w:val="24"/>
          <w:szCs w:val="24"/>
          <w:lang w:val="en-US"/>
        </w:rPr>
        <w:instrText xml:space="preserve">ADDIN Mendeley Bibliography CSL_BIBLIOGRAPHY </w:instrText>
      </w:r>
      <w:r w:rsidRPr="003D7553">
        <w:rPr>
          <w:rFonts w:ascii="Times New Roman" w:hAnsi="Times New Roman" w:cs="Times New Roman"/>
          <w:sz w:val="24"/>
          <w:szCs w:val="24"/>
          <w:lang w:val="en-US"/>
        </w:rPr>
        <w:fldChar w:fldCharType="separate"/>
      </w:r>
      <w:r w:rsidR="002245D5" w:rsidRPr="003D7553">
        <w:rPr>
          <w:rFonts w:ascii="Times New Roman" w:hAnsi="Times New Roman" w:cs="Times New Roman"/>
          <w:noProof/>
          <w:sz w:val="24"/>
          <w:szCs w:val="24"/>
          <w:lang w:val="en-US"/>
        </w:rPr>
        <w:t>1. Arora A., Fosfuri A. Wholly owned subsidiary versus technology licensing in the worldwide chemical industry // Journal of International Business Studies . 2000. № 4 (31). C. 555–572.</w:t>
      </w:r>
    </w:p>
    <w:p w14:paraId="693DF88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 Beck T. [</w:t>
      </w:r>
      <w:r w:rsidRPr="003D7553">
        <w:rPr>
          <w:rFonts w:ascii="Times New Roman" w:hAnsi="Times New Roman" w:cs="Times New Roman"/>
          <w:noProof/>
          <w:sz w:val="24"/>
          <w:szCs w:val="24"/>
        </w:rPr>
        <w:t>и</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др</w:t>
      </w:r>
      <w:r w:rsidRPr="003D7553">
        <w:rPr>
          <w:rFonts w:ascii="Times New Roman" w:hAnsi="Times New Roman" w:cs="Times New Roman"/>
          <w:noProof/>
          <w:sz w:val="24"/>
          <w:szCs w:val="24"/>
          <w:lang w:val="en-US"/>
        </w:rPr>
        <w:t>.]. New Tools in Comparative Political Economy: The Database of Political Institutions // Source: The World Bank Economic Review. 2001. № 1 (15). C. 165–176.</w:t>
      </w:r>
    </w:p>
    <w:p w14:paraId="6718A789"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 Beckerman W. Distance and the Pattern of Intra-European Trade // The Review of Economics and Statistics. 1956. № 1 (38). C. 31–40.</w:t>
      </w:r>
    </w:p>
    <w:p w14:paraId="1E491B81"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4. Berry H., Guillén M.F., Zhou N. An institutional approach to cross-national distance // Journal of International Business Studies. 2010. № 9 (41). C. 1460–1480.</w:t>
      </w:r>
    </w:p>
    <w:p w14:paraId="2907F757"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5. Blomkvist K., Drogendijk R. The Impact of Psychic Distance on Chinese Outward Foreign Direct Investments // Management International Review. 2013. № 53. C. 659–686.</w:t>
      </w:r>
    </w:p>
    <w:p w14:paraId="47CFD36D"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6. Boltho A., Weber M. Did China follow the East Asian development model? // The European Journal of Comparative Economics. 2009. № 2 (6). C. 267–286.</w:t>
      </w:r>
    </w:p>
    <w:p w14:paraId="43F80762"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7. Brewer P. Psychic Distance and Australian Export Market Selection // Australian Journal of Management (University of New South Wales). 2007. № 1 (32). C. 73–94.</w:t>
      </w:r>
    </w:p>
    <w:p w14:paraId="28CCCF53"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8. Disdier A.-C., Head K. The Puzzling Persistence of the Distance Effect on Bilateral Trade // Review of Economics and Statistics. 2008. № 1 (90). C. 37–48.</w:t>
      </w:r>
    </w:p>
    <w:p w14:paraId="535E5C85"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9. Dow D. A Note on Psychological Distance and Export Market Selection // Journal of International Marketing. 2000. № 1 (8). C. 51–64.</w:t>
      </w:r>
    </w:p>
    <w:p w14:paraId="6E5318C3"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10. Dow D., Ferencikova S. The Measurement and Impact of Psychic Distance: Testing New Scales on FDI in Slovakia // European International Business Academy. 2007. № 33. C. 1–26.</w:t>
      </w:r>
    </w:p>
    <w:p w14:paraId="287C2080"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11. Dow D., Karunaratna A. Developing a multidimensional instrument to measure psychic distance stimuli // Journal of International Business Studies. 2006. № 5 (37). C. 578–602.</w:t>
      </w:r>
    </w:p>
    <w:p w14:paraId="39961F59"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12. Easterly W. Explaining Miracles : Growth Regressions Meet the Gang of Four // Growth Theories in Light of the East Asian Experience. 1995. № 4 (11). C. 267–299.</w:t>
      </w:r>
    </w:p>
    <w:p w14:paraId="6A0F083D"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 xml:space="preserve">13. Ellis P.D. Does psychic distance moderate the market size-entry sequence relationship? </w:t>
      </w:r>
      <w:r w:rsidRPr="003D7553">
        <w:rPr>
          <w:rFonts w:ascii="Times New Roman" w:hAnsi="Times New Roman" w:cs="Times New Roman"/>
          <w:noProof/>
          <w:sz w:val="24"/>
          <w:szCs w:val="24"/>
          <w:lang w:val="en-US"/>
        </w:rPr>
        <w:lastRenderedPageBreak/>
        <w:t>// Journal of International Business Studies. 2008. № 3 (39). C. 351–369.</w:t>
      </w:r>
    </w:p>
    <w:p w14:paraId="00D6B807"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14. Evans J., Mavondo F.T. Psychic of Distance Performance : An Organizational Operations // Journal of International Business Studies. 2002. № 3 (33). C. 515–532.</w:t>
      </w:r>
    </w:p>
    <w:p w14:paraId="4E34C021"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15. Håkanson L., Ambos B. The antecedents of psychic distance // Journal of International Management. 2010. № 3 (16). C. 195–210.</w:t>
      </w:r>
    </w:p>
    <w:p w14:paraId="7C1B7490"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16. Henisz W.J. The Institutional Environment for Economic Growth // Economics and Politics. 2000. № 1 (12). C. 1–31.</w:t>
      </w:r>
    </w:p>
    <w:p w14:paraId="1EFF9F70"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17. Hummels D. Transportation Costs and International Trade in the Second Era of Globalization // Journal of Economic Perspectives. 2007. № 3 (21). C. 131–154.</w:t>
      </w:r>
    </w:p>
    <w:p w14:paraId="79AA1E08"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18. Johanson J., Vahlne J.-E. The Internationalization Process of the Firm-A Model of Knowledge Development and Increasing Foreign Market // Journal of International Business Studies. 1977. № 1 (8). C. 23–32.</w:t>
      </w:r>
    </w:p>
    <w:p w14:paraId="2E38B35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19. Johanson J., Wiedersheim‐Paul F. the Internationalization of the Firm — Four Swedish Cases // Journal of Management Studies. 1975. № 3 (12). C. 305–323.</w:t>
      </w:r>
    </w:p>
    <w:p w14:paraId="1B0CDF85"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20. Kogut B., Singh H. the Effectof Nationalcultureon the Choiceof Entrymode // Journal of International Business Studies. 1988. № 3 (19). C. 411–432.</w:t>
      </w:r>
    </w:p>
    <w:p w14:paraId="4F3D2077"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21. Lall S. The Technological Structure and Performance of Developing Country Manufactured Exports, 1985-1998 // Oxford Development Studies. 2000. № 3 (28). C. 337–369.</w:t>
      </w:r>
    </w:p>
    <w:p w14:paraId="1973E8C3"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22. Meyer K. Institutions, transaction costs, and entry mode choice in Eastern Europe // Journal of international business studies. 2001. № 2 (32). C. 357–367.</w:t>
      </w:r>
    </w:p>
    <w:p w14:paraId="70C2638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23. Ojala A. Geographic, cultural, and psychic distance to foreign markets in the context of small and new ventures // International Business Review. 2015. № 5 (24). C. 825–835.</w:t>
      </w:r>
    </w:p>
    <w:p w14:paraId="015A97E4"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24. Ojala A., Tyrväinen P. Impact of psychic distance to the internationalization behavior of knowledge‐intensive SMEs // European Business Review. 2009. № 3 (21). C. 263–277.</w:t>
      </w:r>
    </w:p>
    <w:p w14:paraId="7050892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25. Shenkar O. Cultural Distance Revisited: Towards a More Rigorous Conceptualization and Measurement of Cultural Differences // Journal of International Business Studies. 2001. № 3 (32). C. 519–535.</w:t>
      </w:r>
    </w:p>
    <w:p w14:paraId="2B96DAF8"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26. Sousa C.M.., Bradley F. Cultural Distance and Psychic Distance: Two Peas in a Pod? // Journal of International Marketing. 2006. № 1 (14). C. 49–70.</w:t>
      </w:r>
    </w:p>
    <w:p w14:paraId="011A872F"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27. Sousa C.M.P., Lengler J. Psychic distance, marketing strategy and performance in export ventures of Brazilian firms // JOURNAL OF MARKETING MANAGEMENT. 2009. № 5–6 (25). C. 591–610.</w:t>
      </w:r>
    </w:p>
    <w:p w14:paraId="6BD202F1"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28. Srivastava R.K., Green R.T. Determinants of Bilateral Trade Flows // The Journal of Business. 1986. № 4 (59). C. 623–640.</w:t>
      </w:r>
    </w:p>
    <w:p w14:paraId="61BAC178"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29. Tihanyi L. [</w:t>
      </w:r>
      <w:r w:rsidRPr="003D7553">
        <w:rPr>
          <w:rFonts w:ascii="Times New Roman" w:hAnsi="Times New Roman" w:cs="Times New Roman"/>
          <w:noProof/>
          <w:sz w:val="24"/>
          <w:szCs w:val="24"/>
        </w:rPr>
        <w:t>и</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др</w:t>
      </w:r>
      <w:r w:rsidRPr="003D7553">
        <w:rPr>
          <w:rFonts w:ascii="Times New Roman" w:hAnsi="Times New Roman" w:cs="Times New Roman"/>
          <w:noProof/>
          <w:sz w:val="24"/>
          <w:szCs w:val="24"/>
          <w:lang w:val="en-US"/>
        </w:rPr>
        <w:t>.]. The effect of cultural distance on entry mode choice, international diversification, and MNE performance: a meta-analysis // Journal of International Business Studies. 2005. (36). C. 270–283.</w:t>
      </w:r>
    </w:p>
    <w:p w14:paraId="59229E95"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30. The World Factbook — Central Intelligence Agency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https://www.cia.gov/library/publications/the-world-factbook/rankorder/2078rank.html.</w:t>
      </w:r>
    </w:p>
    <w:p w14:paraId="3CCD56E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rPr>
      </w:pPr>
      <w:r w:rsidRPr="003D7553">
        <w:rPr>
          <w:rFonts w:ascii="Times New Roman" w:hAnsi="Times New Roman" w:cs="Times New Roman"/>
          <w:noProof/>
          <w:sz w:val="24"/>
          <w:szCs w:val="24"/>
        </w:rPr>
        <w:t>31. UNCTADstat [Электронный ресурс]. URL: http://unctadstat.unctad.org/EN/.</w:t>
      </w:r>
    </w:p>
    <w:p w14:paraId="0C10F1BB"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32. Melbourne Business School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https://sites.google.com/site/ddowresearch/home.</w:t>
      </w:r>
    </w:p>
    <w:p w14:paraId="08C2422F"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33. World Christian Database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http://worldchristiandatabase.org/wcd/about/more.asp.</w:t>
      </w:r>
    </w:p>
    <w:p w14:paraId="73C7353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rPr>
      </w:pPr>
      <w:r w:rsidRPr="003D7553">
        <w:rPr>
          <w:rFonts w:ascii="Times New Roman" w:hAnsi="Times New Roman" w:cs="Times New Roman"/>
          <w:noProof/>
          <w:sz w:val="24"/>
          <w:szCs w:val="24"/>
        </w:rPr>
        <w:t>34. CIA Factbook, 2002 [Электронный ресурс]. URL: https://www.cia.gov/library/publications/download/download-2002/index.html.</w:t>
      </w:r>
    </w:p>
    <w:p w14:paraId="38188377"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35. The Jewish Agency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http://www.jewishagency.org/.</w:t>
      </w:r>
    </w:p>
    <w:p w14:paraId="291CBAB2"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36. United Nations Statistics Division - Demographic and Social Statistics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https://unstats.un.org/unsd/demographic/products/socind/.</w:t>
      </w:r>
    </w:p>
    <w:p w14:paraId="0C97FBAB"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37. UNSD — Statistical Yearbook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https://unstats.un.org/unsd/publications/statistical-yearbook/past-issues/.</w:t>
      </w:r>
    </w:p>
    <w:p w14:paraId="556D5003"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38. Freedom House | Championing Democracy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xml:space="preserve">]. URL: </w:t>
      </w:r>
      <w:r w:rsidRPr="003D7553">
        <w:rPr>
          <w:rFonts w:ascii="Times New Roman" w:hAnsi="Times New Roman" w:cs="Times New Roman"/>
          <w:noProof/>
          <w:sz w:val="24"/>
          <w:szCs w:val="24"/>
          <w:lang w:val="en-US"/>
        </w:rPr>
        <w:lastRenderedPageBreak/>
        <w:t>https://freedomhouse.org/.</w:t>
      </w:r>
    </w:p>
    <w:p w14:paraId="6C9C538E"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39. National Culture - Hofstede Insights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https://www.hofstede-insights.com/models/national-culture/.</w:t>
      </w:r>
    </w:p>
    <w:p w14:paraId="258ADD74"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rPr>
      </w:pPr>
      <w:r w:rsidRPr="003D7553">
        <w:rPr>
          <w:rFonts w:ascii="Times New Roman" w:hAnsi="Times New Roman" w:cs="Times New Roman"/>
          <w:noProof/>
          <w:sz w:val="24"/>
          <w:szCs w:val="24"/>
        </w:rPr>
        <w:t>40. UNCTAD [Электронный ресурс]. URL: http://unctad.org/en/Pages/Home.aspx.</w:t>
      </w:r>
    </w:p>
    <w:p w14:paraId="09C714D7"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rPr>
      </w:pPr>
      <w:r w:rsidRPr="003D7553">
        <w:rPr>
          <w:rFonts w:ascii="Times New Roman" w:hAnsi="Times New Roman" w:cs="Times New Roman"/>
          <w:noProof/>
          <w:sz w:val="24"/>
          <w:szCs w:val="24"/>
        </w:rPr>
        <w:t>41. CEPII - GeoDist [Электронный ресурс]. URL: http://www.cepii.fr/cepii/en/bdd_modele/presentation.asp?id=6.</w:t>
      </w:r>
    </w:p>
    <w:p w14:paraId="25A12DDC"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rPr>
        <w:t xml:space="preserve">42. The World Bank [Электронный ресурс]. </w:t>
      </w:r>
      <w:r w:rsidRPr="003D7553">
        <w:rPr>
          <w:rFonts w:ascii="Times New Roman" w:hAnsi="Times New Roman" w:cs="Times New Roman"/>
          <w:noProof/>
          <w:sz w:val="24"/>
          <w:szCs w:val="24"/>
          <w:lang w:val="en-US"/>
        </w:rPr>
        <w:t>URL: https://data.worldbank.org/indicator/NY.GDP.MKTP.CD.</w:t>
      </w:r>
    </w:p>
    <w:p w14:paraId="406DA747"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lang w:val="en-US"/>
        </w:rPr>
      </w:pPr>
      <w:r w:rsidRPr="003D7553">
        <w:rPr>
          <w:rFonts w:ascii="Times New Roman" w:hAnsi="Times New Roman" w:cs="Times New Roman"/>
          <w:noProof/>
          <w:sz w:val="24"/>
          <w:szCs w:val="24"/>
          <w:lang w:val="en-US"/>
        </w:rPr>
        <w:t>43. Gordon, Raymond G., Jr. (ed.), 2005. Ethnologue: Languages of the World, Fifteenth edition.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URL: http://www.ethnologue.com/15/.</w:t>
      </w:r>
    </w:p>
    <w:p w14:paraId="1F311961" w14:textId="77777777" w:rsidR="002245D5" w:rsidRPr="003D7553" w:rsidRDefault="002245D5" w:rsidP="002245D5">
      <w:pPr>
        <w:widowControl w:val="0"/>
        <w:autoSpaceDE w:val="0"/>
        <w:autoSpaceDN w:val="0"/>
        <w:adjustRightInd w:val="0"/>
        <w:spacing w:after="0" w:line="240" w:lineRule="auto"/>
        <w:ind w:firstLine="709"/>
        <w:rPr>
          <w:rFonts w:ascii="Times New Roman" w:hAnsi="Times New Roman" w:cs="Times New Roman"/>
          <w:noProof/>
          <w:sz w:val="24"/>
          <w:szCs w:val="24"/>
        </w:rPr>
      </w:pPr>
      <w:r w:rsidRPr="003D7553">
        <w:rPr>
          <w:rFonts w:ascii="Times New Roman" w:hAnsi="Times New Roman" w:cs="Times New Roman"/>
          <w:noProof/>
          <w:sz w:val="24"/>
          <w:szCs w:val="24"/>
          <w:lang w:val="en-US"/>
        </w:rPr>
        <w:t>44. UN Comtrade | International Trade Statistics Database [</w:t>
      </w:r>
      <w:r w:rsidRPr="003D7553">
        <w:rPr>
          <w:rFonts w:ascii="Times New Roman" w:hAnsi="Times New Roman" w:cs="Times New Roman"/>
          <w:noProof/>
          <w:sz w:val="24"/>
          <w:szCs w:val="24"/>
        </w:rPr>
        <w:t>Электронный</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ресурс</w:t>
      </w:r>
      <w:r w:rsidRPr="003D7553">
        <w:rPr>
          <w:rFonts w:ascii="Times New Roman" w:hAnsi="Times New Roman" w:cs="Times New Roman"/>
          <w:noProof/>
          <w:sz w:val="24"/>
          <w:szCs w:val="24"/>
          <w:lang w:val="en-US"/>
        </w:rPr>
        <w:t xml:space="preserve">]. </w:t>
      </w:r>
      <w:r w:rsidRPr="003D7553">
        <w:rPr>
          <w:rFonts w:ascii="Times New Roman" w:hAnsi="Times New Roman" w:cs="Times New Roman"/>
          <w:noProof/>
          <w:sz w:val="24"/>
          <w:szCs w:val="24"/>
        </w:rPr>
        <w:t xml:space="preserve">URL: https://comtrade.un.org/. </w:t>
      </w:r>
    </w:p>
    <w:p w14:paraId="06971CD3" w14:textId="77777777" w:rsidR="002245D5" w:rsidRPr="003D7553" w:rsidRDefault="00CB3F9D" w:rsidP="002245D5">
      <w:pPr>
        <w:spacing w:line="240" w:lineRule="auto"/>
        <w:jc w:val="both"/>
        <w:rPr>
          <w:rFonts w:ascii="Times New Roman" w:hAnsi="Times New Roman" w:cs="Times New Roman"/>
          <w:sz w:val="24"/>
          <w:szCs w:val="24"/>
        </w:rPr>
      </w:pPr>
      <w:r w:rsidRPr="003D7553">
        <w:rPr>
          <w:rFonts w:ascii="Times New Roman" w:hAnsi="Times New Roman" w:cs="Times New Roman"/>
          <w:sz w:val="24"/>
          <w:szCs w:val="24"/>
          <w:lang w:val="en-US"/>
        </w:rPr>
        <w:fldChar w:fldCharType="end"/>
      </w:r>
    </w:p>
    <w:p w14:paraId="3794E0B7" w14:textId="77777777" w:rsidR="00212D0F" w:rsidRPr="003D7553" w:rsidRDefault="00212D0F" w:rsidP="00212D0F">
      <w:pPr>
        <w:spacing w:line="240" w:lineRule="auto"/>
        <w:rPr>
          <w:rFonts w:ascii="Times New Roman" w:hAnsi="Times New Roman"/>
          <w:b/>
          <w:sz w:val="24"/>
          <w:szCs w:val="24"/>
        </w:rPr>
      </w:pPr>
      <w:r w:rsidRPr="003D7553">
        <w:rPr>
          <w:rFonts w:ascii="Times New Roman" w:hAnsi="Times New Roman"/>
          <w:b/>
          <w:sz w:val="24"/>
          <w:szCs w:val="24"/>
        </w:rPr>
        <w:t>Рубрика: Мировая экономика</w:t>
      </w:r>
    </w:p>
    <w:p w14:paraId="036A540A" w14:textId="77777777" w:rsidR="00212D0F" w:rsidRPr="003D7553" w:rsidRDefault="00212D0F" w:rsidP="00212D0F">
      <w:pPr>
        <w:spacing w:line="240" w:lineRule="auto"/>
        <w:rPr>
          <w:rFonts w:ascii="Times New Roman" w:hAnsi="Times New Roman"/>
          <w:sz w:val="24"/>
          <w:szCs w:val="24"/>
        </w:rPr>
      </w:pPr>
      <w:r w:rsidRPr="003D7553">
        <w:rPr>
          <w:rFonts w:ascii="Times New Roman" w:hAnsi="Times New Roman"/>
          <w:sz w:val="24"/>
          <w:szCs w:val="24"/>
        </w:rPr>
        <w:t>УДК 339.92 + 336.71</w:t>
      </w:r>
    </w:p>
    <w:p w14:paraId="155AEFB4" w14:textId="77777777" w:rsidR="00212D0F" w:rsidRPr="003D7553" w:rsidRDefault="00212D0F" w:rsidP="00212D0F">
      <w:pPr>
        <w:spacing w:after="0" w:line="240" w:lineRule="auto"/>
        <w:jc w:val="center"/>
        <w:rPr>
          <w:rFonts w:ascii="Book Antiqua" w:eastAsia="MS Mincho" w:hAnsi="Book Antiqua"/>
          <w:b/>
          <w:sz w:val="24"/>
          <w:szCs w:val="24"/>
          <w:lang w:eastAsia="ja-JP"/>
        </w:rPr>
      </w:pPr>
      <w:r w:rsidRPr="003D7553">
        <w:rPr>
          <w:rFonts w:ascii="Book Antiqua" w:eastAsia="MS Mincho" w:hAnsi="Book Antiqua"/>
          <w:b/>
          <w:sz w:val="24"/>
          <w:szCs w:val="24"/>
          <w:lang w:eastAsia="ja-JP"/>
        </w:rPr>
        <w:t>РАЗВИТИЕ ВНЕШНЕЭКОНОМИЧЕСКИХ СВЯЗЕЙ ДАЛЬНЕГО ВОСТОКА: РОЛЬ КРЕДИТНЫХ ОРГАНИЗАЦИЙ</w:t>
      </w:r>
    </w:p>
    <w:p w14:paraId="2A1F701D" w14:textId="77777777" w:rsidR="00212D0F" w:rsidRPr="003D7553" w:rsidRDefault="00212D0F" w:rsidP="00212D0F">
      <w:pPr>
        <w:spacing w:after="0" w:line="240" w:lineRule="auto"/>
        <w:jc w:val="center"/>
        <w:rPr>
          <w:rFonts w:ascii="Times New Roman" w:hAnsi="Times New Roman"/>
          <w:sz w:val="24"/>
          <w:szCs w:val="24"/>
        </w:rPr>
      </w:pPr>
    </w:p>
    <w:p w14:paraId="07C005BA" w14:textId="77777777" w:rsidR="00212D0F" w:rsidRPr="003D7553" w:rsidRDefault="00212D0F" w:rsidP="00212D0F">
      <w:pPr>
        <w:spacing w:after="0" w:line="240" w:lineRule="auto"/>
        <w:jc w:val="center"/>
        <w:rPr>
          <w:rFonts w:ascii="Arial" w:eastAsia="MS Mincho" w:hAnsi="Arial" w:cs="Arial"/>
          <w:b/>
          <w:sz w:val="24"/>
          <w:szCs w:val="24"/>
          <w:lang w:eastAsia="ja-JP"/>
        </w:rPr>
      </w:pPr>
      <w:r w:rsidRPr="003D7553">
        <w:rPr>
          <w:rFonts w:ascii="Arial" w:eastAsia="MS Mincho" w:hAnsi="Arial" w:cs="Arial"/>
          <w:b/>
          <w:sz w:val="24"/>
          <w:szCs w:val="24"/>
          <w:lang w:eastAsia="ja-JP"/>
        </w:rPr>
        <w:t>Лю Цзин</w:t>
      </w:r>
    </w:p>
    <w:p w14:paraId="1A36579B" w14:textId="77777777" w:rsidR="00212D0F" w:rsidRPr="003D7553" w:rsidRDefault="00212D0F" w:rsidP="00212D0F">
      <w:pPr>
        <w:spacing w:after="0" w:line="240" w:lineRule="auto"/>
        <w:jc w:val="center"/>
        <w:rPr>
          <w:rFonts w:ascii="Arial" w:hAnsi="Arial" w:cs="Arial"/>
          <w:sz w:val="24"/>
          <w:szCs w:val="24"/>
        </w:rPr>
      </w:pPr>
      <w:r w:rsidRPr="003D7553">
        <w:rPr>
          <w:rFonts w:ascii="Arial" w:hAnsi="Arial" w:cs="Arial"/>
          <w:sz w:val="24"/>
          <w:szCs w:val="24"/>
        </w:rPr>
        <w:t>магистрант 1 курса, кафедра экономики</w:t>
      </w:r>
    </w:p>
    <w:p w14:paraId="03EFCA41" w14:textId="77777777" w:rsidR="00212D0F" w:rsidRPr="003D7553" w:rsidRDefault="00212D0F" w:rsidP="00212D0F">
      <w:pPr>
        <w:spacing w:after="0" w:line="240" w:lineRule="auto"/>
        <w:jc w:val="center"/>
        <w:rPr>
          <w:rFonts w:ascii="Times New Roman" w:hAnsi="Times New Roman"/>
          <w:sz w:val="24"/>
          <w:szCs w:val="24"/>
        </w:rPr>
      </w:pPr>
    </w:p>
    <w:p w14:paraId="7365BED6" w14:textId="77777777" w:rsidR="00212D0F" w:rsidRPr="003D7553" w:rsidRDefault="00212D0F" w:rsidP="00212D0F">
      <w:pPr>
        <w:spacing w:after="0" w:line="240" w:lineRule="auto"/>
        <w:jc w:val="center"/>
        <w:rPr>
          <w:rFonts w:ascii="Times New Roman" w:hAnsi="Times New Roman"/>
          <w:sz w:val="24"/>
          <w:szCs w:val="24"/>
          <w:lang w:val="en-US"/>
        </w:rPr>
      </w:pPr>
      <w:r w:rsidRPr="003D7553">
        <w:rPr>
          <w:rFonts w:ascii="Times New Roman" w:hAnsi="Times New Roman"/>
          <w:sz w:val="24"/>
          <w:szCs w:val="24"/>
          <w:lang w:val="en-US"/>
        </w:rPr>
        <w:t xml:space="preserve">E-mail: 1305126254@qq.com; </w:t>
      </w:r>
      <w:r w:rsidRPr="003D7553">
        <w:rPr>
          <w:rFonts w:ascii="Times New Roman" w:hAnsi="Times New Roman"/>
          <w:sz w:val="24"/>
          <w:szCs w:val="24"/>
        </w:rPr>
        <w:t>тел</w:t>
      </w:r>
      <w:r w:rsidRPr="003D7553">
        <w:rPr>
          <w:rFonts w:ascii="Times New Roman" w:hAnsi="Times New Roman"/>
          <w:sz w:val="24"/>
          <w:szCs w:val="24"/>
          <w:lang w:val="en-US"/>
        </w:rPr>
        <w:t>.; +79089981822</w:t>
      </w:r>
    </w:p>
    <w:p w14:paraId="56158C5E" w14:textId="77777777" w:rsidR="00212D0F" w:rsidRPr="003D7553" w:rsidRDefault="00212D0F" w:rsidP="00212D0F">
      <w:pPr>
        <w:spacing w:after="0" w:line="240" w:lineRule="auto"/>
        <w:jc w:val="center"/>
        <w:rPr>
          <w:rFonts w:ascii="Times New Roman" w:hAnsi="Times New Roman"/>
          <w:sz w:val="24"/>
          <w:szCs w:val="24"/>
        </w:rPr>
      </w:pPr>
      <w:r w:rsidRPr="003D7553">
        <w:rPr>
          <w:rFonts w:ascii="Times New Roman" w:hAnsi="Times New Roman"/>
          <w:sz w:val="24"/>
          <w:szCs w:val="24"/>
        </w:rPr>
        <w:t>ул. Гоголя, 41, г. Владивосток, Приморский край, Россия, 690014</w:t>
      </w:r>
    </w:p>
    <w:p w14:paraId="5F96A722" w14:textId="77777777" w:rsidR="00212D0F" w:rsidRPr="003D7553" w:rsidRDefault="00212D0F" w:rsidP="00212D0F">
      <w:pPr>
        <w:spacing w:after="0" w:line="240" w:lineRule="auto"/>
        <w:jc w:val="center"/>
        <w:rPr>
          <w:rFonts w:ascii="Times New Roman" w:hAnsi="Times New Roman"/>
          <w:i/>
          <w:sz w:val="24"/>
          <w:szCs w:val="24"/>
        </w:rPr>
      </w:pPr>
    </w:p>
    <w:p w14:paraId="49A9BE2B" w14:textId="77777777" w:rsidR="00212D0F" w:rsidRPr="003D7553" w:rsidRDefault="00212D0F" w:rsidP="00212D0F">
      <w:pPr>
        <w:spacing w:after="0" w:line="240" w:lineRule="auto"/>
        <w:jc w:val="center"/>
        <w:rPr>
          <w:rFonts w:ascii="Times New Roman" w:hAnsi="Times New Roman"/>
          <w:i/>
          <w:sz w:val="24"/>
          <w:szCs w:val="24"/>
        </w:rPr>
      </w:pPr>
      <w:r w:rsidRPr="003D7553">
        <w:rPr>
          <w:rFonts w:ascii="Times New Roman" w:hAnsi="Times New Roman"/>
          <w:i/>
          <w:sz w:val="24"/>
          <w:szCs w:val="24"/>
        </w:rPr>
        <w:t xml:space="preserve">Владивостокский государственный университет экономики и сервиса </w:t>
      </w:r>
    </w:p>
    <w:p w14:paraId="2F2227FC" w14:textId="77777777" w:rsidR="00212D0F" w:rsidRPr="003D7553" w:rsidRDefault="00212D0F" w:rsidP="00212D0F">
      <w:pPr>
        <w:spacing w:after="0" w:line="240" w:lineRule="auto"/>
        <w:jc w:val="center"/>
        <w:rPr>
          <w:rFonts w:ascii="Times New Roman" w:hAnsi="Times New Roman"/>
          <w:i/>
          <w:sz w:val="24"/>
          <w:szCs w:val="24"/>
        </w:rPr>
      </w:pPr>
      <w:r w:rsidRPr="003D7553">
        <w:rPr>
          <w:rFonts w:ascii="Times New Roman" w:hAnsi="Times New Roman"/>
          <w:i/>
          <w:sz w:val="24"/>
          <w:szCs w:val="24"/>
        </w:rPr>
        <w:t>Россия. Владивосток</w:t>
      </w:r>
    </w:p>
    <w:p w14:paraId="5B95CD12" w14:textId="77777777" w:rsidR="00212D0F" w:rsidRPr="003D7553" w:rsidRDefault="00212D0F" w:rsidP="00212D0F">
      <w:pPr>
        <w:spacing w:after="0" w:line="240" w:lineRule="auto"/>
        <w:jc w:val="center"/>
        <w:rPr>
          <w:rFonts w:ascii="Arial" w:hAnsi="Arial" w:cs="Arial"/>
          <w:sz w:val="24"/>
          <w:szCs w:val="24"/>
        </w:rPr>
      </w:pPr>
    </w:p>
    <w:p w14:paraId="431B6D91" w14:textId="77777777" w:rsidR="00212D0F" w:rsidRPr="003D7553" w:rsidRDefault="00212D0F" w:rsidP="00212D0F">
      <w:pPr>
        <w:spacing w:after="0" w:line="240" w:lineRule="auto"/>
        <w:jc w:val="center"/>
        <w:rPr>
          <w:rFonts w:ascii="Arial" w:hAnsi="Arial" w:cs="Arial"/>
          <w:b/>
          <w:sz w:val="24"/>
          <w:szCs w:val="24"/>
        </w:rPr>
      </w:pPr>
      <w:r w:rsidRPr="003D7553">
        <w:rPr>
          <w:rFonts w:ascii="Arial" w:hAnsi="Arial" w:cs="Arial"/>
          <w:b/>
          <w:sz w:val="24"/>
          <w:szCs w:val="24"/>
        </w:rPr>
        <w:t>Гриванов Роман Игоревич</w:t>
      </w:r>
    </w:p>
    <w:p w14:paraId="698FDB78" w14:textId="77777777" w:rsidR="00212D0F" w:rsidRPr="003D7553" w:rsidRDefault="00212D0F" w:rsidP="00212D0F">
      <w:pPr>
        <w:spacing w:after="0" w:line="240" w:lineRule="auto"/>
        <w:jc w:val="center"/>
        <w:rPr>
          <w:rFonts w:ascii="Arial" w:hAnsi="Arial" w:cs="Arial"/>
          <w:sz w:val="24"/>
          <w:szCs w:val="24"/>
        </w:rPr>
      </w:pPr>
      <w:r w:rsidRPr="003D7553">
        <w:rPr>
          <w:rFonts w:ascii="Arial" w:hAnsi="Arial" w:cs="Arial"/>
          <w:sz w:val="24"/>
          <w:szCs w:val="24"/>
        </w:rPr>
        <w:t>научный руководитель</w:t>
      </w:r>
    </w:p>
    <w:p w14:paraId="2E925C1C" w14:textId="77777777" w:rsidR="00212D0F" w:rsidRPr="003D7553" w:rsidRDefault="00212D0F" w:rsidP="00212D0F">
      <w:pPr>
        <w:spacing w:after="0" w:line="240" w:lineRule="auto"/>
        <w:jc w:val="center"/>
        <w:rPr>
          <w:rFonts w:ascii="Arial" w:hAnsi="Arial" w:cs="Arial"/>
          <w:sz w:val="24"/>
          <w:szCs w:val="24"/>
        </w:rPr>
      </w:pPr>
      <w:r w:rsidRPr="003D7553">
        <w:rPr>
          <w:rFonts w:ascii="Arial" w:hAnsi="Arial" w:cs="Arial"/>
          <w:sz w:val="24"/>
          <w:szCs w:val="24"/>
        </w:rPr>
        <w:t xml:space="preserve">кандидат политических наук, доцент </w:t>
      </w:r>
      <w:r w:rsidRPr="003D7553">
        <w:rPr>
          <w:rFonts w:ascii="Arial" w:eastAsia="MS Mincho" w:hAnsi="Arial" w:cs="Arial"/>
          <w:sz w:val="24"/>
          <w:szCs w:val="24"/>
          <w:lang w:eastAsia="ja-JP"/>
        </w:rPr>
        <w:t>к</w:t>
      </w:r>
      <w:r w:rsidRPr="003D7553">
        <w:rPr>
          <w:rFonts w:ascii="Arial" w:hAnsi="Arial" w:cs="Arial"/>
          <w:sz w:val="24"/>
          <w:szCs w:val="24"/>
        </w:rPr>
        <w:t>афедры экономики</w:t>
      </w:r>
    </w:p>
    <w:p w14:paraId="5220BBB2" w14:textId="77777777" w:rsidR="00212D0F" w:rsidRPr="003D7553" w:rsidRDefault="00212D0F" w:rsidP="00212D0F">
      <w:pPr>
        <w:spacing w:after="0" w:line="240" w:lineRule="auto"/>
        <w:jc w:val="center"/>
        <w:rPr>
          <w:rFonts w:ascii="Times New Roman" w:hAnsi="Times New Roman"/>
          <w:sz w:val="24"/>
          <w:szCs w:val="24"/>
        </w:rPr>
      </w:pPr>
    </w:p>
    <w:p w14:paraId="7F0D3941" w14:textId="77777777" w:rsidR="00212D0F" w:rsidRPr="003D7553" w:rsidRDefault="00212D0F" w:rsidP="00212D0F">
      <w:pPr>
        <w:spacing w:after="0" w:line="240" w:lineRule="auto"/>
        <w:ind w:firstLine="709"/>
        <w:jc w:val="both"/>
        <w:rPr>
          <w:rFonts w:ascii="Times New Roman" w:eastAsia="MS Mincho" w:hAnsi="Times New Roman"/>
          <w:i/>
          <w:sz w:val="24"/>
          <w:szCs w:val="24"/>
          <w:lang w:eastAsia="ja-JP"/>
        </w:rPr>
      </w:pPr>
      <w:r w:rsidRPr="003D7553">
        <w:rPr>
          <w:rFonts w:ascii="Times New Roman" w:hAnsi="Times New Roman"/>
          <w:i/>
          <w:sz w:val="24"/>
          <w:szCs w:val="24"/>
        </w:rPr>
        <w:t xml:space="preserve">В современных условиях интенсивного развития интеграционных процессов, темпы роста внешней торговли в мировой экономике растут, и все большее число предприятий со всех стран проявляют интерес и активное участие в данных процессах. Одним из основных последствий процесса реформирования Российской экономики стало заметное участие и активизация российских регионов на пути интеграции в мировую экономику. Для многих регионов, внешнеэкономические отношения стали главным и доминирующим условием устойчивого экономического развития и фактором, который способствует взаимовыгодному сотрудничеству, движению капитала, товаров и услуг между внутренними и международными рынками, достижению научно – технического прогресса и использованию труда в рамках открытой экономики. </w:t>
      </w:r>
      <w:r w:rsidRPr="003D7553">
        <w:rPr>
          <w:rFonts w:ascii="Times New Roman" w:eastAsia="MS Mincho" w:hAnsi="Times New Roman"/>
          <w:i/>
          <w:sz w:val="24"/>
          <w:szCs w:val="24"/>
          <w:lang w:eastAsia="ja-JP"/>
        </w:rPr>
        <w:t>Целью данного исследования является определения роли и значения кредитных организаций для развития внешнеэкономических связей дальневосточного региона России.</w:t>
      </w:r>
    </w:p>
    <w:p w14:paraId="6809D9BD" w14:textId="77777777" w:rsidR="00212D0F" w:rsidRPr="003D7553" w:rsidRDefault="00212D0F" w:rsidP="001973E4">
      <w:pPr>
        <w:spacing w:after="0" w:line="240" w:lineRule="auto"/>
        <w:ind w:firstLine="708"/>
        <w:jc w:val="both"/>
        <w:rPr>
          <w:rFonts w:ascii="Times New Roman" w:hAnsi="Times New Roman"/>
          <w:i/>
          <w:sz w:val="24"/>
          <w:szCs w:val="24"/>
        </w:rPr>
      </w:pPr>
      <w:r w:rsidRPr="003D7553">
        <w:rPr>
          <w:rFonts w:ascii="Times New Roman" w:hAnsi="Times New Roman"/>
          <w:b/>
          <w:i/>
          <w:sz w:val="24"/>
          <w:szCs w:val="24"/>
        </w:rPr>
        <w:t>Ключевые слова и словосочетания:</w:t>
      </w:r>
      <w:r w:rsidRPr="003D7553">
        <w:rPr>
          <w:rFonts w:ascii="Times New Roman" w:hAnsi="Times New Roman"/>
          <w:i/>
          <w:sz w:val="24"/>
          <w:szCs w:val="24"/>
        </w:rPr>
        <w:t xml:space="preserve"> мировая экономика, банки, внешнеэкономическая деятельность, платежные системы, Дальний Восток России.</w:t>
      </w:r>
    </w:p>
    <w:p w14:paraId="3A27AA1D" w14:textId="77777777" w:rsidR="00212D0F" w:rsidRPr="003D7553" w:rsidRDefault="00212D0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Book Antiqua" w:hAnsi="Book Antiqua"/>
          <w:b/>
          <w:bCs/>
          <w:color w:val="212121"/>
          <w:sz w:val="24"/>
          <w:szCs w:val="24"/>
          <w:lang w:val="en-US"/>
        </w:rPr>
      </w:pPr>
      <w:r w:rsidRPr="009C350E">
        <w:rPr>
          <w:sz w:val="24"/>
          <w:szCs w:val="24"/>
          <w:lang w:val="en-US"/>
        </w:rPr>
        <w:br/>
      </w:r>
      <w:r w:rsidRPr="630840AF">
        <w:rPr>
          <w:rFonts w:ascii="Book Antiqua" w:hAnsi="Book Antiqua"/>
          <w:b/>
          <w:bCs/>
          <w:color w:val="212121"/>
          <w:sz w:val="24"/>
          <w:szCs w:val="24"/>
          <w:shd w:val="clear" w:color="auto" w:fill="FFFFFF"/>
          <w:lang w:val="en-US"/>
        </w:rPr>
        <w:t>DEVELOPMENT OF FOREIGN ECONOMIC RELATIONS OF THE FAR EAST: THE ROLE OF CREDIT INSTITUTIONS</w:t>
      </w:r>
    </w:p>
    <w:p w14:paraId="13CB595B" w14:textId="77777777" w:rsidR="00212D0F" w:rsidRPr="003D7553" w:rsidRDefault="00212D0F" w:rsidP="00212D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212121"/>
          <w:sz w:val="24"/>
          <w:szCs w:val="24"/>
          <w:highlight w:val="yellow"/>
          <w:shd w:val="clear" w:color="auto" w:fill="FFFFFF"/>
          <w:lang w:val="en-US"/>
        </w:rPr>
      </w:pPr>
    </w:p>
    <w:p w14:paraId="35C991A1" w14:textId="77777777" w:rsidR="00212D0F" w:rsidRPr="003D7553"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iCs/>
          <w:color w:val="212121"/>
          <w:sz w:val="24"/>
          <w:szCs w:val="24"/>
          <w:lang w:val="en-US" w:eastAsia="ko-KR"/>
        </w:rPr>
      </w:pPr>
      <w:r w:rsidRPr="630840AF">
        <w:rPr>
          <w:rFonts w:ascii="Times New Roman" w:hAnsi="Times New Roman"/>
          <w:i/>
          <w:iCs/>
          <w:color w:val="212121"/>
          <w:sz w:val="24"/>
          <w:szCs w:val="24"/>
          <w:lang w:val="en-US" w:eastAsia="ko-KR"/>
        </w:rPr>
        <w:lastRenderedPageBreak/>
        <w:t>In the current conditions of intensive development of integration processes, the rate of foreig</w:t>
      </w:r>
      <w:r w:rsidRPr="630840AF">
        <w:rPr>
          <w:rFonts w:ascii="Times New Roman" w:hAnsi="Times New Roman"/>
          <w:i/>
          <w:iCs/>
          <w:sz w:val="24"/>
          <w:szCs w:val="24"/>
          <w:lang w:val="en-US" w:eastAsia="ko-KR"/>
        </w:rPr>
        <w:t xml:space="preserve">n trade in the world economy is growing, and an increasing number of enterprises from all countries show interest and active participation in these processes. One of the main consequences of the process of  Russian economy reforming was the significant participation and activation of Russian regions on the path of integration into the world economy. For many regions, foreign economic relations have become the main and dominant condition for sustainable economic development and a factor that promotes mutually beneficial cooperation, the movement of capital, goods and services between domestic and international markets, the achievement of scientific and technological progress and the use of labor in an open economy. The purpose of this study is to determine the role and significance of credit institutions for the development of foreign economic ties in the Far Eastern region </w:t>
      </w:r>
      <w:r w:rsidRPr="630840AF">
        <w:rPr>
          <w:rFonts w:ascii="Times New Roman" w:hAnsi="Times New Roman"/>
          <w:i/>
          <w:iCs/>
          <w:color w:val="212121"/>
          <w:sz w:val="24"/>
          <w:szCs w:val="24"/>
          <w:lang w:val="en-US" w:eastAsia="ko-KR"/>
        </w:rPr>
        <w:t>of Russia.</w:t>
      </w:r>
    </w:p>
    <w:p w14:paraId="308DAA37" w14:textId="77777777" w:rsidR="00212D0F" w:rsidRPr="003D7553" w:rsidRDefault="001973E4"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iCs/>
          <w:color w:val="212121"/>
          <w:sz w:val="24"/>
          <w:szCs w:val="24"/>
          <w:highlight w:val="yellow"/>
          <w:lang w:val="en-US" w:eastAsia="ko-KR"/>
        </w:rPr>
      </w:pPr>
      <w:r>
        <w:rPr>
          <w:rFonts w:ascii="Times New Roman" w:hAnsi="Times New Roman"/>
          <w:b/>
          <w:i/>
          <w:color w:val="212121"/>
          <w:sz w:val="24"/>
          <w:szCs w:val="24"/>
          <w:lang w:val="en-US" w:eastAsia="ko-KR"/>
        </w:rPr>
        <w:tab/>
      </w:r>
      <w:r w:rsidR="00212D0F" w:rsidRPr="630840AF">
        <w:rPr>
          <w:rFonts w:ascii="Times New Roman" w:hAnsi="Times New Roman"/>
          <w:b/>
          <w:bCs/>
          <w:i/>
          <w:iCs/>
          <w:color w:val="212121"/>
          <w:sz w:val="24"/>
          <w:szCs w:val="24"/>
          <w:lang w:val="en-US" w:eastAsia="ko-KR"/>
        </w:rPr>
        <w:t>Key words</w:t>
      </w:r>
      <w:r w:rsidR="00212D0F" w:rsidRPr="630840AF">
        <w:rPr>
          <w:rFonts w:ascii="Times New Roman" w:hAnsi="Times New Roman"/>
          <w:i/>
          <w:iCs/>
          <w:color w:val="212121"/>
          <w:sz w:val="24"/>
          <w:szCs w:val="24"/>
          <w:lang w:val="en-US" w:eastAsia="ko-KR"/>
        </w:rPr>
        <w:t>: world economy, banks, foreign economic activity, payment systems, the Far East of Russia.</w:t>
      </w:r>
    </w:p>
    <w:p w14:paraId="6D9C8D39" w14:textId="77777777" w:rsidR="00212D0F" w:rsidRPr="003D7553" w:rsidRDefault="00212D0F" w:rsidP="00212D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color w:val="212121"/>
          <w:sz w:val="24"/>
          <w:szCs w:val="24"/>
          <w:lang w:val="en-US" w:eastAsia="ko-KR"/>
        </w:rPr>
      </w:pPr>
    </w:p>
    <w:p w14:paraId="41D858C5"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Коммерческие банки фактически не создают деньги, они просто являются посредниками, которые переводят деньги с различных рынков для предприятий и учреждений. Внешнеэкономическая деятельность в современном мире просто не может существовать без коммерческих банков, международных финансов и импортно-экспортных отраслей. Коммерческие банки обеспечивают надежную передачу средств и переводы деловой практики между различными странами по всему миру.</w:t>
      </w:r>
    </w:p>
    <w:p w14:paraId="373BF11C"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 целях содействия международной торговли и развитию, коммерческие банки осуществляют торговлю иностранной валютой. Все чаще банки, работающие в определенных регионах, разрабатывают продукты, в которых конвертация валюты происходит напрямую, а не через другие валюты. Например, для клиентов ВЭД, работающих со странами АТР, такими как Китай, Республика Корея, Япония предлагают вести расчеты с азиатскими партнерами в юанях, вонах Республики Корея, открытие и ведение счетов в указанных валютах. Прямы счета позволяют избежать дополнительных потерь от конвертации валют через третьи страны, а также влияния политик третьих стран и санкций.</w:t>
      </w:r>
    </w:p>
    <w:p w14:paraId="4316A3F3"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Банковский сектор неразрывно связан с организациями, осуществляющими внешнеэкономическую деятельность. Ежедневно между корпорациями разных стран происходит обмен денежными средствами. Банки выступают связующим звеном в торговых отношениях, в отношениях в сфере услуг и т.д.</w:t>
      </w:r>
    </w:p>
    <w:p w14:paraId="6099CFCA"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За 2016 год Приморский край посетило почти 3 млн туристов, из них на иностранных граждан приходиться около полумиллиона. Продолжается тенденция устойчивого роста турпотока из Китая, но стали чаще приезжать и туристы из европейских стран. Также Приморский край вошел в ТОП-10 запросов Google по российским туристским направлениям [1].</w:t>
      </w:r>
    </w:p>
    <w:p w14:paraId="618BC92A"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 2016 году Владивосток второй год подряд был включен в рейтинг наиболее посещаемых туристических направлений по версии Global Destinations Cities Index (GDCI), который ежегодно представляет международная платежная система MasterCard. Помимо столицы Приморья, в рейтинг вошли еще четыре российских города: Москва, Санкт-Петербург, Новосибирск и Екатеринбург [2]. Отчет MasterCard основан на подробном изучении туристических потоков и ранжирует 132 города мира с точки зрения их популярности у путешественников [3].</w:t>
      </w:r>
    </w:p>
    <w:p w14:paraId="7F5D8FE1"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Опираясь на зарубежный опыт и зарубежные технологии Россия, в частности туристический Владивосток, существенно может повысить свой потенциал в сфере услуг. Во всем мире сейчас развивается безналичная оплата во всех ее проявлениях. В России во многих предприятиях не готовы производить оплату касанием карты или телефоном из-за возможной нехватки оборудования или ее несовершенства. Многие предприниматели не обновляют свои аппараты эквайринга, считая, что это им не нужно и не поможет их дальнейшему развитию. Однако, используя опыт зарубежных стран можно так или иначе совершенствовать и развивать свое предприятие, тем самым привлекать иностранных </w:t>
      </w:r>
      <w:r w:rsidRPr="003D7553">
        <w:rPr>
          <w:rFonts w:ascii="Times New Roman" w:hAnsi="Times New Roman" w:cs="Times New Roman"/>
          <w:sz w:val="24"/>
          <w:szCs w:val="24"/>
        </w:rPr>
        <w:lastRenderedPageBreak/>
        <w:t>туристов. Технологии Китая не стоят на месте. Так, например, система Alipay является одной из крупнейших платёжных систем. Она была создана в 2004 году китайским предпринимателем Ма Юном, больше известным как Джек Ма, основателем всемирно известной компании «Alibaba Group». Сейчас. по данных официального сайта Alipay данной системой безналичного расчета пользуются свыше 520 млн. человек [4].</w:t>
      </w:r>
    </w:p>
    <w:p w14:paraId="0375D6B6"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 Приложение Alipay предназначено для того чтобы упростить и принести удобство в повседневную жизнь. Не стоит беспокоиться о том, что вы забыли кошелек дома, все платежи можно осуществить с помощью телефона. Приложение позволяет расплачиваться онлайн, оплачивать различные коммунальные расходы, такси, расплачиваться в больницах покупать билеты на поезд и самолет, расплачиваться офлайн почти в любых магазинах Китая, даже на рынках, генерировать QR код чтобы вам перевели деньги, а также управлять финансами, выбирать подходящую схему страхования. С недавнего времени банк Русский Стандарт обеспечил доступ к платежной системе Alipay в ТД ГУМ на Красной площади [5]. Это конечно же привлечет еще больше покупателей из Китая, которые считают шопинг неотъемлемой частью пребывания в нашей стране.</w:t>
      </w:r>
    </w:p>
    <w:p w14:paraId="6ACD4ECD"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Аналогами Алипэй в России можно считать мобильные приложения различных банков, например, приложение крупнейшего коммерческого банка России «Сбербанк онлайн», которому присущи практически те же функции, а именно оплата коммунальных платежей, перевод денег, оплата онлайн [6]. В 2017 году зафиксировано 25 млн. активных пользователей, пользующихся услугами данного интернет-банка. Однако Alipay в Китае считается своего рода национальной безналичной платежной системой, которая повсеместно используется всеми слоями населения. </w:t>
      </w:r>
    </w:p>
    <w:p w14:paraId="155EEDAE"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Крупные банки предлагают ряд услуг клиентам-участникам внешнеэкономической деятельности и тем самым сами становятся неотъемлемым звеном в международном бизнесе. Для коммерческого банка юридическое лицо, участвующее в ВЭД, является особенно привлекательным клиентом. За проведение импортно-экспортных операций банк получает дополнительную комиссию. Внешнеторговые сделки оформляются в большинстве случаев в зарубежной валюте, что даёт возможность банку не только заработать на обменных операциях, но и получить дополнительный ресурс для игры на валютном рынке.</w:t>
      </w:r>
    </w:p>
    <w:p w14:paraId="16B87F8F"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 таблице 2 представлены крупнейшие банки России, которые осуществляют свою деятельность в Приморском крае. Исходя из информации, представленной выше можно сделать вывод, что большинство крупнейших банков РФ обслуживают именно предприятия, осуществляющие вывоз товара за границу.</w:t>
      </w:r>
    </w:p>
    <w:p w14:paraId="675E05EE" w14:textId="77777777" w:rsidR="00212D0F" w:rsidRPr="003D7553" w:rsidRDefault="00212D0F" w:rsidP="00212D0F">
      <w:pPr>
        <w:spacing w:after="0" w:line="240" w:lineRule="auto"/>
        <w:ind w:firstLine="709"/>
        <w:jc w:val="both"/>
        <w:rPr>
          <w:rFonts w:ascii="Times New Roman" w:hAnsi="Times New Roman" w:cs="Times New Roman"/>
          <w:sz w:val="24"/>
          <w:szCs w:val="24"/>
        </w:rPr>
      </w:pPr>
    </w:p>
    <w:p w14:paraId="5AF98186"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Таблица 1 – Ведущие банки, представленные в Приморском крае, по объему обслуживаемых внешнеторговых сделок [7].</w:t>
      </w:r>
    </w:p>
    <w:p w14:paraId="2FC17F8B" w14:textId="77777777" w:rsidR="00212D0F" w:rsidRPr="003D7553" w:rsidRDefault="00212D0F" w:rsidP="00212D0F">
      <w:pPr>
        <w:spacing w:after="0" w:line="240" w:lineRule="auto"/>
        <w:ind w:firstLine="709"/>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1951"/>
        <w:gridCol w:w="1359"/>
        <w:gridCol w:w="1374"/>
        <w:gridCol w:w="1636"/>
        <w:gridCol w:w="1127"/>
      </w:tblGrid>
      <w:tr w:rsidR="00212D0F" w:rsidRPr="003D7553" w14:paraId="3E34D5A1" w14:textId="77777777" w:rsidTr="00212D0F">
        <w:trPr>
          <w:jc w:val="center"/>
        </w:trPr>
        <w:tc>
          <w:tcPr>
            <w:tcW w:w="1897" w:type="dxa"/>
            <w:vAlign w:val="center"/>
          </w:tcPr>
          <w:p w14:paraId="2C6E1E6C"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Банк</w:t>
            </w:r>
          </w:p>
        </w:tc>
        <w:tc>
          <w:tcPr>
            <w:tcW w:w="1951" w:type="dxa"/>
          </w:tcPr>
          <w:p w14:paraId="78591F7F"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Обслуживаемый</w:t>
            </w:r>
          </w:p>
          <w:p w14:paraId="55EDE0AF"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внешнеторговый оборот,</w:t>
            </w:r>
          </w:p>
          <w:p w14:paraId="26C25396"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млн. USD</w:t>
            </w:r>
          </w:p>
        </w:tc>
        <w:tc>
          <w:tcPr>
            <w:tcW w:w="1359" w:type="dxa"/>
          </w:tcPr>
          <w:p w14:paraId="12F6D974"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В том числе импорт,</w:t>
            </w:r>
          </w:p>
          <w:p w14:paraId="1D206827"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млн USD</w:t>
            </w:r>
          </w:p>
        </w:tc>
        <w:tc>
          <w:tcPr>
            <w:tcW w:w="1374" w:type="dxa"/>
          </w:tcPr>
          <w:p w14:paraId="6C9C2A63"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В том числе экспорт,</w:t>
            </w:r>
          </w:p>
          <w:p w14:paraId="6053ADC8"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sz w:val="24"/>
                <w:szCs w:val="24"/>
              </w:rPr>
              <w:t>млн USD</w:t>
            </w:r>
          </w:p>
        </w:tc>
        <w:tc>
          <w:tcPr>
            <w:tcW w:w="1636" w:type="dxa"/>
          </w:tcPr>
          <w:p w14:paraId="4D2C6443"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color w:val="333333"/>
                <w:sz w:val="24"/>
                <w:szCs w:val="24"/>
                <w:shd w:val="clear" w:color="auto" w:fill="FFFFFF"/>
              </w:rPr>
              <w:t>Кол-во участников ВЭД</w:t>
            </w:r>
          </w:p>
        </w:tc>
        <w:tc>
          <w:tcPr>
            <w:tcW w:w="1127" w:type="dxa"/>
          </w:tcPr>
          <w:p w14:paraId="67235CD0" w14:textId="77777777" w:rsidR="00212D0F" w:rsidRPr="003D7553" w:rsidRDefault="00212D0F" w:rsidP="00212D0F">
            <w:pPr>
              <w:spacing w:after="0" w:line="240" w:lineRule="auto"/>
              <w:jc w:val="center"/>
              <w:rPr>
                <w:rFonts w:ascii="Times New Roman" w:eastAsia="Times New Roman" w:hAnsi="Times New Roman" w:cs="Times New Roman"/>
                <w:sz w:val="24"/>
                <w:szCs w:val="24"/>
              </w:rPr>
            </w:pPr>
            <w:r w:rsidRPr="003D7553">
              <w:rPr>
                <w:rFonts w:ascii="Times New Roman" w:eastAsia="Times New Roman" w:hAnsi="Times New Roman" w:cs="Times New Roman"/>
                <w:color w:val="333333"/>
                <w:sz w:val="24"/>
                <w:szCs w:val="24"/>
                <w:shd w:val="clear" w:color="auto" w:fill="FFFFFF"/>
              </w:rPr>
              <w:t>Кол-во валют</w:t>
            </w:r>
          </w:p>
        </w:tc>
      </w:tr>
      <w:tr w:rsidR="00212D0F" w:rsidRPr="003D7553" w14:paraId="4F3F689E" w14:textId="77777777" w:rsidTr="00212D0F">
        <w:trPr>
          <w:jc w:val="center"/>
        </w:trPr>
        <w:tc>
          <w:tcPr>
            <w:tcW w:w="0" w:type="auto"/>
            <w:vAlign w:val="center"/>
            <w:hideMark/>
          </w:tcPr>
          <w:p w14:paraId="43966548" w14:textId="77777777" w:rsidR="00212D0F" w:rsidRPr="003D7553" w:rsidRDefault="00212D0F" w:rsidP="00212D0F">
            <w:pPr>
              <w:spacing w:after="0" w:line="240" w:lineRule="auto"/>
              <w:ind w:left="15" w:right="15" w:hanging="15"/>
              <w:rPr>
                <w:rFonts w:ascii="Times New Roman" w:hAnsi="Times New Roman" w:cs="Times New Roman"/>
                <w:sz w:val="24"/>
                <w:szCs w:val="24"/>
                <w:lang w:eastAsia="ru-RU"/>
              </w:rPr>
            </w:pPr>
            <w:r w:rsidRPr="003D7553">
              <w:rPr>
                <w:rFonts w:ascii="Times New Roman" w:hAnsi="Times New Roman" w:cs="Times New Roman"/>
                <w:sz w:val="24"/>
                <w:szCs w:val="24"/>
                <w:lang w:eastAsia="ru-RU"/>
              </w:rPr>
              <w:t>Сбербанк России</w:t>
            </w:r>
          </w:p>
        </w:tc>
        <w:tc>
          <w:tcPr>
            <w:tcW w:w="0" w:type="auto"/>
            <w:hideMark/>
          </w:tcPr>
          <w:p w14:paraId="68A0DBDA"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56 430</w:t>
            </w:r>
          </w:p>
        </w:tc>
        <w:tc>
          <w:tcPr>
            <w:tcW w:w="0" w:type="auto"/>
            <w:hideMark/>
          </w:tcPr>
          <w:p w14:paraId="7B540568"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21 289</w:t>
            </w:r>
          </w:p>
        </w:tc>
        <w:tc>
          <w:tcPr>
            <w:tcW w:w="0" w:type="auto"/>
            <w:hideMark/>
          </w:tcPr>
          <w:p w14:paraId="59571D98"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35 141</w:t>
            </w:r>
          </w:p>
        </w:tc>
        <w:tc>
          <w:tcPr>
            <w:tcW w:w="0" w:type="auto"/>
            <w:hideMark/>
          </w:tcPr>
          <w:p w14:paraId="32642999"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14 424</w:t>
            </w:r>
          </w:p>
        </w:tc>
        <w:tc>
          <w:tcPr>
            <w:tcW w:w="0" w:type="auto"/>
            <w:hideMark/>
          </w:tcPr>
          <w:p w14:paraId="4BFDD700"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25</w:t>
            </w:r>
          </w:p>
        </w:tc>
      </w:tr>
      <w:tr w:rsidR="00212D0F" w:rsidRPr="003D7553" w14:paraId="7BC35BC2" w14:textId="77777777" w:rsidTr="00212D0F">
        <w:trPr>
          <w:jc w:val="center"/>
        </w:trPr>
        <w:tc>
          <w:tcPr>
            <w:tcW w:w="0" w:type="auto"/>
            <w:vAlign w:val="center"/>
            <w:hideMark/>
          </w:tcPr>
          <w:p w14:paraId="6ADC62CE" w14:textId="77777777" w:rsidR="00212D0F" w:rsidRPr="003D7553" w:rsidRDefault="00212D0F" w:rsidP="00212D0F">
            <w:pPr>
              <w:spacing w:after="0" w:line="240" w:lineRule="auto"/>
              <w:ind w:left="15" w:right="15" w:hanging="15"/>
              <w:rPr>
                <w:rFonts w:ascii="Times New Roman" w:hAnsi="Times New Roman" w:cs="Times New Roman"/>
                <w:sz w:val="24"/>
                <w:szCs w:val="24"/>
                <w:lang w:eastAsia="ru-RU"/>
              </w:rPr>
            </w:pPr>
            <w:r w:rsidRPr="003D7553">
              <w:rPr>
                <w:rFonts w:ascii="Times New Roman" w:hAnsi="Times New Roman" w:cs="Times New Roman"/>
                <w:sz w:val="24"/>
                <w:szCs w:val="24"/>
                <w:lang w:eastAsia="ru-RU"/>
              </w:rPr>
              <w:t>Газпромбанк</w:t>
            </w:r>
          </w:p>
        </w:tc>
        <w:tc>
          <w:tcPr>
            <w:tcW w:w="0" w:type="auto"/>
            <w:hideMark/>
          </w:tcPr>
          <w:p w14:paraId="3BA6A1E8"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49 764</w:t>
            </w:r>
          </w:p>
        </w:tc>
        <w:tc>
          <w:tcPr>
            <w:tcW w:w="0" w:type="auto"/>
            <w:hideMark/>
          </w:tcPr>
          <w:p w14:paraId="7FD56A1F"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8 331</w:t>
            </w:r>
          </w:p>
        </w:tc>
        <w:tc>
          <w:tcPr>
            <w:tcW w:w="0" w:type="auto"/>
            <w:hideMark/>
          </w:tcPr>
          <w:p w14:paraId="7685F405"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41 433</w:t>
            </w:r>
          </w:p>
        </w:tc>
        <w:tc>
          <w:tcPr>
            <w:tcW w:w="0" w:type="auto"/>
            <w:hideMark/>
          </w:tcPr>
          <w:p w14:paraId="2B77964A"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1 183</w:t>
            </w:r>
          </w:p>
        </w:tc>
        <w:tc>
          <w:tcPr>
            <w:tcW w:w="0" w:type="auto"/>
            <w:hideMark/>
          </w:tcPr>
          <w:p w14:paraId="735DA4F4"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11</w:t>
            </w:r>
          </w:p>
        </w:tc>
      </w:tr>
      <w:tr w:rsidR="00212D0F" w:rsidRPr="003D7553" w14:paraId="12AB1E72" w14:textId="77777777" w:rsidTr="00212D0F">
        <w:trPr>
          <w:jc w:val="center"/>
        </w:trPr>
        <w:tc>
          <w:tcPr>
            <w:tcW w:w="0" w:type="auto"/>
            <w:vAlign w:val="center"/>
            <w:hideMark/>
          </w:tcPr>
          <w:p w14:paraId="1E80C39F" w14:textId="77777777" w:rsidR="00212D0F" w:rsidRPr="003D7553" w:rsidRDefault="00212D0F" w:rsidP="00212D0F">
            <w:pPr>
              <w:spacing w:after="0" w:line="240" w:lineRule="auto"/>
              <w:ind w:left="15" w:right="15" w:hanging="15"/>
              <w:rPr>
                <w:rFonts w:ascii="Times New Roman" w:hAnsi="Times New Roman" w:cs="Times New Roman"/>
                <w:sz w:val="24"/>
                <w:szCs w:val="24"/>
                <w:lang w:eastAsia="ru-RU"/>
              </w:rPr>
            </w:pPr>
            <w:r w:rsidRPr="003D7553">
              <w:rPr>
                <w:rFonts w:ascii="Times New Roman" w:hAnsi="Times New Roman" w:cs="Times New Roman"/>
                <w:sz w:val="24"/>
                <w:szCs w:val="24"/>
                <w:lang w:eastAsia="ru-RU"/>
              </w:rPr>
              <w:t>ВТБ</w:t>
            </w:r>
          </w:p>
        </w:tc>
        <w:tc>
          <w:tcPr>
            <w:tcW w:w="0" w:type="auto"/>
            <w:hideMark/>
          </w:tcPr>
          <w:p w14:paraId="72B16E2E"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33 243</w:t>
            </w:r>
          </w:p>
        </w:tc>
        <w:tc>
          <w:tcPr>
            <w:tcW w:w="0" w:type="auto"/>
            <w:hideMark/>
          </w:tcPr>
          <w:p w14:paraId="3703BBD4"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6 428</w:t>
            </w:r>
          </w:p>
        </w:tc>
        <w:tc>
          <w:tcPr>
            <w:tcW w:w="0" w:type="auto"/>
            <w:hideMark/>
          </w:tcPr>
          <w:p w14:paraId="2B433169"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26 815</w:t>
            </w:r>
          </w:p>
        </w:tc>
        <w:tc>
          <w:tcPr>
            <w:tcW w:w="0" w:type="auto"/>
            <w:hideMark/>
          </w:tcPr>
          <w:p w14:paraId="279C90CB"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3 601</w:t>
            </w:r>
          </w:p>
        </w:tc>
        <w:tc>
          <w:tcPr>
            <w:tcW w:w="0" w:type="auto"/>
            <w:hideMark/>
          </w:tcPr>
          <w:p w14:paraId="7B568215"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21</w:t>
            </w:r>
          </w:p>
        </w:tc>
      </w:tr>
      <w:tr w:rsidR="00212D0F" w:rsidRPr="003D7553" w14:paraId="0CF81C30" w14:textId="77777777" w:rsidTr="00212D0F">
        <w:trPr>
          <w:jc w:val="center"/>
        </w:trPr>
        <w:tc>
          <w:tcPr>
            <w:tcW w:w="0" w:type="auto"/>
            <w:vAlign w:val="center"/>
            <w:hideMark/>
          </w:tcPr>
          <w:p w14:paraId="0BA62A22" w14:textId="77777777" w:rsidR="00212D0F" w:rsidRPr="003D7553" w:rsidRDefault="00212D0F" w:rsidP="00212D0F">
            <w:pPr>
              <w:spacing w:after="0" w:line="240" w:lineRule="auto"/>
              <w:ind w:left="15" w:right="15" w:hanging="15"/>
              <w:rPr>
                <w:rFonts w:ascii="Times New Roman" w:hAnsi="Times New Roman" w:cs="Times New Roman"/>
                <w:sz w:val="24"/>
                <w:szCs w:val="24"/>
                <w:lang w:eastAsia="ru-RU"/>
              </w:rPr>
            </w:pPr>
            <w:r w:rsidRPr="003D7553">
              <w:rPr>
                <w:rFonts w:ascii="Times New Roman" w:hAnsi="Times New Roman" w:cs="Times New Roman"/>
                <w:sz w:val="24"/>
                <w:szCs w:val="24"/>
                <w:lang w:eastAsia="ru-RU"/>
              </w:rPr>
              <w:t>Росбанк</w:t>
            </w:r>
          </w:p>
        </w:tc>
        <w:tc>
          <w:tcPr>
            <w:tcW w:w="0" w:type="auto"/>
            <w:hideMark/>
          </w:tcPr>
          <w:p w14:paraId="5AB02068"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18 258</w:t>
            </w:r>
          </w:p>
        </w:tc>
        <w:tc>
          <w:tcPr>
            <w:tcW w:w="0" w:type="auto"/>
            <w:hideMark/>
          </w:tcPr>
          <w:p w14:paraId="2E220E52"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2 858</w:t>
            </w:r>
          </w:p>
        </w:tc>
        <w:tc>
          <w:tcPr>
            <w:tcW w:w="0" w:type="auto"/>
            <w:hideMark/>
          </w:tcPr>
          <w:p w14:paraId="1189D8C8"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15 400</w:t>
            </w:r>
          </w:p>
        </w:tc>
        <w:tc>
          <w:tcPr>
            <w:tcW w:w="0" w:type="auto"/>
            <w:hideMark/>
          </w:tcPr>
          <w:p w14:paraId="653D9634"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1 022</w:t>
            </w:r>
          </w:p>
        </w:tc>
        <w:tc>
          <w:tcPr>
            <w:tcW w:w="0" w:type="auto"/>
            <w:hideMark/>
          </w:tcPr>
          <w:p w14:paraId="5D0116D1"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13</w:t>
            </w:r>
          </w:p>
        </w:tc>
      </w:tr>
      <w:tr w:rsidR="00212D0F" w:rsidRPr="003D7553" w14:paraId="58906B65" w14:textId="77777777" w:rsidTr="00212D0F">
        <w:trPr>
          <w:jc w:val="center"/>
        </w:trPr>
        <w:tc>
          <w:tcPr>
            <w:tcW w:w="0" w:type="auto"/>
            <w:vAlign w:val="center"/>
            <w:hideMark/>
          </w:tcPr>
          <w:p w14:paraId="19A5167C" w14:textId="77777777" w:rsidR="00212D0F" w:rsidRPr="003D7553" w:rsidRDefault="00212D0F" w:rsidP="00212D0F">
            <w:pPr>
              <w:spacing w:after="0" w:line="240" w:lineRule="auto"/>
              <w:ind w:left="15" w:right="15" w:hanging="15"/>
              <w:rPr>
                <w:rFonts w:ascii="Times New Roman" w:hAnsi="Times New Roman" w:cs="Times New Roman"/>
                <w:sz w:val="24"/>
                <w:szCs w:val="24"/>
                <w:lang w:eastAsia="ru-RU"/>
              </w:rPr>
            </w:pPr>
            <w:r w:rsidRPr="003D7553">
              <w:rPr>
                <w:rFonts w:ascii="Times New Roman" w:hAnsi="Times New Roman" w:cs="Times New Roman"/>
                <w:sz w:val="24"/>
                <w:szCs w:val="24"/>
                <w:lang w:eastAsia="ru-RU"/>
              </w:rPr>
              <w:t>Альфа-Банк</w:t>
            </w:r>
          </w:p>
        </w:tc>
        <w:tc>
          <w:tcPr>
            <w:tcW w:w="0" w:type="auto"/>
            <w:hideMark/>
          </w:tcPr>
          <w:p w14:paraId="7BDB3499"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11 117</w:t>
            </w:r>
          </w:p>
        </w:tc>
        <w:tc>
          <w:tcPr>
            <w:tcW w:w="0" w:type="auto"/>
            <w:hideMark/>
          </w:tcPr>
          <w:p w14:paraId="5E03D20F"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5 907</w:t>
            </w:r>
          </w:p>
        </w:tc>
        <w:tc>
          <w:tcPr>
            <w:tcW w:w="0" w:type="auto"/>
            <w:hideMark/>
          </w:tcPr>
          <w:p w14:paraId="2B70721F"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5 211</w:t>
            </w:r>
          </w:p>
        </w:tc>
        <w:tc>
          <w:tcPr>
            <w:tcW w:w="0" w:type="auto"/>
            <w:hideMark/>
          </w:tcPr>
          <w:p w14:paraId="22B04C3C"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3 622</w:t>
            </w:r>
          </w:p>
        </w:tc>
        <w:tc>
          <w:tcPr>
            <w:tcW w:w="0" w:type="auto"/>
            <w:hideMark/>
          </w:tcPr>
          <w:p w14:paraId="0F953182" w14:textId="77777777" w:rsidR="00212D0F" w:rsidRPr="003D7553" w:rsidRDefault="00212D0F" w:rsidP="00212D0F">
            <w:pPr>
              <w:spacing w:after="0" w:line="240" w:lineRule="auto"/>
              <w:ind w:left="17" w:right="17" w:firstLine="284"/>
              <w:jc w:val="both"/>
              <w:rPr>
                <w:rFonts w:ascii="Times New Roman" w:hAnsi="Times New Roman" w:cs="Times New Roman"/>
                <w:sz w:val="24"/>
                <w:szCs w:val="24"/>
                <w:lang w:eastAsia="ru-RU"/>
              </w:rPr>
            </w:pPr>
            <w:r w:rsidRPr="003D7553">
              <w:rPr>
                <w:rFonts w:ascii="Times New Roman" w:hAnsi="Times New Roman" w:cs="Times New Roman"/>
                <w:sz w:val="24"/>
                <w:szCs w:val="24"/>
                <w:lang w:eastAsia="ru-RU"/>
              </w:rPr>
              <w:t>14</w:t>
            </w:r>
          </w:p>
        </w:tc>
      </w:tr>
    </w:tbl>
    <w:p w14:paraId="0A4F7224" w14:textId="77777777" w:rsidR="00212D0F" w:rsidRPr="003D7553" w:rsidRDefault="00212D0F" w:rsidP="00212D0F">
      <w:pPr>
        <w:spacing w:after="0" w:line="240" w:lineRule="auto"/>
        <w:ind w:firstLine="709"/>
        <w:jc w:val="both"/>
        <w:rPr>
          <w:rFonts w:ascii="Times New Roman" w:hAnsi="Times New Roman" w:cs="Times New Roman"/>
          <w:sz w:val="24"/>
          <w:szCs w:val="24"/>
        </w:rPr>
      </w:pPr>
    </w:p>
    <w:p w14:paraId="6FFBEAFC"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Не отстают от федеральных российских банков и банки Приморского края. Банковскую систему данного региона определяет географическая близость с Азиатско-Тихоокеанским регионом. Опираясь на это банки осуществляют расширенные услуги в отношении именно стран АТР. Приморские банки, сотрудничая на протяжении уже многих лет с Азиатскими, предлагают своим клиентам использовать прямые корреспондентские </w:t>
      </w:r>
      <w:r w:rsidRPr="003D7553">
        <w:rPr>
          <w:rFonts w:ascii="Times New Roman" w:hAnsi="Times New Roman" w:cs="Times New Roman"/>
          <w:sz w:val="24"/>
          <w:szCs w:val="24"/>
        </w:rPr>
        <w:lastRenderedPageBreak/>
        <w:t>счета надежных банков-партнеров, вести свои счета не только в долларах США и евро, а также в национальных валютах стран АТР: японских иенах, корейских вонах и китайских юанях. Страны АТР являются ближайшими соседями Приморского края, поэтому банки уделяют повышенное внимание обслуживанию внешнеторговых операций с Китаем, Японией, Республикой Кореи. Использование национальных валют позволяет исключить третьи банки и валюты-посредники (доллар США, ЕВРО) из внешнеторговых расчетов [8]:</w:t>
      </w:r>
    </w:p>
    <w:p w14:paraId="27E850C3"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Отсутствие «двойной» конвертации валюты, снижение издержек,</w:t>
      </w:r>
    </w:p>
    <w:p w14:paraId="55AF5941"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 Снижение риска колебания валют </w:t>
      </w:r>
    </w:p>
    <w:p w14:paraId="681706F8"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Фиксирование контрактной цены товара в национальной валюте,</w:t>
      </w:r>
    </w:p>
    <w:p w14:paraId="7EE16FA6" w14:textId="77777777" w:rsidR="00212D0F" w:rsidRPr="003D7553" w:rsidRDefault="00212D0F" w:rsidP="00212D0F">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Ускорение расчетов посредством использования прямых корреспондентских отношений с банками АТР.</w:t>
      </w:r>
    </w:p>
    <w:p w14:paraId="3697B724" w14:textId="77777777" w:rsidR="00212D0F" w:rsidRPr="003D7553" w:rsidRDefault="00212D0F" w:rsidP="00212D0F">
      <w:pPr>
        <w:spacing w:after="0" w:line="240" w:lineRule="auto"/>
        <w:ind w:firstLine="709"/>
        <w:jc w:val="both"/>
        <w:rPr>
          <w:rFonts w:ascii="Times New Roman" w:eastAsia="MS Mincho" w:hAnsi="Times New Roman" w:cs="Times New Roman"/>
          <w:sz w:val="24"/>
          <w:szCs w:val="24"/>
          <w:lang w:eastAsia="ja-JP"/>
        </w:rPr>
      </w:pPr>
      <w:r w:rsidRPr="003D7553">
        <w:rPr>
          <w:rFonts w:ascii="Times New Roman" w:eastAsia="MS Mincho" w:hAnsi="Times New Roman" w:cs="Times New Roman"/>
          <w:sz w:val="24"/>
          <w:szCs w:val="24"/>
          <w:lang w:eastAsia="ja-JP"/>
        </w:rPr>
        <w:t>Не вызывает сомнений, что успешная интеграция региона в систему торгово-экономических отношений Северо-Восточной Азии и всего бассейна Тихого океана не возможна без наличия современной инфраструктуры и передовых технологий не только на уровне производства, но и внедрения самых современных продуктов в сфере услуг.</w:t>
      </w:r>
    </w:p>
    <w:p w14:paraId="12AE5DAD" w14:textId="77777777" w:rsidR="00212D0F" w:rsidRPr="003D7553" w:rsidRDefault="00212D0F" w:rsidP="00212D0F">
      <w:pPr>
        <w:spacing w:after="0" w:line="240" w:lineRule="auto"/>
        <w:ind w:firstLine="709"/>
        <w:jc w:val="both"/>
        <w:rPr>
          <w:rFonts w:ascii="Times New Roman" w:eastAsia="MS Mincho" w:hAnsi="Times New Roman" w:cs="Times New Roman"/>
          <w:sz w:val="24"/>
          <w:szCs w:val="24"/>
          <w:lang w:eastAsia="ja-JP"/>
        </w:rPr>
      </w:pPr>
      <w:r w:rsidRPr="003D7553">
        <w:rPr>
          <w:rFonts w:ascii="Times New Roman" w:hAnsi="Times New Roman" w:cs="Times New Roman"/>
          <w:sz w:val="24"/>
          <w:szCs w:val="24"/>
        </w:rPr>
        <w:t>Популярность безналичных платежей и все большая их доступность для рядового пользователя, особенно в странах, представители которых составляют основную массу иностранных туристов и зарубежных бизнесменов в Приморском крае делает абсолютно логичным предположение, что наличие современной банковской инфраструктуры, интегрированной в международную систему и предоставляющую клиентам возможность использовать современные технологии платежей является несомненным конкурентным преимуществом региона ориентированного на развитие внешнеэкономический связей.</w:t>
      </w:r>
    </w:p>
    <w:p w14:paraId="345C8819" w14:textId="77777777" w:rsidR="00212D0F" w:rsidRPr="003D7553" w:rsidRDefault="00212D0F" w:rsidP="00212D0F">
      <w:pPr>
        <w:tabs>
          <w:tab w:val="left" w:pos="4425"/>
        </w:tabs>
        <w:spacing w:after="0"/>
        <w:jc w:val="both"/>
        <w:rPr>
          <w:rFonts w:ascii="Times New Roman" w:hAnsi="Times New Roman" w:cs="Times New Roman"/>
          <w:sz w:val="24"/>
          <w:szCs w:val="24"/>
          <w:lang w:eastAsia="ko-KR"/>
        </w:rPr>
      </w:pPr>
      <w:r w:rsidRPr="003D7553">
        <w:rPr>
          <w:rFonts w:ascii="Times New Roman" w:hAnsi="Times New Roman" w:cs="Times New Roman"/>
          <w:sz w:val="24"/>
          <w:szCs w:val="24"/>
          <w:lang w:eastAsia="ko-KR"/>
        </w:rPr>
        <w:t>__________________________________________________________________________</w:t>
      </w:r>
    </w:p>
    <w:p w14:paraId="0679F33B"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 xml:space="preserve">Почти три миллиона туристов посетили Приморье в 2016 году. [Электронный ресурс] // Официальный сайт Администрации Приморского края – Режим доступа: http://www.primorsky.ru/news/122428/. </w:t>
      </w:r>
    </w:p>
    <w:p w14:paraId="24762418"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 xml:space="preserve">Владивосток сохранил место в престижном рейтинге самых посещаемых городов мира. [Электронный ресурс] // Новости Владивостока и Приморского края – Вести: Приморье – Режим доступа: http://vestiprim.ru/2016/09/26/vladivostok-sohranil-mesto-v-prestizhnom-reytinge-samyh-poseschaemyh-gorodov-mira.html. </w:t>
      </w:r>
    </w:p>
    <w:p w14:paraId="636C3A28"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val="en-US" w:eastAsia="ko-KR"/>
        </w:rPr>
      </w:pPr>
      <w:r w:rsidRPr="003D7553">
        <w:rPr>
          <w:rFonts w:ascii="Times New Roman" w:hAnsi="Times New Roman" w:cs="Times New Roman"/>
          <w:lang w:val="en-US" w:eastAsia="ko-KR"/>
        </w:rPr>
        <w:t>Global Destination Cities Index by Mastercard By Yuwa Hedrick-Wong and Desmond Choong. [Electronic resources] // Mastercard.com – official web site – URL: https://newsroom.mastercard.com/wp-content/uploads/2016/09/FINAL-Global-Destination-Cities-Index-Report.pdf.</w:t>
      </w:r>
    </w:p>
    <w:p w14:paraId="414378E8"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Платежная система Alipay [Электронный ресурс] // Официальный сайт Alipay.com – Режим доступа: www.alipay.com.</w:t>
      </w:r>
    </w:p>
    <w:p w14:paraId="0294F72F"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Русский Стандарт обеспечил прием Alipay в ГУМе. [Электронный ресурс] // Журнал «ПЛАС» – plusworld.ru – Режим доступа: http://www.plusworld.ru/daily/platezhnyj-biznes/russkij-standart-obespechil-dostup-k-platezhnoj-sisteme-alipay-pokupatelyam-guma-2/.</w:t>
      </w:r>
    </w:p>
    <w:p w14:paraId="01FCC376"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 xml:space="preserve">Сбербанк Онлайн [Электронный ресурс] // Официальный сайт ПАО «Сбербанк» – Режим доступа: https://www.sberbank.ru/ru/person/dist_services/inner_sbol.  </w:t>
      </w:r>
    </w:p>
    <w:p w14:paraId="35107E56"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Рейтинг банков, сопровождающих ВЭД. [Электронный ресурс] // Аналитическая группа «Ved-stat.ru» – Режим доступа: http://www.ved-stat.ru/basesimporters-exporters/bankrating.</w:t>
      </w:r>
    </w:p>
    <w:p w14:paraId="754B017F" w14:textId="77777777" w:rsidR="00212D0F" w:rsidRPr="003D7553" w:rsidRDefault="00212D0F" w:rsidP="00212D0F">
      <w:pPr>
        <w:pStyle w:val="a7"/>
        <w:numPr>
          <w:ilvl w:val="0"/>
          <w:numId w:val="7"/>
        </w:numPr>
        <w:tabs>
          <w:tab w:val="left" w:pos="1134"/>
          <w:tab w:val="left" w:pos="4425"/>
        </w:tabs>
        <w:spacing w:line="259" w:lineRule="auto"/>
        <w:ind w:left="0" w:firstLine="709"/>
        <w:jc w:val="both"/>
        <w:rPr>
          <w:rFonts w:ascii="Times New Roman" w:hAnsi="Times New Roman" w:cs="Times New Roman"/>
          <w:lang w:eastAsia="ko-KR"/>
        </w:rPr>
      </w:pPr>
      <w:r w:rsidRPr="003D7553">
        <w:rPr>
          <w:rFonts w:ascii="Times New Roman" w:hAnsi="Times New Roman" w:cs="Times New Roman"/>
          <w:lang w:eastAsia="ko-KR"/>
        </w:rPr>
        <w:t>Расчеты в национальных валютах стран АТР. [Электронный ресурс] // Официальный сайт ПАО СКБ Приморья «Примсоцбанк» – Режим доступа: https://pskb.com/corporate/fea/apec-settlement/.</w:t>
      </w:r>
    </w:p>
    <w:p w14:paraId="5AE48A43" w14:textId="77777777" w:rsidR="00212D0F" w:rsidRPr="003D7553" w:rsidRDefault="00212D0F" w:rsidP="002245D5">
      <w:pPr>
        <w:spacing w:line="240" w:lineRule="auto"/>
        <w:jc w:val="both"/>
        <w:rPr>
          <w:rFonts w:ascii="Times New Roman" w:hAnsi="Times New Roman" w:cs="Times New Roman"/>
          <w:sz w:val="24"/>
          <w:szCs w:val="24"/>
        </w:rPr>
      </w:pPr>
    </w:p>
    <w:p w14:paraId="50F40DEB" w14:textId="77777777" w:rsidR="001973E4" w:rsidRDefault="001973E4" w:rsidP="00212D0F">
      <w:pPr>
        <w:spacing w:line="240" w:lineRule="auto"/>
        <w:ind w:right="-1" w:firstLine="709"/>
        <w:rPr>
          <w:rFonts w:ascii="Times New Roman" w:hAnsi="Times New Roman"/>
          <w:color w:val="000000" w:themeColor="text1"/>
          <w:sz w:val="24"/>
          <w:szCs w:val="24"/>
          <w:shd w:val="clear" w:color="auto" w:fill="FFFFFF"/>
        </w:rPr>
      </w:pPr>
    </w:p>
    <w:p w14:paraId="7B5DC9AD" w14:textId="77777777" w:rsidR="00212D0F" w:rsidRPr="001973E4" w:rsidRDefault="00212D0F" w:rsidP="00212D0F">
      <w:pPr>
        <w:spacing w:line="240" w:lineRule="auto"/>
        <w:ind w:right="-1" w:firstLine="709"/>
        <w:rPr>
          <w:rFonts w:ascii="Times New Roman" w:hAnsi="Times New Roman"/>
          <w:b/>
          <w:color w:val="000000" w:themeColor="text1"/>
          <w:sz w:val="24"/>
          <w:szCs w:val="24"/>
          <w:shd w:val="clear" w:color="auto" w:fill="FFFFFF"/>
        </w:rPr>
      </w:pPr>
      <w:r w:rsidRPr="001973E4">
        <w:rPr>
          <w:rFonts w:ascii="Times New Roman" w:hAnsi="Times New Roman"/>
          <w:b/>
          <w:color w:val="000000" w:themeColor="text1"/>
          <w:sz w:val="24"/>
          <w:szCs w:val="24"/>
          <w:shd w:val="clear" w:color="auto" w:fill="FFFFFF"/>
        </w:rPr>
        <w:lastRenderedPageBreak/>
        <w:t>Рубрика: Мировая экономика: современные вызовы и угрозы.</w:t>
      </w:r>
    </w:p>
    <w:p w14:paraId="43E0655D" w14:textId="77777777" w:rsidR="00212D0F" w:rsidRPr="00EC2451" w:rsidRDefault="00212D0F" w:rsidP="00212D0F">
      <w:pPr>
        <w:spacing w:line="240" w:lineRule="auto"/>
        <w:ind w:right="-1" w:firstLine="709"/>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УДК: 339.54</w:t>
      </w:r>
    </w:p>
    <w:p w14:paraId="31CDB5BD" w14:textId="77777777" w:rsidR="00212D0F" w:rsidRPr="00A450B7" w:rsidRDefault="001973E4" w:rsidP="001973E4">
      <w:pPr>
        <w:spacing w:line="240" w:lineRule="auto"/>
        <w:ind w:right="-1"/>
        <w:jc w:val="center"/>
        <w:rPr>
          <w:rFonts w:ascii="Times New Roman" w:hAnsi="Times New Roman"/>
          <w:b/>
          <w:color w:val="000000" w:themeColor="text1"/>
          <w:sz w:val="24"/>
          <w:szCs w:val="24"/>
          <w:shd w:val="clear" w:color="auto" w:fill="FFFFFF"/>
        </w:rPr>
      </w:pPr>
      <w:r w:rsidRPr="00A450B7">
        <w:rPr>
          <w:rFonts w:ascii="Times New Roman" w:hAnsi="Times New Roman"/>
          <w:b/>
          <w:color w:val="000000" w:themeColor="text1"/>
          <w:sz w:val="24"/>
          <w:szCs w:val="24"/>
          <w:shd w:val="clear" w:color="auto" w:fill="FFFFFF"/>
        </w:rPr>
        <w:t>РОЛЬ ГОСУДАРСТВЕННОЙ ПОДДЕРЖКИ В ФОРМИРОВАНИИ ЭКСПОРТНОГО ПОТЕНЦИАЛА ОРГАНИЗАЦИЙ</w:t>
      </w:r>
    </w:p>
    <w:p w14:paraId="5F1C312E" w14:textId="77777777" w:rsidR="00212D0F" w:rsidRPr="00A450B7" w:rsidRDefault="00212D0F" w:rsidP="00212D0F">
      <w:pPr>
        <w:spacing w:after="0" w:line="240" w:lineRule="auto"/>
        <w:ind w:right="-1" w:firstLine="709"/>
        <w:jc w:val="center"/>
        <w:rPr>
          <w:rFonts w:ascii="Times New Roman" w:hAnsi="Times New Roman"/>
          <w:b/>
          <w:sz w:val="24"/>
          <w:szCs w:val="24"/>
        </w:rPr>
      </w:pPr>
      <w:r>
        <w:rPr>
          <w:rFonts w:ascii="Times New Roman" w:hAnsi="Times New Roman"/>
          <w:b/>
          <w:sz w:val="24"/>
          <w:szCs w:val="24"/>
        </w:rPr>
        <w:t>Мартыненко Олег Евгеньевич</w:t>
      </w:r>
    </w:p>
    <w:p w14:paraId="77A52294" w14:textId="77777777" w:rsidR="001973E4" w:rsidRDefault="001973E4" w:rsidP="00212D0F">
      <w:pPr>
        <w:spacing w:after="0" w:line="240" w:lineRule="auto"/>
        <w:ind w:right="-1" w:firstLine="709"/>
        <w:jc w:val="center"/>
        <w:rPr>
          <w:rFonts w:ascii="Times New Roman" w:hAnsi="Times New Roman"/>
          <w:sz w:val="24"/>
          <w:szCs w:val="24"/>
        </w:rPr>
      </w:pPr>
    </w:p>
    <w:p w14:paraId="5126A850" w14:textId="77777777" w:rsidR="00212D0F" w:rsidRPr="001973E4" w:rsidRDefault="00212D0F" w:rsidP="00212D0F">
      <w:pPr>
        <w:spacing w:after="0" w:line="240" w:lineRule="auto"/>
        <w:ind w:right="-1" w:firstLine="709"/>
        <w:jc w:val="center"/>
        <w:rPr>
          <w:rFonts w:ascii="Times New Roman" w:hAnsi="Times New Roman"/>
          <w:i/>
          <w:sz w:val="24"/>
          <w:szCs w:val="24"/>
        </w:rPr>
      </w:pPr>
      <w:r w:rsidRPr="001973E4">
        <w:rPr>
          <w:rFonts w:ascii="Times New Roman" w:hAnsi="Times New Roman"/>
          <w:i/>
          <w:sz w:val="24"/>
          <w:szCs w:val="24"/>
        </w:rPr>
        <w:t>Владивостокский Государственный Университет Экономики и Сервиса</w:t>
      </w:r>
    </w:p>
    <w:p w14:paraId="59F9A315" w14:textId="77777777" w:rsidR="00212D0F" w:rsidRPr="001973E4" w:rsidRDefault="00212D0F" w:rsidP="00212D0F">
      <w:pPr>
        <w:spacing w:after="0" w:line="240" w:lineRule="auto"/>
        <w:ind w:right="-1" w:firstLine="709"/>
        <w:jc w:val="center"/>
        <w:rPr>
          <w:rFonts w:ascii="Times New Roman" w:hAnsi="Times New Roman"/>
          <w:i/>
          <w:sz w:val="24"/>
          <w:szCs w:val="24"/>
        </w:rPr>
      </w:pPr>
      <w:r w:rsidRPr="001973E4">
        <w:rPr>
          <w:rFonts w:ascii="Times New Roman" w:hAnsi="Times New Roman"/>
          <w:i/>
          <w:sz w:val="24"/>
          <w:szCs w:val="24"/>
        </w:rPr>
        <w:t>Россия. Владивосток</w:t>
      </w:r>
    </w:p>
    <w:p w14:paraId="7D4B5278" w14:textId="77777777" w:rsidR="00212D0F" w:rsidRPr="007E1000" w:rsidRDefault="00212D0F" w:rsidP="00212D0F">
      <w:pPr>
        <w:spacing w:after="0" w:line="240" w:lineRule="auto"/>
        <w:ind w:right="-1" w:firstLine="709"/>
        <w:jc w:val="center"/>
        <w:rPr>
          <w:rFonts w:ascii="Times New Roman" w:hAnsi="Times New Roman"/>
          <w:i/>
          <w:sz w:val="24"/>
          <w:szCs w:val="24"/>
        </w:rPr>
      </w:pPr>
      <w:r w:rsidRPr="001973E4">
        <w:rPr>
          <w:rFonts w:ascii="Times New Roman" w:hAnsi="Times New Roman"/>
          <w:i/>
          <w:sz w:val="24"/>
          <w:szCs w:val="24"/>
          <w:lang w:val="en-US"/>
        </w:rPr>
        <w:t>E</w:t>
      </w:r>
      <w:r w:rsidRPr="007E1000">
        <w:rPr>
          <w:rFonts w:ascii="Times New Roman" w:hAnsi="Times New Roman"/>
          <w:i/>
          <w:sz w:val="24"/>
          <w:szCs w:val="24"/>
        </w:rPr>
        <w:t>-</w:t>
      </w:r>
      <w:r w:rsidRPr="001973E4">
        <w:rPr>
          <w:rFonts w:ascii="Times New Roman" w:hAnsi="Times New Roman"/>
          <w:i/>
          <w:sz w:val="24"/>
          <w:szCs w:val="24"/>
          <w:lang w:val="en-US"/>
        </w:rPr>
        <w:t>mail</w:t>
      </w:r>
      <w:r w:rsidRPr="007E1000">
        <w:rPr>
          <w:rFonts w:ascii="Times New Roman" w:hAnsi="Times New Roman"/>
          <w:i/>
          <w:sz w:val="24"/>
          <w:szCs w:val="24"/>
        </w:rPr>
        <w:t xml:space="preserve">: </w:t>
      </w:r>
      <w:hyperlink r:id="rId29" w:history="1">
        <w:r w:rsidRPr="001973E4">
          <w:rPr>
            <w:rStyle w:val="a4"/>
            <w:rFonts w:ascii="Times New Roman" w:hAnsi="Times New Roman"/>
            <w:i/>
            <w:sz w:val="24"/>
            <w:szCs w:val="24"/>
            <w:lang w:val="en-US"/>
          </w:rPr>
          <w:t>moe</w:t>
        </w:r>
        <w:r w:rsidRPr="007E1000">
          <w:rPr>
            <w:rStyle w:val="a4"/>
            <w:rFonts w:ascii="Times New Roman" w:hAnsi="Times New Roman"/>
            <w:i/>
            <w:sz w:val="24"/>
            <w:szCs w:val="24"/>
          </w:rPr>
          <w:t>_</w:t>
        </w:r>
        <w:r w:rsidRPr="001973E4">
          <w:rPr>
            <w:rStyle w:val="a4"/>
            <w:rFonts w:ascii="Times New Roman" w:hAnsi="Times New Roman"/>
            <w:i/>
            <w:sz w:val="24"/>
            <w:szCs w:val="24"/>
            <w:lang w:val="en-US"/>
          </w:rPr>
          <w:t>vld</w:t>
        </w:r>
        <w:r w:rsidRPr="007E1000">
          <w:rPr>
            <w:rStyle w:val="a4"/>
            <w:rFonts w:ascii="Times New Roman" w:hAnsi="Times New Roman"/>
            <w:i/>
            <w:sz w:val="24"/>
            <w:szCs w:val="24"/>
          </w:rPr>
          <w:t>@</w:t>
        </w:r>
        <w:r w:rsidRPr="001973E4">
          <w:rPr>
            <w:rStyle w:val="a4"/>
            <w:rFonts w:ascii="Times New Roman" w:hAnsi="Times New Roman"/>
            <w:i/>
            <w:sz w:val="24"/>
            <w:szCs w:val="24"/>
            <w:lang w:val="en-US"/>
          </w:rPr>
          <w:t>mail</w:t>
        </w:r>
        <w:r w:rsidRPr="007E1000">
          <w:rPr>
            <w:rStyle w:val="a4"/>
            <w:rFonts w:ascii="Times New Roman" w:hAnsi="Times New Roman"/>
            <w:i/>
            <w:sz w:val="24"/>
            <w:szCs w:val="24"/>
          </w:rPr>
          <w:t>.</w:t>
        </w:r>
        <w:r w:rsidRPr="001973E4">
          <w:rPr>
            <w:rStyle w:val="a4"/>
            <w:rFonts w:ascii="Times New Roman" w:hAnsi="Times New Roman"/>
            <w:i/>
            <w:sz w:val="24"/>
            <w:szCs w:val="24"/>
            <w:lang w:val="en-US"/>
          </w:rPr>
          <w:t>ru</w:t>
        </w:r>
      </w:hyperlink>
      <w:r w:rsidRPr="007E1000">
        <w:rPr>
          <w:rFonts w:ascii="Times New Roman" w:hAnsi="Times New Roman"/>
          <w:i/>
          <w:sz w:val="24"/>
          <w:szCs w:val="24"/>
        </w:rPr>
        <w:t xml:space="preserve">; </w:t>
      </w:r>
      <w:r w:rsidRPr="001973E4">
        <w:rPr>
          <w:rFonts w:ascii="Times New Roman" w:hAnsi="Times New Roman"/>
          <w:i/>
          <w:sz w:val="24"/>
          <w:szCs w:val="24"/>
        </w:rPr>
        <w:t>тел</w:t>
      </w:r>
      <w:r w:rsidRPr="007E1000">
        <w:rPr>
          <w:rFonts w:ascii="Times New Roman" w:hAnsi="Times New Roman"/>
          <w:i/>
          <w:sz w:val="24"/>
          <w:szCs w:val="24"/>
        </w:rPr>
        <w:t>.: +79084647027</w:t>
      </w:r>
    </w:p>
    <w:p w14:paraId="31BF86B1" w14:textId="77777777" w:rsidR="00212D0F" w:rsidRPr="001973E4" w:rsidRDefault="00212D0F" w:rsidP="00212D0F">
      <w:pPr>
        <w:spacing w:after="0" w:line="240" w:lineRule="auto"/>
        <w:ind w:right="-1" w:firstLine="709"/>
        <w:jc w:val="center"/>
        <w:rPr>
          <w:rFonts w:ascii="Times New Roman" w:hAnsi="Times New Roman"/>
          <w:i/>
          <w:sz w:val="24"/>
          <w:szCs w:val="24"/>
        </w:rPr>
      </w:pPr>
      <w:r w:rsidRPr="001973E4">
        <w:rPr>
          <w:rFonts w:ascii="Times New Roman" w:hAnsi="Times New Roman"/>
          <w:i/>
          <w:sz w:val="24"/>
          <w:szCs w:val="24"/>
        </w:rPr>
        <w:t>Ул. Гоголя 41, г. Владивосток, Приморский край, Росиия, 690014</w:t>
      </w:r>
    </w:p>
    <w:p w14:paraId="007DCDA8" w14:textId="77777777" w:rsidR="001973E4" w:rsidRDefault="001973E4" w:rsidP="00212D0F">
      <w:pPr>
        <w:spacing w:after="0" w:line="240" w:lineRule="auto"/>
        <w:ind w:right="-1" w:firstLine="709"/>
        <w:jc w:val="both"/>
        <w:rPr>
          <w:rFonts w:ascii="Times New Roman" w:hAnsi="Times New Roman"/>
          <w:i/>
          <w:sz w:val="24"/>
          <w:szCs w:val="24"/>
        </w:rPr>
      </w:pPr>
    </w:p>
    <w:p w14:paraId="6E256B11" w14:textId="77777777" w:rsidR="00212D0F" w:rsidRPr="005F588A" w:rsidRDefault="00212D0F" w:rsidP="00212D0F">
      <w:pPr>
        <w:spacing w:after="0" w:line="240" w:lineRule="auto"/>
        <w:ind w:right="-1" w:firstLine="709"/>
        <w:jc w:val="both"/>
        <w:rPr>
          <w:rFonts w:ascii="Times New Roman" w:hAnsi="Times New Roman"/>
          <w:i/>
          <w:sz w:val="24"/>
          <w:szCs w:val="24"/>
        </w:rPr>
      </w:pPr>
      <w:r w:rsidRPr="005F588A">
        <w:rPr>
          <w:rFonts w:ascii="Times New Roman" w:hAnsi="Times New Roman"/>
          <w:i/>
          <w:sz w:val="24"/>
          <w:szCs w:val="24"/>
        </w:rPr>
        <w:t>Экспортный потенциал предприятия – набор важнейших элементов в структуре предприятия, позволяющий вести успешную экспортную деятельность. Экспортный потенциал занимает важную роль в плане развития организации путем выхода на международные рынки.</w:t>
      </w:r>
    </w:p>
    <w:p w14:paraId="55BAE27B" w14:textId="77777777" w:rsidR="00212D0F" w:rsidRPr="005F588A" w:rsidRDefault="00212D0F" w:rsidP="00212D0F">
      <w:pPr>
        <w:spacing w:after="0" w:line="240" w:lineRule="auto"/>
        <w:ind w:right="-1" w:firstLine="709"/>
        <w:jc w:val="both"/>
        <w:rPr>
          <w:rFonts w:ascii="Times New Roman" w:hAnsi="Times New Roman"/>
          <w:i/>
          <w:sz w:val="24"/>
          <w:szCs w:val="24"/>
        </w:rPr>
      </w:pPr>
      <w:r w:rsidRPr="005F588A">
        <w:rPr>
          <w:rFonts w:ascii="Times New Roman" w:hAnsi="Times New Roman"/>
          <w:i/>
          <w:sz w:val="24"/>
          <w:szCs w:val="24"/>
        </w:rPr>
        <w:t>В статье рассматривается роль государственной поддержки в развитии экспортного потенциала. Анализируется система необходимых качеств предприятия для ведения экспортной деятельности.</w:t>
      </w:r>
    </w:p>
    <w:p w14:paraId="1B3FC012" w14:textId="77777777" w:rsidR="00212D0F" w:rsidRPr="005F588A" w:rsidRDefault="00212D0F" w:rsidP="001973E4">
      <w:pPr>
        <w:spacing w:after="0" w:line="240" w:lineRule="auto"/>
        <w:ind w:right="-1" w:firstLine="708"/>
        <w:jc w:val="both"/>
        <w:rPr>
          <w:rFonts w:ascii="Times New Roman" w:hAnsi="Times New Roman"/>
          <w:i/>
          <w:sz w:val="24"/>
          <w:szCs w:val="24"/>
        </w:rPr>
      </w:pPr>
      <w:r w:rsidRPr="005F588A">
        <w:rPr>
          <w:rFonts w:ascii="Times New Roman" w:hAnsi="Times New Roman"/>
          <w:b/>
          <w:i/>
          <w:sz w:val="24"/>
          <w:szCs w:val="24"/>
        </w:rPr>
        <w:t xml:space="preserve">Ключевые слова: </w:t>
      </w:r>
      <w:r w:rsidRPr="005F588A">
        <w:rPr>
          <w:rFonts w:ascii="Times New Roman" w:hAnsi="Times New Roman"/>
          <w:i/>
          <w:sz w:val="24"/>
          <w:szCs w:val="24"/>
        </w:rPr>
        <w:t>экспортный потенциал, роль государственной поддержки в формировании экспортного потенциала.</w:t>
      </w:r>
    </w:p>
    <w:p w14:paraId="450EA2D7" w14:textId="77777777" w:rsidR="006D6F5D" w:rsidRDefault="006D6F5D" w:rsidP="00212D0F">
      <w:pPr>
        <w:pStyle w:val="HTML"/>
        <w:shd w:val="clear" w:color="auto" w:fill="FFFFFF"/>
        <w:ind w:right="-1" w:firstLine="709"/>
        <w:jc w:val="center"/>
        <w:rPr>
          <w:rFonts w:ascii="Times New Roman" w:hAnsi="Times New Roman" w:cs="Times New Roman"/>
          <w:b/>
          <w:i/>
          <w:color w:val="212121"/>
          <w:sz w:val="24"/>
        </w:rPr>
      </w:pPr>
    </w:p>
    <w:p w14:paraId="77836CC9" w14:textId="77777777" w:rsidR="00212D0F" w:rsidRPr="0065587D" w:rsidRDefault="630840AF" w:rsidP="630840AF">
      <w:pPr>
        <w:pStyle w:val="HTML"/>
        <w:shd w:val="clear" w:color="auto" w:fill="FFFFFF" w:themeFill="background1"/>
        <w:ind w:right="-1" w:firstLine="709"/>
        <w:jc w:val="center"/>
        <w:rPr>
          <w:rFonts w:ascii="Times New Roman" w:hAnsi="Times New Roman" w:cs="Times New Roman"/>
          <w:b/>
          <w:bCs/>
          <w:i/>
          <w:iCs/>
          <w:color w:val="212121"/>
          <w:sz w:val="24"/>
          <w:szCs w:val="24"/>
          <w:lang w:val="en-US"/>
        </w:rPr>
      </w:pPr>
      <w:r w:rsidRPr="630840AF">
        <w:rPr>
          <w:rFonts w:ascii="Times New Roman" w:hAnsi="Times New Roman" w:cs="Times New Roman"/>
          <w:b/>
          <w:bCs/>
          <w:i/>
          <w:iCs/>
          <w:color w:val="212121"/>
          <w:sz w:val="24"/>
          <w:szCs w:val="24"/>
          <w:lang w:val="en-US"/>
        </w:rPr>
        <w:t>The role of state support in shaping the export potential of organizations</w:t>
      </w:r>
    </w:p>
    <w:p w14:paraId="3DD355C9" w14:textId="77777777" w:rsidR="00212D0F" w:rsidRPr="00212D0F" w:rsidRDefault="00212D0F" w:rsidP="00212D0F">
      <w:pPr>
        <w:pStyle w:val="HTML"/>
        <w:shd w:val="clear" w:color="auto" w:fill="FFFFFF"/>
        <w:ind w:right="-1" w:firstLine="709"/>
        <w:jc w:val="center"/>
        <w:rPr>
          <w:rFonts w:ascii="Times New Roman" w:hAnsi="Times New Roman" w:cs="Times New Roman"/>
          <w:b/>
          <w:i/>
          <w:color w:val="212121"/>
          <w:sz w:val="24"/>
          <w:lang w:val="en-US"/>
        </w:rPr>
      </w:pPr>
    </w:p>
    <w:p w14:paraId="73539DC4" w14:textId="77777777" w:rsidR="00212D0F" w:rsidRPr="0065587D"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i/>
          <w:iCs/>
          <w:color w:val="212121"/>
          <w:sz w:val="24"/>
          <w:szCs w:val="24"/>
          <w:lang w:val="en-US"/>
        </w:rPr>
      </w:pPr>
      <w:r w:rsidRPr="630840AF">
        <w:rPr>
          <w:rFonts w:ascii="Times New Roman" w:hAnsi="Times New Roman"/>
          <w:i/>
          <w:iCs/>
          <w:color w:val="212121"/>
          <w:sz w:val="24"/>
          <w:szCs w:val="24"/>
          <w:lang w:val="en-US"/>
        </w:rPr>
        <w:t>Export potential of the enterprise is a set of the most important elements in the structure of the enterprise, which allows to conduct successful export activity. Export potential plays an important role in the development of the organization by entering international markets.</w:t>
      </w:r>
    </w:p>
    <w:p w14:paraId="1338B2B9" w14:textId="77777777" w:rsidR="00212D0F" w:rsidRPr="0065587D"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i/>
          <w:iCs/>
          <w:color w:val="212121"/>
          <w:sz w:val="24"/>
          <w:szCs w:val="24"/>
          <w:lang w:val="en-US"/>
        </w:rPr>
      </w:pPr>
      <w:r w:rsidRPr="630840AF">
        <w:rPr>
          <w:rFonts w:ascii="Times New Roman" w:hAnsi="Times New Roman"/>
          <w:i/>
          <w:iCs/>
          <w:color w:val="212121"/>
          <w:sz w:val="24"/>
          <w:szCs w:val="24"/>
          <w:lang w:val="en-US"/>
        </w:rPr>
        <w:t>The article examines the role of state support in the development of export potential. The system of necessary qualities of the enterprise for conducting export activity is analyzed.</w:t>
      </w:r>
    </w:p>
    <w:p w14:paraId="058E54DA" w14:textId="77777777" w:rsidR="00212D0F" w:rsidRPr="00212D0F" w:rsidRDefault="001973E4" w:rsidP="630840AF">
      <w:pPr>
        <w:pStyle w:val="HTML"/>
        <w:shd w:val="clear" w:color="auto" w:fill="FFFFFF" w:themeFill="background1"/>
        <w:ind w:right="-1"/>
        <w:jc w:val="both"/>
        <w:rPr>
          <w:rFonts w:ascii="inherit" w:hAnsi="inherit"/>
          <w:i/>
          <w:iCs/>
          <w:color w:val="212121"/>
          <w:lang w:val="en-US"/>
        </w:rPr>
      </w:pPr>
      <w:r>
        <w:rPr>
          <w:rFonts w:ascii="Times New Roman" w:eastAsiaTheme="minorHAnsi" w:hAnsi="Times New Roman" w:cstheme="minorBidi"/>
          <w:i/>
          <w:color w:val="212121"/>
          <w:sz w:val="24"/>
          <w:szCs w:val="24"/>
          <w:lang w:val="en-US" w:eastAsia="en-US"/>
        </w:rPr>
        <w:tab/>
      </w:r>
      <w:r w:rsidR="00212D0F" w:rsidRPr="630840AF">
        <w:rPr>
          <w:rFonts w:ascii="Times New Roman" w:hAnsi="Times New Roman" w:cs="Times New Roman"/>
          <w:b/>
          <w:bCs/>
          <w:i/>
          <w:iCs/>
          <w:color w:val="212121"/>
          <w:sz w:val="24"/>
          <w:szCs w:val="24"/>
          <w:lang w:val="en-US"/>
        </w:rPr>
        <w:t>Keywords:</w:t>
      </w:r>
      <w:r w:rsidR="00212D0F" w:rsidRPr="630840AF">
        <w:rPr>
          <w:rFonts w:ascii="Times New Roman" w:hAnsi="Times New Roman" w:cs="Times New Roman"/>
          <w:i/>
          <w:iCs/>
          <w:color w:val="212121"/>
          <w:sz w:val="24"/>
          <w:szCs w:val="24"/>
          <w:lang w:val="en-US"/>
        </w:rPr>
        <w:t xml:space="preserve"> export potential, the role of state support in the formation of export potential.</w:t>
      </w:r>
    </w:p>
    <w:p w14:paraId="1A81F0B1" w14:textId="77777777" w:rsidR="00212D0F" w:rsidRPr="005F588A" w:rsidRDefault="00212D0F" w:rsidP="00212D0F">
      <w:pPr>
        <w:spacing w:line="240" w:lineRule="auto"/>
        <w:ind w:right="-1" w:firstLine="709"/>
        <w:rPr>
          <w:rFonts w:ascii="Times New Roman" w:hAnsi="Times New Roman"/>
          <w:b/>
          <w:color w:val="000000" w:themeColor="text1"/>
          <w:sz w:val="24"/>
          <w:szCs w:val="24"/>
          <w:shd w:val="clear" w:color="auto" w:fill="FFFFFF"/>
          <w:lang w:val="en-US"/>
        </w:rPr>
      </w:pPr>
    </w:p>
    <w:p w14:paraId="325FBF5C" w14:textId="77777777" w:rsidR="00212D0F" w:rsidRPr="00A450B7" w:rsidRDefault="00212D0F" w:rsidP="00212D0F">
      <w:pPr>
        <w:spacing w:after="0" w:line="240" w:lineRule="auto"/>
        <w:ind w:right="-1" w:firstLine="709"/>
        <w:jc w:val="both"/>
        <w:rPr>
          <w:rFonts w:ascii="Times New Roman" w:hAnsi="Times New Roman"/>
          <w:color w:val="000000" w:themeColor="text1"/>
          <w:sz w:val="24"/>
          <w:szCs w:val="24"/>
          <w:shd w:val="clear" w:color="auto" w:fill="FFFFFF"/>
        </w:rPr>
      </w:pPr>
      <w:r w:rsidRPr="00A450B7">
        <w:rPr>
          <w:rFonts w:ascii="Times New Roman" w:hAnsi="Times New Roman"/>
          <w:color w:val="000000" w:themeColor="text1"/>
          <w:sz w:val="24"/>
          <w:szCs w:val="24"/>
          <w:shd w:val="clear" w:color="auto" w:fill="FFFFFF"/>
        </w:rPr>
        <w:t xml:space="preserve">Экспортный потенциал играет важную роль в развитии предприятия как субъекта международного рынка. Формирование экспортного потенциала происходит на предприятиях, являющихся самостоятельными участниками внешнеэкономической деятельности. Именно от реализации экспортного потенциала предприятия зависит его успех на внешнем и национальном рынке. </w:t>
      </w:r>
    </w:p>
    <w:p w14:paraId="16ECE99B" w14:textId="77777777" w:rsidR="00212D0F" w:rsidRPr="00A450B7" w:rsidRDefault="00212D0F" w:rsidP="00212D0F">
      <w:pPr>
        <w:spacing w:after="0" w:line="240" w:lineRule="auto"/>
        <w:ind w:right="-1" w:firstLine="709"/>
        <w:jc w:val="both"/>
        <w:rPr>
          <w:rFonts w:ascii="Times New Roman" w:hAnsi="Times New Roman"/>
          <w:color w:val="000000" w:themeColor="text1"/>
          <w:sz w:val="24"/>
          <w:szCs w:val="24"/>
          <w:shd w:val="clear" w:color="auto" w:fill="FFFFFF"/>
        </w:rPr>
      </w:pPr>
      <w:r w:rsidRPr="00A450B7">
        <w:rPr>
          <w:rFonts w:ascii="Times New Roman" w:hAnsi="Times New Roman"/>
          <w:color w:val="000000" w:themeColor="text1"/>
          <w:sz w:val="24"/>
          <w:szCs w:val="24"/>
          <w:shd w:val="clear" w:color="auto" w:fill="FFFFFF"/>
        </w:rPr>
        <w:t>Опираясь на существующие исследования, экспортный потенциал следует рассматривать, как настоящую или возможную способность предприятия, определяемую совокупностью его производственного, финансового, кадрового и рыночного потенциалов, осуществлять под влиянием внутренних и внешних факторов торговую деятельность на внешнем рынке, что и определяет актуальность выбранной для исследования темы.</w:t>
      </w:r>
    </w:p>
    <w:p w14:paraId="660D27F9" w14:textId="77777777" w:rsidR="00212D0F" w:rsidRPr="00A450B7" w:rsidRDefault="00212D0F" w:rsidP="00212D0F">
      <w:pPr>
        <w:spacing w:after="0" w:line="240" w:lineRule="auto"/>
        <w:ind w:right="-1" w:firstLine="709"/>
        <w:jc w:val="both"/>
        <w:rPr>
          <w:rFonts w:ascii="Times New Roman" w:hAnsi="Times New Roman"/>
          <w:sz w:val="24"/>
          <w:szCs w:val="24"/>
        </w:rPr>
      </w:pPr>
      <w:r w:rsidRPr="00A450B7">
        <w:rPr>
          <w:rFonts w:ascii="Times New Roman" w:hAnsi="Times New Roman"/>
          <w:sz w:val="24"/>
          <w:szCs w:val="24"/>
          <w:shd w:val="clear" w:color="auto" w:fill="FFFFFF"/>
        </w:rPr>
        <w:t xml:space="preserve">Научной новизной исследования является то, что изучая работы современных экспертов, можно наблюдать описание прямой зависимости между степенью развитости экспортного потенциала и продуктивным функционированием всего хозяйственного комплекса. Наглядно, это выглядит так, что чем сильнее и масштабнее экспортный потенциал государства, тем выше уровень внутренней экономики страны [1, с. 30]. </w:t>
      </w:r>
      <w:r w:rsidRPr="00A450B7">
        <w:rPr>
          <w:rFonts w:ascii="Times New Roman" w:hAnsi="Times New Roman"/>
          <w:sz w:val="24"/>
          <w:szCs w:val="24"/>
        </w:rPr>
        <w:t>Опираясь на такой вывод, можно смело утверждать, что в процессе интеграции национальной экономики государства в мировую, приоритетом является активное развитие экспортного потенциала, и далее, соответственно, и самого экспорта.</w:t>
      </w:r>
    </w:p>
    <w:p w14:paraId="1FD51997" w14:textId="77777777" w:rsidR="00212D0F" w:rsidRPr="00A450B7" w:rsidRDefault="00212D0F" w:rsidP="00212D0F">
      <w:pPr>
        <w:spacing w:after="0" w:line="240" w:lineRule="auto"/>
        <w:ind w:right="-1" w:firstLine="709"/>
        <w:jc w:val="both"/>
        <w:rPr>
          <w:rFonts w:ascii="Times New Roman" w:hAnsi="Times New Roman"/>
          <w:sz w:val="24"/>
          <w:szCs w:val="24"/>
        </w:rPr>
      </w:pPr>
      <w:r w:rsidRPr="00A450B7">
        <w:rPr>
          <w:rFonts w:ascii="Times New Roman" w:hAnsi="Times New Roman"/>
          <w:sz w:val="24"/>
          <w:szCs w:val="24"/>
        </w:rPr>
        <w:lastRenderedPageBreak/>
        <w:t>Целью исследования является изучение государственной поддержки малого и среднего предпринимательства в процессе повышения экспортного потенциала.</w:t>
      </w:r>
    </w:p>
    <w:p w14:paraId="1C46F446" w14:textId="77777777" w:rsidR="00212D0F" w:rsidRPr="00A450B7" w:rsidRDefault="00212D0F" w:rsidP="00212D0F">
      <w:pPr>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Задачами исследования являюстя:</w:t>
      </w:r>
    </w:p>
    <w:p w14:paraId="42575E6E" w14:textId="77777777" w:rsidR="00212D0F" w:rsidRPr="00A450B7" w:rsidRDefault="00212D0F" w:rsidP="00212D0F">
      <w:pPr>
        <w:pStyle w:val="a7"/>
        <w:numPr>
          <w:ilvl w:val="0"/>
          <w:numId w:val="69"/>
        </w:numPr>
        <w:ind w:left="0" w:right="-1" w:firstLine="709"/>
        <w:jc w:val="both"/>
        <w:rPr>
          <w:rFonts w:ascii="Times New Roman" w:hAnsi="Times New Roman"/>
        </w:rPr>
      </w:pPr>
      <w:r w:rsidRPr="00A450B7">
        <w:rPr>
          <w:rFonts w:ascii="Times New Roman" w:hAnsi="Times New Roman"/>
        </w:rPr>
        <w:t>Изучение теоретических основ экспортного потенцияла;</w:t>
      </w:r>
    </w:p>
    <w:p w14:paraId="06AD97E4" w14:textId="77777777" w:rsidR="00212D0F" w:rsidRPr="00A450B7" w:rsidRDefault="00212D0F" w:rsidP="00212D0F">
      <w:pPr>
        <w:pStyle w:val="a7"/>
        <w:numPr>
          <w:ilvl w:val="0"/>
          <w:numId w:val="69"/>
        </w:numPr>
        <w:ind w:left="0" w:right="-1" w:firstLine="709"/>
        <w:jc w:val="both"/>
        <w:rPr>
          <w:rFonts w:ascii="Times New Roman" w:hAnsi="Times New Roman"/>
        </w:rPr>
      </w:pPr>
      <w:r w:rsidRPr="00A450B7">
        <w:rPr>
          <w:rFonts w:ascii="Times New Roman" w:hAnsi="Times New Roman"/>
        </w:rPr>
        <w:t>Роль государственной поддержки в формировании экспортного потенциала организации;</w:t>
      </w:r>
    </w:p>
    <w:p w14:paraId="540B9986" w14:textId="77777777" w:rsidR="00212D0F" w:rsidRPr="00A450B7" w:rsidRDefault="00212D0F" w:rsidP="00212D0F">
      <w:pPr>
        <w:pStyle w:val="a7"/>
        <w:numPr>
          <w:ilvl w:val="0"/>
          <w:numId w:val="69"/>
        </w:numPr>
        <w:ind w:left="0" w:right="-1" w:firstLine="709"/>
        <w:jc w:val="both"/>
        <w:rPr>
          <w:rFonts w:ascii="Times New Roman" w:hAnsi="Times New Roman"/>
        </w:rPr>
      </w:pPr>
      <w:r w:rsidRPr="00A450B7">
        <w:rPr>
          <w:rFonts w:ascii="Times New Roman" w:hAnsi="Times New Roman"/>
        </w:rPr>
        <w:t>Изучение опыта поодержки экспортного потенциала зарубежных стран.</w:t>
      </w:r>
    </w:p>
    <w:p w14:paraId="67F43AEE" w14:textId="77777777" w:rsidR="00212D0F" w:rsidRPr="00A450B7" w:rsidRDefault="00212D0F" w:rsidP="00212D0F">
      <w:pPr>
        <w:spacing w:after="0" w:line="240" w:lineRule="auto"/>
        <w:ind w:right="-1" w:firstLine="709"/>
        <w:jc w:val="both"/>
        <w:rPr>
          <w:rFonts w:ascii="Times New Roman" w:hAnsi="Times New Roman"/>
          <w:color w:val="000000" w:themeColor="text1"/>
          <w:sz w:val="24"/>
          <w:szCs w:val="24"/>
          <w:shd w:val="clear" w:color="auto" w:fill="FFFFFF"/>
        </w:rPr>
      </w:pPr>
      <w:r w:rsidRPr="00A450B7">
        <w:rPr>
          <w:rFonts w:ascii="Times New Roman" w:hAnsi="Times New Roman"/>
          <w:color w:val="000000" w:themeColor="text1"/>
          <w:sz w:val="24"/>
          <w:szCs w:val="24"/>
          <w:shd w:val="clear" w:color="auto" w:fill="FFFFFF"/>
        </w:rPr>
        <w:t>Изучая и обозначая сущность экспортного потенциала, следует отметить стимулы, склоняющие субъекты экономической системы для ведения внешнеэкономической деятельности, а именно проводить экспортные операции. Таким образом, побуждающими факторами могут выступать:</w:t>
      </w:r>
    </w:p>
    <w:p w14:paraId="547F3C63" w14:textId="77777777" w:rsidR="00212D0F" w:rsidRPr="00A450B7" w:rsidRDefault="00212D0F" w:rsidP="00212D0F">
      <w:pPr>
        <w:pStyle w:val="a7"/>
        <w:numPr>
          <w:ilvl w:val="0"/>
          <w:numId w:val="59"/>
        </w:numPr>
        <w:tabs>
          <w:tab w:val="left" w:pos="993"/>
        </w:tabs>
        <w:ind w:left="0" w:right="-1" w:firstLine="709"/>
        <w:contextualSpacing w:val="0"/>
        <w:jc w:val="both"/>
        <w:rPr>
          <w:rFonts w:ascii="Times New Roman" w:hAnsi="Times New Roman"/>
          <w:color w:val="000000" w:themeColor="text1"/>
          <w:shd w:val="clear" w:color="auto" w:fill="FFFFFF"/>
        </w:rPr>
      </w:pPr>
      <w:r w:rsidRPr="00A450B7">
        <w:rPr>
          <w:rFonts w:ascii="Times New Roman" w:hAnsi="Times New Roman"/>
          <w:color w:val="000000" w:themeColor="text1"/>
          <w:shd w:val="clear" w:color="auto" w:fill="FFFFFF"/>
        </w:rPr>
        <w:t>наличие положительного сальдо баланса, к чему ведет повышение роста и объемов экспорта;</w:t>
      </w:r>
    </w:p>
    <w:p w14:paraId="2DD729A0" w14:textId="77777777" w:rsidR="00212D0F" w:rsidRPr="00A450B7" w:rsidRDefault="00212D0F" w:rsidP="00212D0F">
      <w:pPr>
        <w:pStyle w:val="a7"/>
        <w:numPr>
          <w:ilvl w:val="0"/>
          <w:numId w:val="59"/>
        </w:numPr>
        <w:tabs>
          <w:tab w:val="left" w:pos="993"/>
        </w:tabs>
        <w:ind w:left="0" w:right="-1" w:firstLine="709"/>
        <w:contextualSpacing w:val="0"/>
        <w:jc w:val="both"/>
        <w:rPr>
          <w:rFonts w:ascii="Times New Roman" w:hAnsi="Times New Roman"/>
          <w:color w:val="000000" w:themeColor="text1"/>
          <w:shd w:val="clear" w:color="auto" w:fill="FFFFFF"/>
        </w:rPr>
      </w:pPr>
      <w:r w:rsidRPr="00A450B7">
        <w:rPr>
          <w:rFonts w:ascii="Times New Roman" w:hAnsi="Times New Roman"/>
          <w:color w:val="000000" w:themeColor="text1"/>
          <w:shd w:val="clear" w:color="auto" w:fill="FFFFFF"/>
        </w:rPr>
        <w:t>повышение конкурентоспособности промышленных отраслей;</w:t>
      </w:r>
    </w:p>
    <w:p w14:paraId="1E1FDA21" w14:textId="77777777" w:rsidR="00212D0F" w:rsidRPr="00A450B7" w:rsidRDefault="00212D0F" w:rsidP="00212D0F">
      <w:pPr>
        <w:pStyle w:val="a7"/>
        <w:numPr>
          <w:ilvl w:val="0"/>
          <w:numId w:val="59"/>
        </w:numPr>
        <w:tabs>
          <w:tab w:val="left" w:pos="993"/>
        </w:tabs>
        <w:ind w:left="0" w:right="-1" w:firstLine="709"/>
        <w:contextualSpacing w:val="0"/>
        <w:jc w:val="both"/>
        <w:rPr>
          <w:rFonts w:ascii="Times New Roman" w:hAnsi="Times New Roman"/>
          <w:color w:val="000000" w:themeColor="text1"/>
          <w:shd w:val="clear" w:color="auto" w:fill="FFFFFF"/>
        </w:rPr>
      </w:pPr>
      <w:r w:rsidRPr="00A450B7">
        <w:rPr>
          <w:rFonts w:ascii="Times New Roman" w:hAnsi="Times New Roman"/>
          <w:color w:val="000000" w:themeColor="text1"/>
          <w:shd w:val="clear" w:color="auto" w:fill="FFFFFF"/>
        </w:rPr>
        <w:t>поступление ресурсов в иностранной валюте;</w:t>
      </w:r>
    </w:p>
    <w:p w14:paraId="3FCDDC89" w14:textId="77777777" w:rsidR="00212D0F" w:rsidRPr="00A450B7" w:rsidRDefault="00212D0F" w:rsidP="00212D0F">
      <w:pPr>
        <w:pStyle w:val="a7"/>
        <w:numPr>
          <w:ilvl w:val="0"/>
          <w:numId w:val="59"/>
        </w:numPr>
        <w:tabs>
          <w:tab w:val="left" w:pos="993"/>
        </w:tabs>
        <w:ind w:left="0" w:right="-1" w:firstLine="709"/>
        <w:contextualSpacing w:val="0"/>
        <w:jc w:val="both"/>
        <w:rPr>
          <w:rFonts w:ascii="Times New Roman" w:hAnsi="Times New Roman"/>
          <w:color w:val="000000" w:themeColor="text1"/>
          <w:shd w:val="clear" w:color="auto" w:fill="FFFFFF"/>
        </w:rPr>
      </w:pPr>
      <w:r w:rsidRPr="00A450B7">
        <w:rPr>
          <w:rFonts w:ascii="Times New Roman" w:hAnsi="Times New Roman"/>
          <w:color w:val="000000" w:themeColor="text1"/>
          <w:shd w:val="clear" w:color="auto" w:fill="FFFFFF"/>
        </w:rPr>
        <w:t>улучшение возможности экономического роста и экономической структуры страны в целом;</w:t>
      </w:r>
    </w:p>
    <w:p w14:paraId="459570B4" w14:textId="77777777" w:rsidR="00212D0F" w:rsidRPr="00A450B7" w:rsidRDefault="00212D0F" w:rsidP="00212D0F">
      <w:pPr>
        <w:pStyle w:val="a7"/>
        <w:numPr>
          <w:ilvl w:val="0"/>
          <w:numId w:val="59"/>
        </w:numPr>
        <w:tabs>
          <w:tab w:val="left" w:pos="993"/>
        </w:tabs>
        <w:ind w:left="0" w:right="-1" w:firstLine="709"/>
        <w:contextualSpacing w:val="0"/>
        <w:jc w:val="both"/>
        <w:rPr>
          <w:rFonts w:ascii="Times New Roman" w:hAnsi="Times New Roman"/>
          <w:color w:val="000000" w:themeColor="text1"/>
          <w:shd w:val="clear" w:color="auto" w:fill="FFFFFF"/>
        </w:rPr>
      </w:pPr>
      <w:r w:rsidRPr="00A450B7">
        <w:rPr>
          <w:rFonts w:ascii="Times New Roman" w:hAnsi="Times New Roman"/>
          <w:color w:val="000000" w:themeColor="text1"/>
          <w:shd w:val="clear" w:color="auto" w:fill="FFFFFF"/>
        </w:rPr>
        <w:t>приток иностранных и отечественных инвестиций;</w:t>
      </w:r>
    </w:p>
    <w:p w14:paraId="79A13B3C" w14:textId="77777777" w:rsidR="00212D0F" w:rsidRPr="00A450B7" w:rsidRDefault="00212D0F" w:rsidP="00212D0F">
      <w:pPr>
        <w:pStyle w:val="a7"/>
        <w:numPr>
          <w:ilvl w:val="0"/>
          <w:numId w:val="59"/>
        </w:numPr>
        <w:tabs>
          <w:tab w:val="left" w:pos="993"/>
        </w:tabs>
        <w:ind w:left="0" w:right="-1" w:firstLine="709"/>
        <w:contextualSpacing w:val="0"/>
        <w:jc w:val="both"/>
        <w:rPr>
          <w:rFonts w:ascii="Times New Roman" w:hAnsi="Times New Roman"/>
          <w:color w:val="000000" w:themeColor="text1"/>
          <w:shd w:val="clear" w:color="auto" w:fill="FFFFFF"/>
        </w:rPr>
      </w:pPr>
      <w:r w:rsidRPr="00A450B7">
        <w:rPr>
          <w:rFonts w:ascii="Times New Roman" w:hAnsi="Times New Roman"/>
          <w:color w:val="000000" w:themeColor="text1"/>
          <w:shd w:val="clear" w:color="auto" w:fill="FFFFFF"/>
        </w:rPr>
        <w:t>падение уровня безработицы.</w:t>
      </w:r>
    </w:p>
    <w:p w14:paraId="45F84731"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При ведении внешнеэкономической деятельности грамотный подход к строению, планированию, прогнозированию экспортного потенциала зачастую является определяющим фактором в развитии и деятельности предприятия.</w:t>
      </w:r>
    </w:p>
    <w:p w14:paraId="0F20DA05"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Начало ведения внешнеэкономической деятельности организацией влечет за собой не только положительные эффекты, но и определяет появление дополнительных рисков и новых операций в процессе работы:</w:t>
      </w:r>
    </w:p>
    <w:p w14:paraId="63873FD5" w14:textId="77777777" w:rsidR="00212D0F" w:rsidRPr="00A450B7" w:rsidRDefault="00212D0F" w:rsidP="00212D0F">
      <w:pPr>
        <w:pStyle w:val="a7"/>
        <w:numPr>
          <w:ilvl w:val="0"/>
          <w:numId w:val="60"/>
        </w:numPr>
        <w:tabs>
          <w:tab w:val="left" w:pos="993"/>
        </w:tabs>
        <w:ind w:left="0" w:right="-1" w:firstLine="709"/>
        <w:contextualSpacing w:val="0"/>
        <w:jc w:val="both"/>
        <w:rPr>
          <w:rFonts w:ascii="Times New Roman" w:hAnsi="Times New Roman"/>
        </w:rPr>
      </w:pPr>
      <w:r w:rsidRPr="00A450B7">
        <w:rPr>
          <w:rFonts w:ascii="Times New Roman" w:hAnsi="Times New Roman"/>
        </w:rPr>
        <w:t>тарифно-таможенные издержки, связанные с вывозом и ввозом продукции, а также дополнительные меры государственного регулирования;</w:t>
      </w:r>
    </w:p>
    <w:p w14:paraId="2F1FC166" w14:textId="77777777" w:rsidR="00212D0F" w:rsidRPr="00A450B7" w:rsidRDefault="00212D0F" w:rsidP="00212D0F">
      <w:pPr>
        <w:pStyle w:val="a7"/>
        <w:numPr>
          <w:ilvl w:val="0"/>
          <w:numId w:val="61"/>
        </w:numPr>
        <w:tabs>
          <w:tab w:val="left" w:pos="993"/>
        </w:tabs>
        <w:ind w:left="0" w:right="-1" w:firstLine="709"/>
        <w:contextualSpacing w:val="0"/>
        <w:jc w:val="both"/>
        <w:rPr>
          <w:rFonts w:ascii="Times New Roman" w:hAnsi="Times New Roman"/>
        </w:rPr>
      </w:pPr>
      <w:r w:rsidRPr="00A450B7">
        <w:rPr>
          <w:rFonts w:ascii="Times New Roman" w:hAnsi="Times New Roman"/>
        </w:rPr>
        <w:t>риски в процессах ведения операций и транзакций различных видов, таких как консалтинговые услуги, страхование и др.;</w:t>
      </w:r>
    </w:p>
    <w:p w14:paraId="35D6ACB0" w14:textId="77777777" w:rsidR="00212D0F" w:rsidRPr="00A450B7" w:rsidRDefault="00212D0F" w:rsidP="00212D0F">
      <w:pPr>
        <w:pStyle w:val="a7"/>
        <w:numPr>
          <w:ilvl w:val="0"/>
          <w:numId w:val="61"/>
        </w:numPr>
        <w:tabs>
          <w:tab w:val="left" w:pos="993"/>
        </w:tabs>
        <w:ind w:left="0" w:right="-1" w:firstLine="709"/>
        <w:contextualSpacing w:val="0"/>
        <w:jc w:val="both"/>
        <w:rPr>
          <w:rFonts w:ascii="Times New Roman" w:hAnsi="Times New Roman"/>
        </w:rPr>
      </w:pPr>
      <w:r w:rsidRPr="00A450B7">
        <w:rPr>
          <w:rFonts w:ascii="Times New Roman" w:hAnsi="Times New Roman"/>
        </w:rPr>
        <w:t>зависимость от международной валюты, разница в курсах национальной и международной валюты.</w:t>
      </w:r>
    </w:p>
    <w:p w14:paraId="7260D650"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Наличие качественной продукции, имеющей спрос на рынке как локальном, так и международном, надежные поставщики и правильное планирование должны иметь место в разработке экспортного потенциала.</w:t>
      </w:r>
    </w:p>
    <w:p w14:paraId="70F3FF6A"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Что же касается факторов производительности и реализации экспортного капитала, то они, непосредственно, оказывают влияние как на производственные сегменты организации, так и на процессы внешней политики. Сами факторы эффективности, исходя из статей В. Каца, выглядят следующим образом [2, с. 62]:</w:t>
      </w:r>
    </w:p>
    <w:p w14:paraId="4E1F4FD0" w14:textId="77777777" w:rsidR="00212D0F" w:rsidRPr="00A450B7" w:rsidRDefault="00212D0F" w:rsidP="00212D0F">
      <w:pPr>
        <w:pStyle w:val="a7"/>
        <w:numPr>
          <w:ilvl w:val="0"/>
          <w:numId w:val="62"/>
        </w:numPr>
        <w:tabs>
          <w:tab w:val="left" w:pos="993"/>
        </w:tabs>
        <w:ind w:left="0" w:right="-1" w:firstLine="709"/>
        <w:contextualSpacing w:val="0"/>
        <w:jc w:val="both"/>
        <w:rPr>
          <w:rFonts w:ascii="Times New Roman" w:hAnsi="Times New Roman"/>
        </w:rPr>
      </w:pPr>
      <w:r w:rsidRPr="00A450B7">
        <w:rPr>
          <w:rFonts w:ascii="Times New Roman" w:hAnsi="Times New Roman"/>
        </w:rPr>
        <w:t>ведение деятельности в пределах особых экономических зон. Благоприятные условия, предоставленные в рамках режима данного сектора экономики, способствуют развитию и совершенствованию производственных мощностей, качеству выпускаемой продукции, а также повышают уровень организации как звена внешнеэкономической деятельности находящихся в них организаций;</w:t>
      </w:r>
    </w:p>
    <w:p w14:paraId="21535434" w14:textId="77777777" w:rsidR="00212D0F" w:rsidRPr="00A450B7" w:rsidRDefault="00212D0F" w:rsidP="00212D0F">
      <w:pPr>
        <w:pStyle w:val="a7"/>
        <w:numPr>
          <w:ilvl w:val="0"/>
          <w:numId w:val="63"/>
        </w:numPr>
        <w:tabs>
          <w:tab w:val="left" w:pos="993"/>
        </w:tabs>
        <w:ind w:left="0" w:right="-1" w:firstLine="709"/>
        <w:contextualSpacing w:val="0"/>
        <w:jc w:val="both"/>
        <w:rPr>
          <w:rFonts w:ascii="Times New Roman" w:hAnsi="Times New Roman"/>
        </w:rPr>
      </w:pPr>
      <w:r w:rsidRPr="00A450B7">
        <w:rPr>
          <w:rFonts w:ascii="Times New Roman" w:hAnsi="Times New Roman"/>
        </w:rPr>
        <w:t>кооперация организаций. Зачастую, уровень локальных организаций не соответствует международным требованиям, что приводит к необходимости объединения нескольких компаний. Данный ход позволяет получать на выходе более качественные и конкурентоспособные для международного рынка продукты;</w:t>
      </w:r>
    </w:p>
    <w:p w14:paraId="6412E5C4" w14:textId="77777777" w:rsidR="00212D0F" w:rsidRPr="00A450B7" w:rsidRDefault="00212D0F" w:rsidP="00212D0F">
      <w:pPr>
        <w:pStyle w:val="a7"/>
        <w:numPr>
          <w:ilvl w:val="0"/>
          <w:numId w:val="64"/>
        </w:numPr>
        <w:tabs>
          <w:tab w:val="left" w:pos="993"/>
        </w:tabs>
        <w:ind w:left="0" w:right="-1" w:firstLine="709"/>
        <w:contextualSpacing w:val="0"/>
        <w:jc w:val="both"/>
        <w:rPr>
          <w:rFonts w:ascii="Times New Roman" w:hAnsi="Times New Roman"/>
        </w:rPr>
      </w:pPr>
      <w:r w:rsidRPr="00A450B7">
        <w:rPr>
          <w:rFonts w:ascii="Times New Roman" w:hAnsi="Times New Roman"/>
        </w:rPr>
        <w:t xml:space="preserve">государственное регулирование. Поддержка государства предприятий, ведущих экспортную деятельность в большинстве играет определяющую роль в становлении компании как сегмента внешнеэкономической деятельности. Малый и средний бизнес, направленный на промышленный комплекс является перспективным вариантом развития </w:t>
      </w:r>
      <w:r w:rsidRPr="00A450B7">
        <w:rPr>
          <w:rFonts w:ascii="Times New Roman" w:hAnsi="Times New Roman"/>
        </w:rPr>
        <w:lastRenderedPageBreak/>
        <w:t>внешнеэкономической деятельности, поэтому государство старается поддерживать такой вид деятельности путем выделения субсидий и остальных видов финансовой поддержки;</w:t>
      </w:r>
    </w:p>
    <w:p w14:paraId="2F501D24" w14:textId="77777777" w:rsidR="00212D0F" w:rsidRPr="00A450B7" w:rsidRDefault="00212D0F" w:rsidP="00212D0F">
      <w:pPr>
        <w:pStyle w:val="a7"/>
        <w:numPr>
          <w:ilvl w:val="0"/>
          <w:numId w:val="64"/>
        </w:numPr>
        <w:tabs>
          <w:tab w:val="left" w:pos="993"/>
        </w:tabs>
        <w:ind w:left="0" w:right="-1" w:firstLine="709"/>
        <w:contextualSpacing w:val="0"/>
        <w:jc w:val="both"/>
        <w:rPr>
          <w:rFonts w:ascii="Times New Roman" w:hAnsi="Times New Roman"/>
        </w:rPr>
      </w:pPr>
      <w:r w:rsidRPr="00A450B7">
        <w:rPr>
          <w:rFonts w:ascii="Times New Roman" w:hAnsi="Times New Roman"/>
        </w:rPr>
        <w:t>международные рекламные кампании. Играют важную роль в становлении бренда известным и узнаваемым на мировых рынках.</w:t>
      </w:r>
    </w:p>
    <w:p w14:paraId="23CA1E0A" w14:textId="77777777" w:rsidR="00212D0F" w:rsidRPr="00A450B7" w:rsidRDefault="00212D0F" w:rsidP="00212D0F">
      <w:pPr>
        <w:tabs>
          <w:tab w:val="left" w:pos="709"/>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В данной статье особое внимание стоит уделить такому фактору производительности и реализации экспортного потенциала, как государственная поддержка предприятий, которые стремятся выйти на международный рынок. Государственная поддержка такого рода сильно увеличивает шансы предприятий на успешную экспортную деятельность.</w:t>
      </w:r>
    </w:p>
    <w:p w14:paraId="44FE09BB" w14:textId="77777777" w:rsidR="00212D0F" w:rsidRPr="00A450B7" w:rsidRDefault="00212D0F" w:rsidP="00212D0F">
      <w:pPr>
        <w:tabs>
          <w:tab w:val="left" w:pos="709"/>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Для подтверждения такого вывода предлагаю рассмотреть успешные примеры реализации данного фактора в зарубежных и отечественных практиках.</w:t>
      </w:r>
    </w:p>
    <w:p w14:paraId="7F7E82B5"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Pr>
          <w:rFonts w:ascii="Times New Roman" w:hAnsi="Times New Roman"/>
          <w:sz w:val="24"/>
          <w:szCs w:val="24"/>
        </w:rPr>
        <w:t>У</w:t>
      </w:r>
      <w:r w:rsidRPr="00A450B7">
        <w:rPr>
          <w:rFonts w:ascii="Times New Roman" w:hAnsi="Times New Roman"/>
          <w:sz w:val="24"/>
          <w:szCs w:val="24"/>
        </w:rPr>
        <w:t>спешным иностранным примером повышения экспортного капитала предприятий смело можно считать политику государственной поддержки в Японии.</w:t>
      </w:r>
    </w:p>
    <w:p w14:paraId="147D8393"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Министерство экономики Японии разработало систему развития государственной экономики, направленную на поддержку малого и среднего предпринимательства. В 1999 году «Закон о малом предпринимательстве» потерпел значительные изменения в связи с прорывом в информационных и остальных высоких технологиях, интернационализации рынка и ростом конкуренции. Сектор малого и среднего предпринимательства стал ключевым источником поднятия национальной экономики. Ввиду произошедших изменений, министерством экономики Японии были выделены приоритетные направления поддержки и развития. Ими являлись:</w:t>
      </w:r>
    </w:p>
    <w:p w14:paraId="6F0CD96E" w14:textId="77777777" w:rsidR="00212D0F" w:rsidRPr="00A450B7" w:rsidRDefault="00212D0F" w:rsidP="00212D0F">
      <w:pPr>
        <w:pStyle w:val="a7"/>
        <w:numPr>
          <w:ilvl w:val="0"/>
          <w:numId w:val="66"/>
        </w:numPr>
        <w:tabs>
          <w:tab w:val="left" w:pos="993"/>
        </w:tabs>
        <w:ind w:left="0" w:right="-1" w:firstLine="709"/>
        <w:contextualSpacing w:val="0"/>
        <w:jc w:val="both"/>
        <w:rPr>
          <w:rFonts w:ascii="Times New Roman" w:hAnsi="Times New Roman"/>
        </w:rPr>
      </w:pPr>
      <w:r w:rsidRPr="00A450B7">
        <w:rPr>
          <w:rFonts w:ascii="Times New Roman" w:hAnsi="Times New Roman"/>
        </w:rPr>
        <w:t>венчурные предприятия;</w:t>
      </w:r>
    </w:p>
    <w:p w14:paraId="3222D14D" w14:textId="77777777" w:rsidR="00212D0F" w:rsidRPr="00A450B7" w:rsidRDefault="00212D0F" w:rsidP="00212D0F">
      <w:pPr>
        <w:pStyle w:val="a7"/>
        <w:numPr>
          <w:ilvl w:val="0"/>
          <w:numId w:val="66"/>
        </w:numPr>
        <w:tabs>
          <w:tab w:val="left" w:pos="993"/>
        </w:tabs>
        <w:ind w:left="0" w:right="-1" w:firstLine="709"/>
        <w:contextualSpacing w:val="0"/>
        <w:jc w:val="both"/>
        <w:rPr>
          <w:rFonts w:ascii="Times New Roman" w:hAnsi="Times New Roman"/>
        </w:rPr>
      </w:pPr>
      <w:r w:rsidRPr="00A450B7">
        <w:rPr>
          <w:rFonts w:ascii="Times New Roman" w:hAnsi="Times New Roman"/>
        </w:rPr>
        <w:t>инновационные предприятия;</w:t>
      </w:r>
    </w:p>
    <w:p w14:paraId="5BA6A486"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система управления малых и средних предпринимательств.</w:t>
      </w:r>
    </w:p>
    <w:p w14:paraId="77F2DB34"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Модернизация производственных малых и средних предпринимательств представляла собой увеличение уставного капитала в 3,3 раза. В это же время предприятия в сфере услуг с момента модернизации обязаны были иметь штат сотрудников не менее 100 человек, а уставный капитал необходимо было увеличить в 5 раз.</w:t>
      </w:r>
    </w:p>
    <w:p w14:paraId="592665EC"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В 2001 году правительство страны приняло решении о структурном изменении в министерстве экономики, торговли и промышленности для поддержания высокого темпа развития экономики в связи с колоссальным ростом конкуренции на международном рынке. Изменения данного сегмента организационного аппарата были направлены на повышение экспортного потенциала, что было обусловлено реорганизацией «Агентства малого и среднего предпринимательства». Такие реформы повлекли за собой начало системных изменений в экономической и промышленной политике, дающих потенциал для привлечения ресурсов для приоритетных направлений деятельности, способствующих росту экономики страны.</w:t>
      </w:r>
    </w:p>
    <w:p w14:paraId="75B0822B"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Реорганизация системы поддержки инновационных производств была направлена на коммерциализацию научно-исследовательской сферы с целью продвижения товаров японского производства на международные рынки и завоевания лидерских позиций. Среди научно-исследовательской деятельности также были выделены приоритетные направления:</w:t>
      </w:r>
    </w:p>
    <w:p w14:paraId="29A32646"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изучение окружающей среды;</w:t>
      </w:r>
    </w:p>
    <w:p w14:paraId="4BEDE8E1"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наука о жизненных процессах;</w:t>
      </w:r>
    </w:p>
    <w:p w14:paraId="733E62D4"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здравоохранение и медицина;</w:t>
      </w:r>
    </w:p>
    <w:p w14:paraId="77838D1C"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биотехнологии;</w:t>
      </w:r>
    </w:p>
    <w:p w14:paraId="7A961176"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новые материалы;</w:t>
      </w:r>
    </w:p>
    <w:p w14:paraId="7555E890"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нанотехнологии;</w:t>
      </w:r>
    </w:p>
    <w:p w14:paraId="54CFEF54"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широкополосная коммуникация;</w:t>
      </w:r>
    </w:p>
    <w:p w14:paraId="5805E4D1" w14:textId="77777777" w:rsidR="00212D0F" w:rsidRPr="00A450B7" w:rsidRDefault="00212D0F" w:rsidP="00212D0F">
      <w:pPr>
        <w:pStyle w:val="a7"/>
        <w:numPr>
          <w:ilvl w:val="0"/>
          <w:numId w:val="65"/>
        </w:numPr>
        <w:tabs>
          <w:tab w:val="left" w:pos="993"/>
        </w:tabs>
        <w:ind w:left="0" w:right="-1" w:firstLine="709"/>
        <w:contextualSpacing w:val="0"/>
        <w:jc w:val="both"/>
        <w:rPr>
          <w:rFonts w:ascii="Times New Roman" w:hAnsi="Times New Roman"/>
        </w:rPr>
      </w:pPr>
      <w:r w:rsidRPr="00A450B7">
        <w:rPr>
          <w:rFonts w:ascii="Times New Roman" w:hAnsi="Times New Roman"/>
        </w:rPr>
        <w:t>информационные и прочие высокие технологии.</w:t>
      </w:r>
    </w:p>
    <w:p w14:paraId="76A7F95E"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Посредством увеличения финансирования перспективных малых и средних предпринимательств из государственного бюджета, в течение ближайших трех лет было образовано более 1000 новых инновационных предприятий, а в течение следующих двух лет в 10 раз было увеличено количество патентов</w:t>
      </w:r>
      <w:r w:rsidRPr="002D3AE6">
        <w:rPr>
          <w:rFonts w:ascii="Times New Roman" w:hAnsi="Times New Roman"/>
          <w:sz w:val="24"/>
          <w:szCs w:val="24"/>
        </w:rPr>
        <w:t>[6]</w:t>
      </w:r>
      <w:r w:rsidRPr="00A450B7">
        <w:rPr>
          <w:rFonts w:ascii="Times New Roman" w:hAnsi="Times New Roman"/>
          <w:sz w:val="24"/>
          <w:szCs w:val="24"/>
        </w:rPr>
        <w:t>.</w:t>
      </w:r>
    </w:p>
    <w:p w14:paraId="36C3CD10"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lastRenderedPageBreak/>
        <w:t>Толчком для повышения экспортного потенциала предприятий Японии послужило создание всевозможных частных организаций, исследовательских центров и институтов, общественных организаций, задачей которых являлась мощная и всесторонняя поддержка предприятий, ориентированных на экспорт.</w:t>
      </w:r>
    </w:p>
    <w:p w14:paraId="3CB840D9"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 xml:space="preserve">Совместные усилия правительства, частных и общественных организаций обеспечили поднятие экономики Японии уже к 2003 году, повысив конкурентоспособность местных производств и заняв лидирующие позиции на мировом рынке. А в 2004 году экспорт японских товаров и услуг повысился на 20,3% по сравнению с 2003 годом и составлял $565,15 млрд [3]. </w:t>
      </w:r>
    </w:p>
    <w:p w14:paraId="0D9E262B"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Обращаясь к программам поддержки и повышения экспортного потенциала предприятий в Российской Федерации, можно ясно наблюдать, что государственная поддержка имеет место быть. Примером может послужить правовое регулирование развития малого и среднего бизнеса, основывающееся на Конституции РФ и федеральном законе №209-ФЗ от 6 июля 2007 года «О развитии малого и среднего предпринимательства в Российской Федерации».</w:t>
      </w:r>
    </w:p>
    <w:p w14:paraId="07F30A3C"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 xml:space="preserve">Кроме нормативных актов и законов, существуют различные государственные программы по поддержке малого и среднего предпринимательства в сфере экспорта. Срок действия программ варьируется от 1-го года до 4-х лет, а также в программы включено наличие утвержденного бюджета и конкретные направления финансовой и нефинансовой поддержки предприятий. К примеру, в рамках данных программ предприятие имеет право получить компенсацию на введение новых технологий производства, на затраты маркетингового комплекса, на обновление основных фондов и так далее </w:t>
      </w:r>
      <w:r w:rsidRPr="00A450B7">
        <w:rPr>
          <w:rFonts w:ascii="Times New Roman" w:hAnsi="Times New Roman"/>
          <w:color w:val="000000"/>
          <w:sz w:val="24"/>
          <w:szCs w:val="24"/>
          <w:shd w:val="clear" w:color="auto" w:fill="FFFFFF"/>
        </w:rPr>
        <w:t>[4]</w:t>
      </w:r>
      <w:r w:rsidRPr="00A450B7">
        <w:rPr>
          <w:rFonts w:ascii="Times New Roman" w:hAnsi="Times New Roman"/>
          <w:sz w:val="24"/>
          <w:szCs w:val="24"/>
        </w:rPr>
        <w:t>.</w:t>
      </w:r>
    </w:p>
    <w:p w14:paraId="7EC7B214"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 xml:space="preserve">Инфраструктура поддержки предприятий по повышению экспортного потенциала подразумевает различные льготы, предоставляемые организациями данной инфраструктуры поддержки предприятий </w:t>
      </w:r>
      <w:r w:rsidRPr="00A450B7">
        <w:rPr>
          <w:rFonts w:ascii="Times New Roman" w:hAnsi="Times New Roman"/>
          <w:color w:val="000000"/>
          <w:sz w:val="24"/>
          <w:szCs w:val="24"/>
          <w:shd w:val="clear" w:color="auto" w:fill="FFFFFF"/>
        </w:rPr>
        <w:t>[1, с. 89]</w:t>
      </w:r>
      <w:r w:rsidRPr="00A450B7">
        <w:rPr>
          <w:rFonts w:ascii="Times New Roman" w:hAnsi="Times New Roman"/>
          <w:sz w:val="24"/>
          <w:szCs w:val="24"/>
        </w:rPr>
        <w:t xml:space="preserve">. Инфраструктура включает в себя коммерческие и некоммерческие организации, оказывающих услуги для муниципальных и государственных нужд при реализации всевозможных программ для поддержки малого и среднего предпринимательства. </w:t>
      </w:r>
    </w:p>
    <w:p w14:paraId="5E30D963"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Говоря о возможностях поддержки предприятий, предлагаю рассмотреть в качестве примеров такие организации, как «Опора России», предоставляющую правовую защиту и налаживание контактов с зарубежными партнерами и контрагентами. В этот же список можно включить следующие организации:</w:t>
      </w:r>
    </w:p>
    <w:p w14:paraId="59C1248A"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торгово-промышленные палаты, которые насчитывают 110 представительств на территории РФ и предлагают визовую, арбитражную и правовую поддержку;</w:t>
      </w:r>
    </w:p>
    <w:p w14:paraId="7657DFAE"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государственные и муниципальные фонды поддержки предпринимательства. Данные фонды представлены в 73 регионах страны и оказывают услуги по отбору, экспертизе и финансированию проектов, а также осуществляют контроль использования финансовых ресурсов;</w:t>
      </w:r>
    </w:p>
    <w:p w14:paraId="0FBAD74D"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бизнес-инкубаторы. Таковыми являются организации, позволяющие размещать на своей территории малые предприятия на льготной основе;</w:t>
      </w:r>
    </w:p>
    <w:p w14:paraId="31D99CAB"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фонды содействия кредитованию. Предоставляют гарантию и поручительства в процессе получения кредита на процессы предпринимательской деятельности;</w:t>
      </w:r>
    </w:p>
    <w:p w14:paraId="34651D19"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технопарки, создаваемые на базах ВУЗов с целью повышения научного потенциала самих данных учебных заведений.</w:t>
      </w:r>
    </w:p>
    <w:p w14:paraId="19C5CBE9"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инновационно-технологические центры. Создаются со схожими целями, как и технопарки, однако специализируются по большей степени на трансферах технологий и коммерциализации;</w:t>
      </w:r>
    </w:p>
    <w:p w14:paraId="478D4CEB"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бизнес-школы, обеспечивающие повышение квалификации, переподготовку и комплексную подготовку предпринимателей и персонала;</w:t>
      </w:r>
    </w:p>
    <w:p w14:paraId="3CFA4B2C"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микрофинансовые организации. Коммерческие предприятия, предлагающие микрозаймы;</w:t>
      </w:r>
    </w:p>
    <w:p w14:paraId="25A9DCAE"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lastRenderedPageBreak/>
        <w:t>социально-деловые центры, создающие новые рабочие места для населения через развития малого предпринимательства;</w:t>
      </w:r>
    </w:p>
    <w:p w14:paraId="43267BFD" w14:textId="77777777" w:rsidR="00212D0F" w:rsidRPr="00A450B7" w:rsidRDefault="00212D0F" w:rsidP="00212D0F">
      <w:pPr>
        <w:pStyle w:val="a7"/>
        <w:numPr>
          <w:ilvl w:val="0"/>
          <w:numId w:val="67"/>
        </w:numPr>
        <w:tabs>
          <w:tab w:val="left" w:pos="993"/>
        </w:tabs>
        <w:ind w:left="0" w:right="-1" w:firstLine="709"/>
        <w:contextualSpacing w:val="0"/>
        <w:jc w:val="both"/>
        <w:rPr>
          <w:rFonts w:ascii="Times New Roman" w:hAnsi="Times New Roman"/>
        </w:rPr>
      </w:pPr>
      <w:r w:rsidRPr="00A450B7">
        <w:rPr>
          <w:rFonts w:ascii="Times New Roman" w:hAnsi="Times New Roman"/>
        </w:rPr>
        <w:t>региональные венчурные фонды, инвестирующие свои средства в предприятия, основывающиеся на научно-технической сфере деятельности.</w:t>
      </w:r>
    </w:p>
    <w:p w14:paraId="77C208A6"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 xml:space="preserve">Все вышеперечисленные организации, оказывающие поддержку предпринимательства, ориентированы на комплексную поддержку предпринимательства, безусловно включающую в себя и повышения экспортного потенциала этих предприятий [5]. </w:t>
      </w:r>
    </w:p>
    <w:p w14:paraId="0E7B58BB" w14:textId="77777777" w:rsidR="00212D0F" w:rsidRPr="00A450B7" w:rsidRDefault="00212D0F" w:rsidP="00212D0F">
      <w:pPr>
        <w:tabs>
          <w:tab w:val="left" w:pos="993"/>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Опираясь на приведенные примеры повышения экспортного потенциала организаций, можно смело утверждать, что государственная поддержка предприятий играет колоссальную роль. И более того, тот вклад, который государство привносит в развитие экспортного потенциала предприятий, возвращается ему же в качестве экономического роста всей страны и повышением уровня ВВП.</w:t>
      </w:r>
    </w:p>
    <w:p w14:paraId="4C5DD516" w14:textId="77777777" w:rsidR="00212D0F" w:rsidRDefault="00212D0F" w:rsidP="00212D0F">
      <w:pPr>
        <w:tabs>
          <w:tab w:val="left" w:pos="709"/>
        </w:tabs>
        <w:spacing w:after="0" w:line="240" w:lineRule="auto"/>
        <w:ind w:right="-1" w:firstLine="709"/>
        <w:jc w:val="both"/>
        <w:rPr>
          <w:rFonts w:ascii="Times New Roman" w:hAnsi="Times New Roman"/>
          <w:sz w:val="24"/>
          <w:szCs w:val="24"/>
        </w:rPr>
      </w:pPr>
      <w:r w:rsidRPr="00A450B7">
        <w:rPr>
          <w:rFonts w:ascii="Times New Roman" w:hAnsi="Times New Roman"/>
          <w:sz w:val="24"/>
          <w:szCs w:val="24"/>
        </w:rPr>
        <w:t>Таким образом, невозможно оставить в стороне тот факт, что повышение экспортного потенциала предприятий не только выводит предприятия на новый уровень работы, но и позволяет повысить уровень экономической ситуации во всей стране.</w:t>
      </w:r>
    </w:p>
    <w:p w14:paraId="717AAFBA" w14:textId="77777777" w:rsidR="001973E4" w:rsidRPr="00A450B7" w:rsidRDefault="007014C7" w:rsidP="00212D0F">
      <w:pPr>
        <w:tabs>
          <w:tab w:val="left" w:pos="709"/>
        </w:tabs>
        <w:spacing w:after="0" w:line="240" w:lineRule="auto"/>
        <w:ind w:right="-1" w:firstLine="709"/>
        <w:jc w:val="both"/>
        <w:rPr>
          <w:rFonts w:ascii="Times New Roman" w:hAnsi="Times New Roman"/>
          <w:sz w:val="24"/>
          <w:szCs w:val="24"/>
        </w:rPr>
      </w:pPr>
      <w:r>
        <w:rPr>
          <w:rFonts w:ascii="Times New Roman" w:hAnsi="Times New Roman"/>
          <w:noProof/>
          <w:sz w:val="24"/>
          <w:szCs w:val="24"/>
          <w:lang w:eastAsia="ru-RU"/>
        </w:rPr>
        <w:pict w14:anchorId="039F864F">
          <v:shape id="_x0000_s1223" type="#_x0000_t32" style="position:absolute;left:0;text-align:left;margin-left:-1pt;margin-top:5.95pt;width:319.25pt;height:0;z-index:251738112" o:connectortype="straight"/>
        </w:pict>
      </w:r>
    </w:p>
    <w:p w14:paraId="1F4D6A1E" w14:textId="77777777" w:rsidR="00212D0F" w:rsidRPr="00A450B7" w:rsidRDefault="00212D0F" w:rsidP="00212D0F">
      <w:pPr>
        <w:pStyle w:val="a7"/>
        <w:numPr>
          <w:ilvl w:val="0"/>
          <w:numId w:val="68"/>
        </w:numPr>
        <w:ind w:left="0" w:right="-1" w:firstLine="709"/>
        <w:contextualSpacing w:val="0"/>
        <w:jc w:val="both"/>
        <w:rPr>
          <w:rFonts w:ascii="Times New Roman" w:hAnsi="Times New Roman"/>
          <w:shd w:val="clear" w:color="auto" w:fill="FFFFFF"/>
        </w:rPr>
      </w:pPr>
      <w:r w:rsidRPr="00A450B7">
        <w:rPr>
          <w:rFonts w:ascii="Times New Roman" w:hAnsi="Times New Roman"/>
          <w:shd w:val="clear" w:color="auto" w:fill="FFFFFF"/>
        </w:rPr>
        <w:t>Зайцев H.T. Экономика промышленного предприятия. – М.: ИНФРА-М, 2004. – 438 с.</w:t>
      </w:r>
    </w:p>
    <w:p w14:paraId="062D8B04" w14:textId="77777777" w:rsidR="00212D0F" w:rsidRPr="00A450B7" w:rsidRDefault="00212D0F" w:rsidP="00212D0F">
      <w:pPr>
        <w:pStyle w:val="a7"/>
        <w:numPr>
          <w:ilvl w:val="0"/>
          <w:numId w:val="68"/>
        </w:numPr>
        <w:ind w:left="0" w:right="-1" w:firstLine="709"/>
        <w:contextualSpacing w:val="0"/>
        <w:jc w:val="both"/>
        <w:rPr>
          <w:rFonts w:ascii="Times New Roman" w:hAnsi="Times New Roman"/>
        </w:rPr>
      </w:pPr>
      <w:r w:rsidRPr="00A450B7">
        <w:rPr>
          <w:rFonts w:ascii="Times New Roman" w:hAnsi="Times New Roman"/>
        </w:rPr>
        <w:t xml:space="preserve">Почему не выпускаются отечественные подгузники для детей? [Электронный ресурс]. – Режим доступа: </w:t>
      </w:r>
      <w:hyperlink r:id="rId30" w:history="1">
        <w:r w:rsidRPr="00A450B7">
          <w:rPr>
            <w:rStyle w:val="a4"/>
            <w:rFonts w:ascii="Times New Roman" w:hAnsi="Times New Roman"/>
          </w:rPr>
          <w:t>http://www.rattanpr.ru/pochemu-ne-vypuskayutsya-otechestvennye-podguzniki-dlya-detey</w:t>
        </w:r>
      </w:hyperlink>
      <w:r w:rsidRPr="00A450B7">
        <w:rPr>
          <w:rFonts w:ascii="Times New Roman" w:hAnsi="Times New Roman"/>
        </w:rPr>
        <w:t>.</w:t>
      </w:r>
    </w:p>
    <w:p w14:paraId="55F30B42" w14:textId="77777777" w:rsidR="00212D0F" w:rsidRPr="00A450B7" w:rsidRDefault="00212D0F" w:rsidP="00212D0F">
      <w:pPr>
        <w:pStyle w:val="a7"/>
        <w:numPr>
          <w:ilvl w:val="0"/>
          <w:numId w:val="68"/>
        </w:numPr>
        <w:ind w:left="0" w:right="-1" w:firstLine="709"/>
        <w:contextualSpacing w:val="0"/>
        <w:jc w:val="both"/>
        <w:rPr>
          <w:rFonts w:ascii="Times New Roman" w:hAnsi="Times New Roman"/>
        </w:rPr>
      </w:pPr>
      <w:r w:rsidRPr="00A450B7">
        <w:rPr>
          <w:rFonts w:ascii="Times New Roman" w:hAnsi="Times New Roman"/>
        </w:rPr>
        <w:t xml:space="preserve">Опыт зарубежных стран в развитии конкурентоспособного экспортно-ориентированного малого и среднего предпринимательства: мат. Шестой Всерос. конф. Представителей малых предприятий, Москва, 26 апреля 2005 г. [Электронный ресурс] // Внешнеэкономическая деятельность. – Режим доступа: </w:t>
      </w:r>
      <w:r w:rsidRPr="00A450B7">
        <w:rPr>
          <w:rFonts w:ascii="Times New Roman" w:hAnsi="Times New Roman"/>
          <w:lang w:val="en-US"/>
        </w:rPr>
        <w:t>http</w:t>
      </w:r>
      <w:r w:rsidRPr="00A450B7">
        <w:rPr>
          <w:rFonts w:ascii="Times New Roman" w:hAnsi="Times New Roman"/>
        </w:rPr>
        <w:t>://</w:t>
      </w:r>
      <w:r w:rsidRPr="00A450B7">
        <w:rPr>
          <w:rFonts w:ascii="Times New Roman" w:hAnsi="Times New Roman"/>
          <w:lang w:val="en-US"/>
        </w:rPr>
        <w:t>www</w:t>
      </w:r>
      <w:r w:rsidRPr="00A450B7">
        <w:rPr>
          <w:rFonts w:ascii="Times New Roman" w:hAnsi="Times New Roman"/>
        </w:rPr>
        <w:t>.</w:t>
      </w:r>
      <w:r w:rsidRPr="00A450B7">
        <w:rPr>
          <w:rFonts w:ascii="Times New Roman" w:hAnsi="Times New Roman"/>
          <w:lang w:val="en-US"/>
        </w:rPr>
        <w:t>vneshmarket</w:t>
      </w:r>
      <w:r w:rsidRPr="00A450B7">
        <w:rPr>
          <w:rFonts w:ascii="Times New Roman" w:hAnsi="Times New Roman"/>
        </w:rPr>
        <w:t>.</w:t>
      </w:r>
      <w:r w:rsidRPr="00A450B7">
        <w:rPr>
          <w:rFonts w:ascii="Times New Roman" w:hAnsi="Times New Roman"/>
          <w:lang w:val="en-US"/>
        </w:rPr>
        <w:t>ru</w:t>
      </w:r>
      <w:r w:rsidRPr="00A450B7">
        <w:rPr>
          <w:rFonts w:ascii="Times New Roman" w:hAnsi="Times New Roman"/>
        </w:rPr>
        <w:t>/</w:t>
      </w:r>
      <w:r w:rsidRPr="00A450B7">
        <w:rPr>
          <w:rFonts w:ascii="Times New Roman" w:hAnsi="Times New Roman"/>
          <w:lang w:val="en-US"/>
        </w:rPr>
        <w:t>content</w:t>
      </w:r>
      <w:r w:rsidRPr="00A450B7">
        <w:rPr>
          <w:rFonts w:ascii="Times New Roman" w:hAnsi="Times New Roman"/>
        </w:rPr>
        <w:t>/</w:t>
      </w:r>
      <w:r w:rsidRPr="00A450B7">
        <w:rPr>
          <w:rFonts w:ascii="Times New Roman" w:hAnsi="Times New Roman"/>
          <w:lang w:val="en-US"/>
        </w:rPr>
        <w:t>document</w:t>
      </w:r>
      <w:r w:rsidRPr="00A450B7">
        <w:rPr>
          <w:rFonts w:ascii="Times New Roman" w:hAnsi="Times New Roman"/>
        </w:rPr>
        <w:t>_</w:t>
      </w:r>
      <w:r w:rsidRPr="00A450B7">
        <w:rPr>
          <w:rFonts w:ascii="Times New Roman" w:hAnsi="Times New Roman"/>
          <w:lang w:val="en-US"/>
        </w:rPr>
        <w:t>r</w:t>
      </w:r>
      <w:r w:rsidRPr="00A450B7">
        <w:rPr>
          <w:rFonts w:ascii="Times New Roman" w:hAnsi="Times New Roman"/>
        </w:rPr>
        <w:t>_</w:t>
      </w:r>
      <w:r w:rsidRPr="00A450B7">
        <w:rPr>
          <w:rFonts w:ascii="Times New Roman" w:hAnsi="Times New Roman"/>
          <w:lang w:val="en-US"/>
        </w:rPr>
        <w:t>E</w:t>
      </w:r>
      <w:r w:rsidRPr="00A450B7">
        <w:rPr>
          <w:rFonts w:ascii="Times New Roman" w:hAnsi="Times New Roman"/>
        </w:rPr>
        <w:t>5</w:t>
      </w:r>
      <w:r w:rsidRPr="00A450B7">
        <w:rPr>
          <w:rFonts w:ascii="Times New Roman" w:hAnsi="Times New Roman"/>
          <w:lang w:val="en-US"/>
        </w:rPr>
        <w:t>F</w:t>
      </w:r>
      <w:r w:rsidRPr="00A450B7">
        <w:rPr>
          <w:rFonts w:ascii="Times New Roman" w:hAnsi="Times New Roman"/>
        </w:rPr>
        <w:t>0</w:t>
      </w:r>
      <w:r w:rsidRPr="00A450B7">
        <w:rPr>
          <w:rFonts w:ascii="Times New Roman" w:hAnsi="Times New Roman"/>
          <w:lang w:val="en-US"/>
        </w:rPr>
        <w:t>CC</w:t>
      </w:r>
      <w:r w:rsidRPr="00A450B7">
        <w:rPr>
          <w:rFonts w:ascii="Times New Roman" w:hAnsi="Times New Roman"/>
        </w:rPr>
        <w:t>3</w:t>
      </w:r>
      <w:r w:rsidRPr="00A450B7">
        <w:rPr>
          <w:rFonts w:ascii="Times New Roman" w:hAnsi="Times New Roman"/>
          <w:lang w:val="en-US"/>
        </w:rPr>
        <w:t>E</w:t>
      </w:r>
      <w:r w:rsidRPr="00A450B7">
        <w:rPr>
          <w:rFonts w:ascii="Times New Roman" w:hAnsi="Times New Roman"/>
        </w:rPr>
        <w:t>-98</w:t>
      </w:r>
      <w:r w:rsidRPr="00A450B7">
        <w:rPr>
          <w:rFonts w:ascii="Times New Roman" w:hAnsi="Times New Roman"/>
          <w:lang w:val="en-US"/>
        </w:rPr>
        <w:t>AF</w:t>
      </w:r>
      <w:r w:rsidRPr="00A450B7">
        <w:rPr>
          <w:rFonts w:ascii="Times New Roman" w:hAnsi="Times New Roman"/>
        </w:rPr>
        <w:t>-4</w:t>
      </w:r>
      <w:r w:rsidRPr="00A450B7">
        <w:rPr>
          <w:rFonts w:ascii="Times New Roman" w:hAnsi="Times New Roman"/>
          <w:lang w:val="en-US"/>
        </w:rPr>
        <w:t>DC</w:t>
      </w:r>
      <w:r w:rsidRPr="00A450B7">
        <w:rPr>
          <w:rFonts w:ascii="Times New Roman" w:hAnsi="Times New Roman"/>
        </w:rPr>
        <w:t>6-87</w:t>
      </w:r>
      <w:r w:rsidRPr="00A450B7">
        <w:rPr>
          <w:rFonts w:ascii="Times New Roman" w:hAnsi="Times New Roman"/>
          <w:lang w:val="en-US"/>
        </w:rPr>
        <w:t>B</w:t>
      </w:r>
      <w:r w:rsidRPr="00A450B7">
        <w:rPr>
          <w:rFonts w:ascii="Times New Roman" w:hAnsi="Times New Roman"/>
        </w:rPr>
        <w:t>0-</w:t>
      </w:r>
      <w:r w:rsidRPr="00A450B7">
        <w:rPr>
          <w:rFonts w:ascii="Times New Roman" w:hAnsi="Times New Roman"/>
          <w:lang w:val="en-US"/>
        </w:rPr>
        <w:t>FF</w:t>
      </w:r>
      <w:r w:rsidRPr="00A450B7">
        <w:rPr>
          <w:rFonts w:ascii="Times New Roman" w:hAnsi="Times New Roman"/>
        </w:rPr>
        <w:t>96</w:t>
      </w:r>
      <w:r w:rsidRPr="00A450B7">
        <w:rPr>
          <w:rFonts w:ascii="Times New Roman" w:hAnsi="Times New Roman"/>
          <w:lang w:val="en-US"/>
        </w:rPr>
        <w:t>C</w:t>
      </w:r>
      <w:r w:rsidRPr="00A450B7">
        <w:rPr>
          <w:rFonts w:ascii="Times New Roman" w:hAnsi="Times New Roman"/>
        </w:rPr>
        <w:t>8</w:t>
      </w:r>
      <w:r w:rsidRPr="00A450B7">
        <w:rPr>
          <w:rFonts w:ascii="Times New Roman" w:hAnsi="Times New Roman"/>
          <w:lang w:val="en-US"/>
        </w:rPr>
        <w:t>D</w:t>
      </w:r>
      <w:r w:rsidRPr="00A450B7">
        <w:rPr>
          <w:rFonts w:ascii="Times New Roman" w:hAnsi="Times New Roman"/>
        </w:rPr>
        <w:t>9</w:t>
      </w:r>
      <w:r w:rsidRPr="00A450B7">
        <w:rPr>
          <w:rFonts w:ascii="Times New Roman" w:hAnsi="Times New Roman"/>
          <w:lang w:val="en-US"/>
        </w:rPr>
        <w:t>DFE</w:t>
      </w:r>
      <w:r w:rsidRPr="00A450B7">
        <w:rPr>
          <w:rFonts w:ascii="Times New Roman" w:hAnsi="Times New Roman"/>
        </w:rPr>
        <w:t>2.</w:t>
      </w:r>
      <w:r w:rsidRPr="00A450B7">
        <w:rPr>
          <w:rFonts w:ascii="Times New Roman" w:hAnsi="Times New Roman"/>
          <w:lang w:val="en-US"/>
        </w:rPr>
        <w:t>html</w:t>
      </w:r>
      <w:r w:rsidRPr="00A450B7">
        <w:rPr>
          <w:rFonts w:ascii="Times New Roman" w:hAnsi="Times New Roman"/>
        </w:rPr>
        <w:t>.</w:t>
      </w:r>
    </w:p>
    <w:p w14:paraId="0071FED3" w14:textId="77777777" w:rsidR="00212D0F" w:rsidRPr="00A450B7" w:rsidRDefault="00212D0F" w:rsidP="00212D0F">
      <w:pPr>
        <w:pStyle w:val="a7"/>
        <w:numPr>
          <w:ilvl w:val="0"/>
          <w:numId w:val="68"/>
        </w:numPr>
        <w:ind w:left="0" w:right="-1" w:firstLine="709"/>
        <w:contextualSpacing w:val="0"/>
        <w:jc w:val="both"/>
        <w:rPr>
          <w:rFonts w:ascii="Times New Roman" w:hAnsi="Times New Roman"/>
        </w:rPr>
      </w:pPr>
      <w:r w:rsidRPr="00A450B7">
        <w:rPr>
          <w:rFonts w:ascii="Times New Roman" w:hAnsi="Times New Roman"/>
        </w:rPr>
        <w:t xml:space="preserve">Корпорация развития Дальнего Востока [Электронный ресурс]. – Режим доступа: </w:t>
      </w:r>
      <w:r w:rsidRPr="001973E4">
        <w:rPr>
          <w:rFonts w:ascii="Times New Roman" w:hAnsi="Times New Roman"/>
        </w:rPr>
        <w:t>http://www.erdc.ru</w:t>
      </w:r>
    </w:p>
    <w:p w14:paraId="2768DFF8" w14:textId="77777777" w:rsidR="00212D0F" w:rsidRPr="00A450B7" w:rsidRDefault="00212D0F" w:rsidP="00212D0F">
      <w:pPr>
        <w:pStyle w:val="a7"/>
        <w:numPr>
          <w:ilvl w:val="0"/>
          <w:numId w:val="68"/>
        </w:numPr>
        <w:ind w:left="0" w:right="-1" w:firstLine="709"/>
        <w:contextualSpacing w:val="0"/>
        <w:jc w:val="both"/>
        <w:rPr>
          <w:rFonts w:ascii="Times New Roman" w:hAnsi="Times New Roman"/>
        </w:rPr>
      </w:pPr>
      <w:r w:rsidRPr="00A450B7">
        <w:rPr>
          <w:rFonts w:ascii="Times New Roman" w:hAnsi="Times New Roman"/>
        </w:rPr>
        <w:t xml:space="preserve">Возможности государственной поддержки для малого и среднего бизнеса в России [Электронный ресурс] // ОПОРА-КРЕДИТ: всё о предпринимательстве. – Режим доступа: </w:t>
      </w:r>
      <w:r w:rsidRPr="001973E4">
        <w:rPr>
          <w:rFonts w:ascii="Times New Roman" w:hAnsi="Times New Roman"/>
          <w:lang w:val="en-US"/>
        </w:rPr>
        <w:t>http</w:t>
      </w:r>
      <w:r w:rsidRPr="001973E4">
        <w:rPr>
          <w:rFonts w:ascii="Times New Roman" w:hAnsi="Times New Roman"/>
        </w:rPr>
        <w:t>://</w:t>
      </w:r>
      <w:r w:rsidRPr="001973E4">
        <w:rPr>
          <w:rFonts w:ascii="Times New Roman" w:hAnsi="Times New Roman"/>
          <w:lang w:val="en-US"/>
        </w:rPr>
        <w:t>www</w:t>
      </w:r>
      <w:r w:rsidRPr="001973E4">
        <w:rPr>
          <w:rFonts w:ascii="Times New Roman" w:hAnsi="Times New Roman"/>
        </w:rPr>
        <w:t>.</w:t>
      </w:r>
      <w:r w:rsidRPr="001973E4">
        <w:rPr>
          <w:rFonts w:ascii="Times New Roman" w:hAnsi="Times New Roman"/>
          <w:lang w:val="en-US"/>
        </w:rPr>
        <w:t>opora</w:t>
      </w:r>
      <w:r w:rsidRPr="001973E4">
        <w:rPr>
          <w:rFonts w:ascii="Times New Roman" w:hAnsi="Times New Roman"/>
        </w:rPr>
        <w:t>-</w:t>
      </w:r>
      <w:r w:rsidRPr="001973E4">
        <w:rPr>
          <w:rFonts w:ascii="Times New Roman" w:hAnsi="Times New Roman"/>
          <w:lang w:val="en-US"/>
        </w:rPr>
        <w:t>credit</w:t>
      </w:r>
      <w:r w:rsidRPr="001973E4">
        <w:rPr>
          <w:rFonts w:ascii="Times New Roman" w:hAnsi="Times New Roman"/>
        </w:rPr>
        <w:t>.</w:t>
      </w:r>
      <w:r w:rsidRPr="001973E4">
        <w:rPr>
          <w:rFonts w:ascii="Times New Roman" w:hAnsi="Times New Roman"/>
          <w:lang w:val="en-US"/>
        </w:rPr>
        <w:t>ru</w:t>
      </w:r>
      <w:r w:rsidRPr="001973E4">
        <w:rPr>
          <w:rFonts w:ascii="Times New Roman" w:hAnsi="Times New Roman"/>
        </w:rPr>
        <w:t>/</w:t>
      </w:r>
      <w:r w:rsidRPr="001973E4">
        <w:rPr>
          <w:rFonts w:ascii="Times New Roman" w:hAnsi="Times New Roman"/>
          <w:lang w:val="en-US"/>
        </w:rPr>
        <w:t>programs</w:t>
      </w:r>
      <w:r w:rsidRPr="001973E4">
        <w:rPr>
          <w:rFonts w:ascii="Times New Roman" w:hAnsi="Times New Roman"/>
        </w:rPr>
        <w:t>/</w:t>
      </w:r>
      <w:r w:rsidRPr="001973E4">
        <w:rPr>
          <w:rFonts w:ascii="Times New Roman" w:hAnsi="Times New Roman"/>
          <w:lang w:val="en-US"/>
        </w:rPr>
        <w:t>goshelp</w:t>
      </w:r>
      <w:r w:rsidRPr="001973E4">
        <w:rPr>
          <w:rFonts w:ascii="Times New Roman" w:hAnsi="Times New Roman"/>
        </w:rPr>
        <w:t>/</w:t>
      </w:r>
      <w:r w:rsidRPr="001973E4">
        <w:rPr>
          <w:rFonts w:ascii="Times New Roman" w:hAnsi="Times New Roman"/>
          <w:lang w:val="en-US"/>
        </w:rPr>
        <w:t>detail</w:t>
      </w:r>
      <w:r w:rsidRPr="001973E4">
        <w:rPr>
          <w:rFonts w:ascii="Times New Roman" w:hAnsi="Times New Roman"/>
        </w:rPr>
        <w:t>.</w:t>
      </w:r>
      <w:r w:rsidRPr="001973E4">
        <w:rPr>
          <w:rFonts w:ascii="Times New Roman" w:hAnsi="Times New Roman"/>
          <w:lang w:val="en-US"/>
        </w:rPr>
        <w:t>php</w:t>
      </w:r>
      <w:r w:rsidRPr="001973E4">
        <w:rPr>
          <w:rFonts w:ascii="Times New Roman" w:hAnsi="Times New Roman"/>
        </w:rPr>
        <w:t>?</w:t>
      </w:r>
      <w:r w:rsidRPr="001973E4">
        <w:rPr>
          <w:rFonts w:ascii="Times New Roman" w:hAnsi="Times New Roman"/>
          <w:lang w:val="en-US"/>
        </w:rPr>
        <w:t>ID</w:t>
      </w:r>
      <w:r w:rsidRPr="001973E4">
        <w:rPr>
          <w:rFonts w:ascii="Times New Roman" w:hAnsi="Times New Roman"/>
        </w:rPr>
        <w:t>=17810</w:t>
      </w:r>
      <w:r w:rsidRPr="00A450B7">
        <w:rPr>
          <w:rFonts w:ascii="Times New Roman" w:hAnsi="Times New Roman"/>
        </w:rPr>
        <w:t>.</w:t>
      </w:r>
    </w:p>
    <w:p w14:paraId="0DBCD90D" w14:textId="77777777" w:rsidR="00212D0F" w:rsidRPr="00A450B7" w:rsidRDefault="00212D0F" w:rsidP="00212D0F">
      <w:pPr>
        <w:pStyle w:val="a7"/>
        <w:numPr>
          <w:ilvl w:val="0"/>
          <w:numId w:val="68"/>
        </w:numPr>
        <w:ind w:left="0" w:right="-1" w:firstLine="709"/>
        <w:contextualSpacing w:val="0"/>
        <w:jc w:val="both"/>
        <w:rPr>
          <w:rFonts w:ascii="Times New Roman" w:hAnsi="Times New Roman"/>
        </w:rPr>
      </w:pPr>
      <w:r w:rsidRPr="00A450B7">
        <w:rPr>
          <w:rFonts w:ascii="Times New Roman" w:hAnsi="Times New Roman"/>
        </w:rPr>
        <w:t>Ворожбит О.Ю., Даниловских Т.Е., Кузьмичева И.А., Уксуменко А.А. Человеческий капитал организации в разрезе стоимости бизнеса: монография / О.Ю. Ворожбит, Т.Е. Даниловских, И.А. Кузьмичева, А.А. Уксуменко. – М.:РИОР: ИНФРА-М, 2018. – (Научная мысль). – 149 с.</w:t>
      </w:r>
    </w:p>
    <w:p w14:paraId="56EE48EE" w14:textId="77777777" w:rsidR="00212D0F" w:rsidRPr="00A450B7" w:rsidRDefault="00212D0F" w:rsidP="00212D0F">
      <w:pPr>
        <w:spacing w:line="240" w:lineRule="auto"/>
        <w:ind w:left="1134" w:right="1134" w:firstLine="709"/>
        <w:jc w:val="both"/>
        <w:rPr>
          <w:rFonts w:ascii="Times New Roman" w:hAnsi="Times New Roman"/>
          <w:sz w:val="24"/>
          <w:szCs w:val="24"/>
        </w:rPr>
      </w:pPr>
    </w:p>
    <w:p w14:paraId="18AF89BC" w14:textId="77777777" w:rsidR="00202D58" w:rsidRPr="001973E4" w:rsidRDefault="00202D58" w:rsidP="00202D58">
      <w:pPr>
        <w:keepNext/>
        <w:spacing w:before="120" w:after="120" w:line="240" w:lineRule="auto"/>
        <w:outlineLvl w:val="3"/>
        <w:rPr>
          <w:rFonts w:ascii="Times New Roman" w:eastAsia="Calibri" w:hAnsi="Times New Roman" w:cs="Times New Roman"/>
          <w:b/>
          <w:bCs/>
          <w:sz w:val="24"/>
          <w:szCs w:val="24"/>
        </w:rPr>
      </w:pPr>
      <w:r w:rsidRPr="001973E4">
        <w:rPr>
          <w:rFonts w:ascii="Times New Roman" w:eastAsia="Calibri" w:hAnsi="Times New Roman" w:cs="Times New Roman"/>
          <w:b/>
          <w:bCs/>
          <w:sz w:val="24"/>
          <w:szCs w:val="24"/>
        </w:rPr>
        <w:t>Рубрика</w:t>
      </w:r>
      <w:r w:rsidR="003D7553" w:rsidRPr="001973E4">
        <w:rPr>
          <w:rFonts w:ascii="Times New Roman" w:eastAsia="Calibri" w:hAnsi="Times New Roman" w:cs="Times New Roman"/>
          <w:b/>
          <w:bCs/>
          <w:sz w:val="24"/>
          <w:szCs w:val="24"/>
        </w:rPr>
        <w:t>:</w:t>
      </w:r>
      <w:r w:rsidRPr="001973E4">
        <w:rPr>
          <w:rFonts w:ascii="Times New Roman" w:eastAsia="Calibri" w:hAnsi="Times New Roman" w:cs="Times New Roman"/>
          <w:b/>
          <w:bCs/>
          <w:sz w:val="24"/>
          <w:szCs w:val="24"/>
        </w:rPr>
        <w:t xml:space="preserve"> Внешнеторговые отношения</w:t>
      </w:r>
    </w:p>
    <w:p w14:paraId="3D624A7B" w14:textId="77777777" w:rsidR="00202D58" w:rsidRPr="003D7553" w:rsidRDefault="00202D58" w:rsidP="00202D58">
      <w:pPr>
        <w:spacing w:after="0" w:line="240" w:lineRule="auto"/>
        <w:jc w:val="both"/>
        <w:rPr>
          <w:rFonts w:ascii="Times New Roman" w:eastAsia="Calibri" w:hAnsi="Times New Roman" w:cs="Times New Roman"/>
          <w:sz w:val="24"/>
          <w:szCs w:val="24"/>
        </w:rPr>
      </w:pPr>
      <w:r w:rsidRPr="003D7553">
        <w:rPr>
          <w:rFonts w:ascii="Times New Roman" w:eastAsia="Calibri" w:hAnsi="Times New Roman" w:cs="Times New Roman"/>
          <w:sz w:val="24"/>
          <w:szCs w:val="24"/>
        </w:rPr>
        <w:t>УДК 339.56</w:t>
      </w:r>
    </w:p>
    <w:p w14:paraId="19859324" w14:textId="77777777" w:rsidR="00202D58" w:rsidRPr="003D7553" w:rsidRDefault="00202D58" w:rsidP="00202D58">
      <w:pPr>
        <w:keepNext/>
        <w:spacing w:before="240" w:after="240" w:line="240" w:lineRule="auto"/>
        <w:jc w:val="center"/>
        <w:outlineLvl w:val="0"/>
        <w:rPr>
          <w:rFonts w:ascii="Times New Roman" w:eastAsia="Times New Roman" w:hAnsi="Times New Roman" w:cs="Times New Roman"/>
          <w:b/>
          <w:bCs/>
          <w:caps/>
          <w:kern w:val="28"/>
          <w:sz w:val="24"/>
          <w:szCs w:val="24"/>
        </w:rPr>
      </w:pPr>
      <w:r w:rsidRPr="003D7553">
        <w:rPr>
          <w:rFonts w:ascii="Times New Roman" w:eastAsia="Times New Roman" w:hAnsi="Times New Roman" w:cs="Times New Roman"/>
          <w:b/>
          <w:bCs/>
          <w:caps/>
          <w:kern w:val="28"/>
          <w:sz w:val="24"/>
          <w:szCs w:val="24"/>
        </w:rPr>
        <w:t>К вопросу эволюции понятия внешнеэкономического потенциала</w:t>
      </w:r>
    </w:p>
    <w:p w14:paraId="618C280B" w14:textId="77777777" w:rsidR="00202D58" w:rsidRPr="003D7553" w:rsidRDefault="00202D58" w:rsidP="00202D58">
      <w:pPr>
        <w:widowControl w:val="0"/>
        <w:autoSpaceDE w:val="0"/>
        <w:autoSpaceDN w:val="0"/>
        <w:adjustRightInd w:val="0"/>
        <w:spacing w:after="0" w:line="240" w:lineRule="auto"/>
        <w:ind w:firstLine="709"/>
        <w:jc w:val="center"/>
        <w:rPr>
          <w:rFonts w:ascii="Times New Roman" w:eastAsia="Calibri" w:hAnsi="Times New Roman" w:cs="Times New Roman"/>
          <w:b/>
          <w:bCs/>
          <w:sz w:val="24"/>
          <w:szCs w:val="24"/>
          <w:lang w:eastAsia="ru-RU"/>
        </w:rPr>
      </w:pPr>
      <w:r w:rsidRPr="003D7553">
        <w:rPr>
          <w:rFonts w:ascii="Times New Roman" w:eastAsia="Calibri" w:hAnsi="Times New Roman" w:cs="Times New Roman"/>
          <w:b/>
          <w:bCs/>
          <w:sz w:val="24"/>
          <w:szCs w:val="24"/>
          <w:lang w:eastAsia="ru-RU"/>
        </w:rPr>
        <w:t>Мельков Сергей Александрович,</w:t>
      </w:r>
    </w:p>
    <w:p w14:paraId="02D20743" w14:textId="77777777" w:rsidR="00202D58" w:rsidRPr="003D7553" w:rsidRDefault="00202D58" w:rsidP="00202D58">
      <w:pPr>
        <w:widowControl w:val="0"/>
        <w:autoSpaceDE w:val="0"/>
        <w:autoSpaceDN w:val="0"/>
        <w:adjustRightInd w:val="0"/>
        <w:spacing w:line="240" w:lineRule="auto"/>
        <w:ind w:firstLine="709"/>
        <w:jc w:val="center"/>
        <w:rPr>
          <w:rFonts w:ascii="Times New Roman" w:eastAsia="Calibri" w:hAnsi="Times New Roman" w:cs="Times New Roman"/>
          <w:bCs/>
          <w:sz w:val="24"/>
          <w:szCs w:val="24"/>
          <w:lang w:eastAsia="ru-RU"/>
        </w:rPr>
      </w:pPr>
      <w:r w:rsidRPr="003D7553">
        <w:rPr>
          <w:rFonts w:ascii="Times New Roman" w:eastAsia="Calibri" w:hAnsi="Times New Roman" w:cs="Times New Roman"/>
          <w:bCs/>
          <w:sz w:val="24"/>
          <w:szCs w:val="24"/>
          <w:lang w:eastAsia="ru-RU"/>
        </w:rPr>
        <w:t>Бакалавр</w:t>
      </w:r>
    </w:p>
    <w:p w14:paraId="79DB2E2A" w14:textId="77777777" w:rsidR="00202D58" w:rsidRPr="003D7553" w:rsidRDefault="00202D58" w:rsidP="00202D58">
      <w:pPr>
        <w:widowControl w:val="0"/>
        <w:autoSpaceDE w:val="0"/>
        <w:autoSpaceDN w:val="0"/>
        <w:adjustRightInd w:val="0"/>
        <w:spacing w:line="240" w:lineRule="auto"/>
        <w:ind w:firstLine="709"/>
        <w:jc w:val="center"/>
        <w:rPr>
          <w:rFonts w:ascii="Times New Roman" w:eastAsia="Calibri" w:hAnsi="Times New Roman" w:cs="Times New Roman"/>
          <w:bCs/>
          <w:sz w:val="24"/>
          <w:szCs w:val="24"/>
          <w:lang w:eastAsia="ru-RU"/>
        </w:rPr>
      </w:pPr>
      <w:r w:rsidRPr="003D7553">
        <w:rPr>
          <w:rFonts w:ascii="Times New Roman" w:eastAsia="Calibri" w:hAnsi="Times New Roman" w:cs="Times New Roman"/>
          <w:bCs/>
          <w:sz w:val="24"/>
          <w:szCs w:val="24"/>
          <w:lang w:eastAsia="ru-RU"/>
        </w:rPr>
        <w:t xml:space="preserve">E-mail: </w:t>
      </w:r>
      <w:hyperlink r:id="rId31" w:history="1">
        <w:r w:rsidRPr="003D7553">
          <w:rPr>
            <w:rFonts w:ascii="Times New Roman" w:eastAsia="Calibri" w:hAnsi="Times New Roman" w:cs="Times New Roman"/>
            <w:bCs/>
            <w:sz w:val="24"/>
            <w:szCs w:val="24"/>
            <w:lang w:eastAsia="ru-RU"/>
          </w:rPr>
          <w:t>lambadamel1994@gmail.com</w:t>
        </w:r>
      </w:hyperlink>
      <w:r w:rsidRPr="003D7553">
        <w:rPr>
          <w:rFonts w:ascii="Times New Roman" w:eastAsia="Calibri" w:hAnsi="Times New Roman" w:cs="Times New Roman"/>
          <w:bCs/>
          <w:sz w:val="24"/>
          <w:szCs w:val="24"/>
          <w:lang w:eastAsia="ru-RU"/>
        </w:rPr>
        <w:t>; +79644522730</w:t>
      </w:r>
    </w:p>
    <w:p w14:paraId="52B02450" w14:textId="77777777" w:rsidR="00202D58" w:rsidRPr="003D7553" w:rsidRDefault="00202D58" w:rsidP="00202D58">
      <w:pPr>
        <w:spacing w:after="0" w:line="240" w:lineRule="auto"/>
        <w:jc w:val="center"/>
        <w:rPr>
          <w:rFonts w:ascii="Times New Roman" w:eastAsia="Calibri" w:hAnsi="Times New Roman" w:cs="Times New Roman"/>
          <w:i/>
          <w:sz w:val="24"/>
          <w:szCs w:val="24"/>
        </w:rPr>
      </w:pPr>
      <w:r w:rsidRPr="003D7553">
        <w:rPr>
          <w:rFonts w:ascii="Times New Roman" w:eastAsia="Calibri" w:hAnsi="Times New Roman" w:cs="Times New Roman"/>
          <w:i/>
          <w:sz w:val="24"/>
          <w:szCs w:val="24"/>
        </w:rPr>
        <w:t>Владивостокский государственный университет экономики и сервиса</w:t>
      </w:r>
    </w:p>
    <w:p w14:paraId="6F616D45" w14:textId="77777777" w:rsidR="00202D58" w:rsidRPr="003D7553" w:rsidRDefault="00202D58" w:rsidP="00F46A43">
      <w:pPr>
        <w:spacing w:after="0" w:line="240" w:lineRule="auto"/>
        <w:jc w:val="center"/>
        <w:rPr>
          <w:rFonts w:ascii="Times New Roman" w:eastAsia="Calibri" w:hAnsi="Times New Roman" w:cs="Times New Roman"/>
          <w:i/>
          <w:sz w:val="24"/>
          <w:szCs w:val="24"/>
        </w:rPr>
      </w:pPr>
      <w:r w:rsidRPr="003D7553">
        <w:rPr>
          <w:rFonts w:ascii="Times New Roman" w:eastAsia="Calibri" w:hAnsi="Times New Roman" w:cs="Times New Roman"/>
          <w:i/>
          <w:sz w:val="24"/>
          <w:szCs w:val="24"/>
        </w:rPr>
        <w:t>Россия. Владивосток</w:t>
      </w:r>
    </w:p>
    <w:p w14:paraId="44C14B49" w14:textId="77777777" w:rsidR="00202D58" w:rsidRPr="00F46A43" w:rsidRDefault="00202D58" w:rsidP="00F46A43">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rPr>
      </w:pPr>
      <w:r w:rsidRPr="00F46A43">
        <w:rPr>
          <w:rFonts w:ascii="Times New Roman" w:eastAsia="SimSun" w:hAnsi="Times New Roman" w:cs="Times New Roman"/>
          <w:i/>
          <w:sz w:val="24"/>
          <w:szCs w:val="24"/>
        </w:rPr>
        <w:t>ул. Гоголя, 41, г. Владивосток, Приморский край, Россия, 690014</w:t>
      </w:r>
    </w:p>
    <w:p w14:paraId="2908EB2C" w14:textId="77777777" w:rsidR="00202D58" w:rsidRPr="003D7553" w:rsidRDefault="00202D58" w:rsidP="00202D58">
      <w:pPr>
        <w:widowControl w:val="0"/>
        <w:autoSpaceDE w:val="0"/>
        <w:autoSpaceDN w:val="0"/>
        <w:adjustRightInd w:val="0"/>
        <w:spacing w:after="0" w:line="240" w:lineRule="auto"/>
        <w:ind w:firstLine="709"/>
        <w:jc w:val="center"/>
        <w:rPr>
          <w:rFonts w:ascii="Times New Roman" w:eastAsia="SimSun" w:hAnsi="Times New Roman" w:cs="Times New Roman"/>
          <w:sz w:val="24"/>
          <w:szCs w:val="24"/>
        </w:rPr>
      </w:pPr>
    </w:p>
    <w:p w14:paraId="33E7F3B7" w14:textId="77777777" w:rsidR="00202D58" w:rsidRPr="003D7553" w:rsidRDefault="00202D58" w:rsidP="00202D58">
      <w:pPr>
        <w:widowControl w:val="0"/>
        <w:autoSpaceDE w:val="0"/>
        <w:autoSpaceDN w:val="0"/>
        <w:adjustRightInd w:val="0"/>
        <w:spacing w:after="0" w:line="240" w:lineRule="auto"/>
        <w:ind w:firstLine="709"/>
        <w:jc w:val="both"/>
        <w:rPr>
          <w:rFonts w:ascii="Times New Roman" w:hAnsi="Times New Roman" w:cs="Times New Roman"/>
          <w:i/>
          <w:sz w:val="24"/>
          <w:szCs w:val="24"/>
        </w:rPr>
      </w:pPr>
      <w:r w:rsidRPr="003D7553">
        <w:rPr>
          <w:rFonts w:ascii="Times New Roman" w:hAnsi="Times New Roman" w:cs="Times New Roman"/>
          <w:i/>
          <w:sz w:val="24"/>
          <w:szCs w:val="24"/>
        </w:rPr>
        <w:lastRenderedPageBreak/>
        <w:t>В данной статье рассматривается эволюция понятия экспорта и экспортного потенциала и его трансформация в потенциал внешнеэкономический.  Так же представлены различные  исторические точки зрения относительно необходимости расширения экспорта, дано определение внешнеэкономического потенциала, относительные показатели и критерии их оценки представлены</w:t>
      </w:r>
      <w:r w:rsidRPr="003D7553">
        <w:rPr>
          <w:rFonts w:ascii="Times New Roman" w:hAnsi="Times New Roman" w:cs="Times New Roman"/>
          <w:sz w:val="24"/>
          <w:szCs w:val="24"/>
        </w:rPr>
        <w:t>.</w:t>
      </w:r>
    </w:p>
    <w:p w14:paraId="42168F23" w14:textId="77777777" w:rsidR="00202D58" w:rsidRPr="003D7553" w:rsidRDefault="00202D58" w:rsidP="001973E4">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3D7553">
        <w:rPr>
          <w:rFonts w:ascii="Times New Roman" w:hAnsi="Times New Roman" w:cs="Times New Roman"/>
          <w:b/>
          <w:i/>
          <w:sz w:val="24"/>
          <w:szCs w:val="24"/>
        </w:rPr>
        <w:t>Ключевые слова</w:t>
      </w:r>
      <w:r w:rsidRPr="003D7553">
        <w:rPr>
          <w:rFonts w:ascii="Times New Roman" w:hAnsi="Times New Roman" w:cs="Times New Roman"/>
          <w:i/>
          <w:sz w:val="24"/>
          <w:szCs w:val="24"/>
        </w:rPr>
        <w:t>: экспортный потенциал, внешнеэкономический потенциал, регион</w:t>
      </w:r>
      <w:r w:rsidR="00F46A43">
        <w:rPr>
          <w:rFonts w:ascii="Times New Roman" w:hAnsi="Times New Roman" w:cs="Times New Roman"/>
          <w:i/>
          <w:sz w:val="24"/>
          <w:szCs w:val="24"/>
        </w:rPr>
        <w:t>.</w:t>
      </w:r>
    </w:p>
    <w:p w14:paraId="6088AD12" w14:textId="77777777" w:rsidR="00202D58" w:rsidRPr="003D7553" w:rsidRDefault="00202D58" w:rsidP="00202D58">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3D7553">
        <w:rPr>
          <w:rFonts w:ascii="Times New Roman" w:eastAsia="Times New Roman" w:hAnsi="Times New Roman" w:cs="Times New Roman"/>
          <w:b/>
          <w:bCs/>
          <w:caps/>
          <w:kern w:val="28"/>
          <w:sz w:val="24"/>
          <w:szCs w:val="24"/>
          <w:lang w:val="en-US"/>
        </w:rPr>
        <w:t>To the question of external economic potential concept evolution</w:t>
      </w:r>
    </w:p>
    <w:p w14:paraId="7DD0A70A" w14:textId="77777777" w:rsidR="00202D58" w:rsidRPr="003D7553" w:rsidRDefault="00202D58" w:rsidP="001973E4">
      <w:pPr>
        <w:spacing w:after="0" w:line="240" w:lineRule="auto"/>
        <w:ind w:firstLine="709"/>
        <w:jc w:val="both"/>
        <w:rPr>
          <w:rFonts w:ascii="Times New Roman" w:hAnsi="Times New Roman" w:cs="Times New Roman"/>
          <w:i/>
          <w:sz w:val="24"/>
          <w:szCs w:val="24"/>
          <w:lang w:val="en-US" w:eastAsia="ru-RU"/>
        </w:rPr>
      </w:pPr>
      <w:r w:rsidRPr="003D7553">
        <w:rPr>
          <w:rFonts w:ascii="Times New Roman" w:hAnsi="Times New Roman" w:cs="Times New Roman"/>
          <w:i/>
          <w:sz w:val="24"/>
          <w:szCs w:val="24"/>
          <w:lang w:val="en-US" w:eastAsia="ru-RU"/>
        </w:rPr>
        <w:t xml:space="preserve">The article examines the evolution of export and export potential concept and its transformation into the </w:t>
      </w:r>
      <w:r w:rsidRPr="003D7553">
        <w:rPr>
          <w:rStyle w:val="shorttext"/>
          <w:rFonts w:ascii="Times New Roman" w:hAnsi="Times New Roman"/>
          <w:i/>
          <w:sz w:val="24"/>
          <w:szCs w:val="24"/>
          <w:lang w:val="en-US"/>
        </w:rPr>
        <w:t>external</w:t>
      </w:r>
      <w:r w:rsidRPr="003D7553">
        <w:rPr>
          <w:rFonts w:ascii="Times New Roman" w:hAnsi="Times New Roman" w:cs="Times New Roman"/>
          <w:i/>
          <w:sz w:val="24"/>
          <w:szCs w:val="24"/>
          <w:lang w:val="en-US" w:eastAsia="ru-RU"/>
        </w:rPr>
        <w:t xml:space="preserve"> economic potential. Various historical views concerning the need of export expansion are presented, the definition of external economic potential is done, the relative indicators and criteria for their evaluation are presented.</w:t>
      </w:r>
    </w:p>
    <w:p w14:paraId="62D60CCD" w14:textId="77777777" w:rsidR="00202D58" w:rsidRPr="00F46A43" w:rsidRDefault="00202D58" w:rsidP="001973E4">
      <w:pPr>
        <w:widowControl w:val="0"/>
        <w:autoSpaceDE w:val="0"/>
        <w:autoSpaceDN w:val="0"/>
        <w:adjustRightInd w:val="0"/>
        <w:spacing w:after="0" w:line="240" w:lineRule="auto"/>
        <w:ind w:firstLine="708"/>
        <w:jc w:val="both"/>
        <w:rPr>
          <w:rStyle w:val="16"/>
          <w:rFonts w:ascii="Times New Roman" w:hAnsi="Times New Roman"/>
          <w:i/>
          <w:sz w:val="24"/>
          <w:szCs w:val="24"/>
          <w:lang w:val="en-US"/>
        </w:rPr>
      </w:pPr>
      <w:r w:rsidRPr="003D7553">
        <w:rPr>
          <w:rFonts w:ascii="Times New Roman" w:hAnsi="Times New Roman" w:cs="Times New Roman"/>
          <w:b/>
          <w:i/>
          <w:sz w:val="24"/>
          <w:szCs w:val="24"/>
          <w:lang w:val="en-US"/>
        </w:rPr>
        <w:t>Keywords</w:t>
      </w:r>
      <w:r w:rsidRPr="003D7553">
        <w:rPr>
          <w:rFonts w:ascii="Times New Roman" w:hAnsi="Times New Roman" w:cs="Times New Roman"/>
          <w:i/>
          <w:sz w:val="24"/>
          <w:szCs w:val="24"/>
          <w:lang w:val="en-US"/>
        </w:rPr>
        <w:t>: export potential, foreign economic potential, region</w:t>
      </w:r>
      <w:r w:rsidR="00F46A43" w:rsidRPr="00F46A43">
        <w:rPr>
          <w:rFonts w:ascii="Times New Roman" w:hAnsi="Times New Roman" w:cs="Times New Roman"/>
          <w:i/>
          <w:sz w:val="24"/>
          <w:szCs w:val="24"/>
          <w:lang w:val="en-US"/>
        </w:rPr>
        <w:t>.</w:t>
      </w:r>
    </w:p>
    <w:p w14:paraId="121FD38A" w14:textId="77777777" w:rsidR="001973E4" w:rsidRPr="00F46A43" w:rsidRDefault="001973E4" w:rsidP="00202D58">
      <w:pPr>
        <w:pStyle w:val="a9"/>
        <w:widowControl w:val="0"/>
        <w:tabs>
          <w:tab w:val="left" w:pos="851"/>
        </w:tabs>
        <w:spacing w:before="0" w:beforeAutospacing="0" w:after="0" w:afterAutospacing="0"/>
        <w:ind w:firstLine="709"/>
        <w:jc w:val="both"/>
        <w:rPr>
          <w:rStyle w:val="16"/>
          <w:lang w:val="en-US"/>
        </w:rPr>
      </w:pPr>
    </w:p>
    <w:p w14:paraId="122AE082" w14:textId="77777777" w:rsidR="00202D58" w:rsidRPr="003D7553" w:rsidRDefault="00202D58" w:rsidP="00202D58">
      <w:pPr>
        <w:pStyle w:val="a9"/>
        <w:widowControl w:val="0"/>
        <w:tabs>
          <w:tab w:val="left" w:pos="851"/>
        </w:tabs>
        <w:spacing w:before="0" w:beforeAutospacing="0" w:after="0" w:afterAutospacing="0"/>
        <w:ind w:firstLine="709"/>
        <w:jc w:val="both"/>
      </w:pPr>
      <w:r w:rsidRPr="003D7553">
        <w:rPr>
          <w:rStyle w:val="16"/>
        </w:rPr>
        <w:t>Актуальность рассмотрения эволюции понятия экспортного потенциала и</w:t>
      </w:r>
      <w:r w:rsidRPr="003D7553">
        <w:t xml:space="preserve"> </w:t>
      </w:r>
      <w:r w:rsidRPr="003D7553">
        <w:rPr>
          <w:rStyle w:val="16"/>
        </w:rPr>
        <w:t>ретроспективы экономической мысли в плане отношения к экспорту и экспортным возможностям государств объясняется тем обстоятельством, что, во-первых, современное состояние дел в исследуемой области является следствием отмеченного эволюционирования, во-вторых, позволяет проследить этот</w:t>
      </w:r>
      <w:r w:rsidRPr="003D7553">
        <w:t xml:space="preserve"> </w:t>
      </w:r>
      <w:r w:rsidRPr="003D7553">
        <w:rPr>
          <w:rStyle w:val="16"/>
        </w:rPr>
        <w:t>процесс и выявить определенные закономерности, объясняющие различное отношение к экспорту, механизмам его активизации и его роли для национальной</w:t>
      </w:r>
      <w:r w:rsidRPr="003D7553">
        <w:t xml:space="preserve"> </w:t>
      </w:r>
      <w:r w:rsidRPr="003D7553">
        <w:rPr>
          <w:rStyle w:val="16"/>
        </w:rPr>
        <w:t>экономики на современном этапе. Это предопределяет необходимость рассмотрения вопроса экспортного потенциала в генезисе с опорой на классические</w:t>
      </w:r>
      <w:r w:rsidRPr="003D7553">
        <w:t xml:space="preserve"> </w:t>
      </w:r>
      <w:r w:rsidRPr="003D7553">
        <w:rPr>
          <w:rStyle w:val="16"/>
        </w:rPr>
        <w:t>воззрения ряда ученых-экономистов [1].</w:t>
      </w:r>
    </w:p>
    <w:p w14:paraId="6B48706C" w14:textId="77777777" w:rsidR="00202D58" w:rsidRPr="003D7553" w:rsidRDefault="00202D58" w:rsidP="00202D58">
      <w:pPr>
        <w:pStyle w:val="a9"/>
        <w:widowControl w:val="0"/>
        <w:spacing w:before="0" w:beforeAutospacing="0" w:after="0" w:afterAutospacing="0"/>
        <w:ind w:firstLine="709"/>
        <w:jc w:val="both"/>
      </w:pPr>
      <w:r w:rsidRPr="003D7553">
        <w:rPr>
          <w:rStyle w:val="16"/>
        </w:rPr>
        <w:t>В связи с этим отметим, что отношение к экспорту и, соответственно, к</w:t>
      </w:r>
      <w:r w:rsidRPr="003D7553">
        <w:t xml:space="preserve"> </w:t>
      </w:r>
      <w:r w:rsidRPr="003D7553">
        <w:rPr>
          <w:rStyle w:val="16"/>
        </w:rPr>
        <w:t>экспортным возможностям того или иного государственного образования или</w:t>
      </w:r>
      <w:r w:rsidRPr="003D7553">
        <w:t xml:space="preserve"> </w:t>
      </w:r>
      <w:r w:rsidRPr="003D7553">
        <w:rPr>
          <w:rStyle w:val="16"/>
        </w:rPr>
        <w:t>их частей неоднократно претерпевало изменения на протяжении последних</w:t>
      </w:r>
      <w:r w:rsidRPr="003D7553">
        <w:t xml:space="preserve"> </w:t>
      </w:r>
      <w:r w:rsidRPr="003D7553">
        <w:rPr>
          <w:rStyle w:val="16"/>
        </w:rPr>
        <w:t>двухсот пятидесяти лет, что соответствующим образом отражено на страницах</w:t>
      </w:r>
      <w:r w:rsidRPr="003D7553">
        <w:t xml:space="preserve"> </w:t>
      </w:r>
      <w:r w:rsidRPr="003D7553">
        <w:rPr>
          <w:rStyle w:val="16"/>
        </w:rPr>
        <w:t>экономической литературы. В истории мировой экономики существовали периоды, когда экспорт декларировался как главное средство экономического</w:t>
      </w:r>
      <w:r w:rsidRPr="003D7553">
        <w:t xml:space="preserve"> </w:t>
      </w:r>
      <w:r w:rsidRPr="003D7553">
        <w:rPr>
          <w:rStyle w:val="16"/>
        </w:rPr>
        <w:t>развития; были периоды, когда известные экономисты призывали к всевозможному ограничению экспорта, вплоть до его запрещения на институциональной</w:t>
      </w:r>
      <w:r w:rsidRPr="003D7553">
        <w:t xml:space="preserve"> </w:t>
      </w:r>
      <w:r w:rsidRPr="003D7553">
        <w:rPr>
          <w:rStyle w:val="16"/>
        </w:rPr>
        <w:t>основе, настаивая на самодостаточности государственных образований.</w:t>
      </w:r>
    </w:p>
    <w:p w14:paraId="748A950D" w14:textId="77777777" w:rsidR="00202D58" w:rsidRPr="003D7553" w:rsidRDefault="00202D58" w:rsidP="00202D58">
      <w:pPr>
        <w:pStyle w:val="a9"/>
        <w:widowControl w:val="0"/>
        <w:spacing w:before="0" w:beforeAutospacing="0" w:after="0" w:afterAutospacing="0"/>
        <w:ind w:firstLine="709"/>
        <w:jc w:val="both"/>
      </w:pPr>
      <w:r w:rsidRPr="003D7553">
        <w:rPr>
          <w:rStyle w:val="16"/>
        </w:rPr>
        <w:t>Подобное отношение к экспорту и экспортному потенциалу опосредовало</w:t>
      </w:r>
      <w:r w:rsidRPr="003D7553">
        <w:t xml:space="preserve"> </w:t>
      </w:r>
      <w:r w:rsidRPr="003D7553">
        <w:rPr>
          <w:rStyle w:val="16"/>
        </w:rPr>
        <w:t>определенные организационные действия со стороны правящих элит: в составе</w:t>
      </w:r>
      <w:r w:rsidRPr="003D7553">
        <w:t xml:space="preserve"> </w:t>
      </w:r>
      <w:r w:rsidRPr="003D7553">
        <w:rPr>
          <w:rStyle w:val="16"/>
        </w:rPr>
        <w:t>правящих элит организовывались специальные органы по контролю за экспортной деятельностью, вводились экспортные пошлины либо, напротив, выплачивалась премия экспортерам для поощрения экспорта на все товары или на</w:t>
      </w:r>
      <w:r w:rsidRPr="003D7553">
        <w:t xml:space="preserve"> </w:t>
      </w:r>
      <w:r w:rsidRPr="003D7553">
        <w:rPr>
          <w:rStyle w:val="16"/>
        </w:rPr>
        <w:t>определенные группы товаров [1].</w:t>
      </w:r>
    </w:p>
    <w:p w14:paraId="4D5475DB" w14:textId="77777777" w:rsidR="00202D58" w:rsidRPr="003D7553" w:rsidRDefault="00202D58" w:rsidP="00202D58">
      <w:pPr>
        <w:pStyle w:val="a9"/>
        <w:widowControl w:val="0"/>
        <w:spacing w:before="0" w:beforeAutospacing="0" w:after="0" w:afterAutospacing="0"/>
        <w:ind w:firstLine="709"/>
        <w:jc w:val="both"/>
      </w:pPr>
      <w:r w:rsidRPr="003D7553">
        <w:rPr>
          <w:rStyle w:val="16"/>
        </w:rPr>
        <w:t>Такая авторитетная международная организация, как Международный</w:t>
      </w:r>
      <w:r w:rsidRPr="003D7553">
        <w:t xml:space="preserve"> </w:t>
      </w:r>
      <w:r w:rsidRPr="003D7553">
        <w:rPr>
          <w:rStyle w:val="16"/>
        </w:rPr>
        <w:t>валютный фонд (МВФ), в своих антикризисных программах для государств,</w:t>
      </w:r>
      <w:r w:rsidRPr="003D7553">
        <w:t xml:space="preserve"> </w:t>
      </w:r>
      <w:r w:rsidRPr="003D7553">
        <w:rPr>
          <w:rStyle w:val="16"/>
        </w:rPr>
        <w:t>перенесших дефолт, как правило, рекомендует активизацию экспорта и его поощрение, наряду с мероприятиями по ограничению внутреннего спроса.</w:t>
      </w:r>
    </w:p>
    <w:p w14:paraId="5F7900E2" w14:textId="77777777" w:rsidR="00202D58" w:rsidRPr="003D7553" w:rsidRDefault="00202D58" w:rsidP="00202D58">
      <w:pPr>
        <w:pStyle w:val="a9"/>
        <w:widowControl w:val="0"/>
        <w:spacing w:before="0" w:beforeAutospacing="0" w:after="0" w:afterAutospacing="0"/>
        <w:ind w:firstLine="709"/>
        <w:jc w:val="both"/>
      </w:pPr>
      <w:r w:rsidRPr="003D7553">
        <w:rPr>
          <w:rStyle w:val="16"/>
        </w:rPr>
        <w:t>Соответственно, в качестве промежуточного вывода можно отметить, что</w:t>
      </w:r>
      <w:r w:rsidRPr="003D7553">
        <w:t xml:space="preserve"> </w:t>
      </w:r>
      <w:r w:rsidRPr="003D7553">
        <w:rPr>
          <w:rStyle w:val="16"/>
        </w:rPr>
        <w:t>экспорт и экспортный потенциал государственного образования или его регионов представляют собой важное экономическое явление и нуждаются в определении его наполнения на современном этапе, учитывая динамику отмеченных</w:t>
      </w:r>
      <w:r w:rsidRPr="003D7553">
        <w:t xml:space="preserve"> </w:t>
      </w:r>
      <w:r w:rsidRPr="003D7553">
        <w:rPr>
          <w:rStyle w:val="16"/>
        </w:rPr>
        <w:t>изменений. Вследствие этого дополнительно актуализирует исследование данного направления коррекция экономического курса Российской Федерации в</w:t>
      </w:r>
      <w:r w:rsidRPr="003D7553">
        <w:t xml:space="preserve"> </w:t>
      </w:r>
      <w:r w:rsidRPr="003D7553">
        <w:rPr>
          <w:rStyle w:val="16"/>
        </w:rPr>
        <w:t>сторону инновационного развития экономики и активизации экспортных возможностей с учетом диверсификации товарной структуры экспорта, предусматривающей переориентацию с сырьевой направленности на готовую продукцию и услуги, что предопределяет повышение роли регионов в решении</w:t>
      </w:r>
      <w:r w:rsidRPr="003D7553">
        <w:t xml:space="preserve"> </w:t>
      </w:r>
      <w:r w:rsidRPr="003D7553">
        <w:rPr>
          <w:rStyle w:val="16"/>
        </w:rPr>
        <w:t>данной задачи.</w:t>
      </w:r>
    </w:p>
    <w:p w14:paraId="1CC38623" w14:textId="77777777" w:rsidR="00202D58" w:rsidRPr="003D7553" w:rsidRDefault="00202D58" w:rsidP="00202D58">
      <w:pPr>
        <w:pStyle w:val="a9"/>
        <w:widowControl w:val="0"/>
        <w:spacing w:before="0" w:beforeAutospacing="0" w:after="0" w:afterAutospacing="0"/>
        <w:ind w:firstLine="709"/>
        <w:jc w:val="both"/>
      </w:pPr>
      <w:r w:rsidRPr="003D7553">
        <w:rPr>
          <w:rStyle w:val="16"/>
        </w:rPr>
        <w:t xml:space="preserve">В таком аспекте исследовательской задачей данной статьи является </w:t>
      </w:r>
      <w:r w:rsidRPr="003D7553">
        <w:rPr>
          <w:rStyle w:val="plagiat"/>
          <w:rFonts w:eastAsiaTheme="minorEastAsia"/>
        </w:rPr>
        <w:t xml:space="preserve">исследование эволюции отношения к экспорту, экспортному и внешнеэкономическому потенциалу </w:t>
      </w:r>
      <w:r w:rsidRPr="003D7553">
        <w:rPr>
          <w:rStyle w:val="plagiat"/>
          <w:rFonts w:eastAsiaTheme="minorEastAsia"/>
        </w:rPr>
        <w:lastRenderedPageBreak/>
        <w:t>государства и его регионов и</w:t>
      </w:r>
      <w:r w:rsidRPr="003D7553">
        <w:t xml:space="preserve"> </w:t>
      </w:r>
      <w:r w:rsidRPr="003D7553">
        <w:rPr>
          <w:rStyle w:val="plagiat"/>
          <w:rFonts w:eastAsiaTheme="minorEastAsia"/>
        </w:rPr>
        <w:t>отображения этих процессов в мировой экономической</w:t>
      </w:r>
      <w:r w:rsidRPr="003D7553">
        <w:t xml:space="preserve"> </w:t>
      </w:r>
      <w:r w:rsidRPr="003D7553">
        <w:rPr>
          <w:rStyle w:val="plagiat"/>
          <w:rFonts w:eastAsiaTheme="minorEastAsia"/>
        </w:rPr>
        <w:t>мысли</w:t>
      </w:r>
      <w:r w:rsidRPr="003D7553">
        <w:rPr>
          <w:vertAlign w:val="superscript"/>
        </w:rPr>
        <w:t xml:space="preserve"> </w:t>
      </w:r>
      <w:r w:rsidRPr="003D7553">
        <w:t xml:space="preserve"> </w:t>
      </w:r>
      <w:r w:rsidRPr="003D7553">
        <w:rPr>
          <w:rStyle w:val="16"/>
        </w:rPr>
        <w:t>до настоящего периода.</w:t>
      </w:r>
    </w:p>
    <w:p w14:paraId="5903597A" w14:textId="77777777" w:rsidR="00202D58" w:rsidRPr="003D7553" w:rsidRDefault="00202D58" w:rsidP="00202D58">
      <w:pPr>
        <w:pStyle w:val="a9"/>
        <w:widowControl w:val="0"/>
        <w:spacing w:before="0" w:beforeAutospacing="0" w:after="0" w:afterAutospacing="0"/>
        <w:ind w:firstLine="709"/>
        <w:jc w:val="both"/>
      </w:pPr>
      <w:r w:rsidRPr="003D7553">
        <w:rPr>
          <w:rStyle w:val="16"/>
        </w:rPr>
        <w:t>Представляется вполне очевидным и не нуждается в подтверждении существование экспортных операций между государствами со времен Римской</w:t>
      </w:r>
      <w:r w:rsidRPr="003D7553">
        <w:t xml:space="preserve"> </w:t>
      </w:r>
      <w:r w:rsidRPr="003D7553">
        <w:rPr>
          <w:rStyle w:val="16"/>
        </w:rPr>
        <w:t>Империи и Древнего Китая и их высокой прибыльности, а также определенной</w:t>
      </w:r>
      <w:r w:rsidRPr="003D7553">
        <w:t xml:space="preserve"> </w:t>
      </w:r>
      <w:r w:rsidRPr="003D7553">
        <w:rPr>
          <w:rStyle w:val="16"/>
        </w:rPr>
        <w:t>выгоды для государств, втянутых в экспортные трансакции. Однако впервые</w:t>
      </w:r>
      <w:r w:rsidRPr="003D7553">
        <w:t xml:space="preserve"> </w:t>
      </w:r>
      <w:r w:rsidRPr="003D7553">
        <w:rPr>
          <w:rStyle w:val="16"/>
        </w:rPr>
        <w:t>отношение к экспорту на страницах научной литературы было дано А. Смитом,</w:t>
      </w:r>
      <w:r w:rsidRPr="003D7553">
        <w:t xml:space="preserve"> </w:t>
      </w:r>
      <w:r w:rsidRPr="003D7553">
        <w:rPr>
          <w:rStyle w:val="16"/>
        </w:rPr>
        <w:t xml:space="preserve">который рекомендовал всячески поощрять экспорт и мировую торговлю, полагая его одним из источников богатства государства [2]. </w:t>
      </w:r>
      <w:r w:rsidRPr="003D7553">
        <w:rPr>
          <w:color w:val="111111"/>
        </w:rPr>
        <w:t>Обоснование принципов активного торгового баланса Смит излагает, опираясь на работу Т. Мана «Богатство Англии во внешней торговле» [3]</w:t>
      </w:r>
      <w:r w:rsidRPr="003D7553">
        <w:rPr>
          <w:rStyle w:val="16"/>
        </w:rPr>
        <w:t xml:space="preserve">. </w:t>
      </w:r>
    </w:p>
    <w:p w14:paraId="466964BE" w14:textId="77777777" w:rsidR="00202D58" w:rsidRPr="003D7553" w:rsidRDefault="00202D58" w:rsidP="00202D58">
      <w:pPr>
        <w:pStyle w:val="a9"/>
        <w:widowControl w:val="0"/>
        <w:spacing w:before="0" w:beforeAutospacing="0" w:after="0" w:afterAutospacing="0"/>
        <w:ind w:firstLine="709"/>
        <w:jc w:val="both"/>
      </w:pPr>
      <w:r w:rsidRPr="003D7553">
        <w:rPr>
          <w:rStyle w:val="16"/>
        </w:rPr>
        <w:t>Научные оппоненты А. Смита, не призывая к полному закрытию экспорта, предлагали его ограничить определенными строго лимитированными группами товаров и, напротив, всячески поощрять импорт из колоний. В частности,</w:t>
      </w:r>
      <w:r w:rsidRPr="003D7553">
        <w:t xml:space="preserve"> </w:t>
      </w:r>
      <w:r w:rsidRPr="003D7553">
        <w:rPr>
          <w:rStyle w:val="16"/>
        </w:rPr>
        <w:t>по их рекомендациям был запрещен вывоз серебра и золота из Великобритании,</w:t>
      </w:r>
      <w:r w:rsidRPr="003D7553">
        <w:t xml:space="preserve"> </w:t>
      </w:r>
      <w:r w:rsidRPr="003D7553">
        <w:rPr>
          <w:rStyle w:val="16"/>
        </w:rPr>
        <w:t>что в немалой степени опосредовало определенные экономические коллизии,</w:t>
      </w:r>
      <w:r w:rsidRPr="003D7553">
        <w:t xml:space="preserve"> </w:t>
      </w:r>
      <w:r w:rsidRPr="003D7553">
        <w:rPr>
          <w:rStyle w:val="16"/>
        </w:rPr>
        <w:t>вплоть до принятия «навигационных актов» и ведения «опиумных войн» [1,4].</w:t>
      </w:r>
    </w:p>
    <w:p w14:paraId="6782262E" w14:textId="77777777" w:rsidR="00202D58" w:rsidRPr="003D7553" w:rsidRDefault="00202D58" w:rsidP="00202D58">
      <w:pPr>
        <w:pStyle w:val="a9"/>
        <w:widowControl w:val="0"/>
        <w:spacing w:before="0" w:beforeAutospacing="0" w:after="0" w:afterAutospacing="0"/>
        <w:ind w:firstLine="709"/>
        <w:jc w:val="both"/>
      </w:pPr>
      <w:r w:rsidRPr="003D7553">
        <w:rPr>
          <w:rStyle w:val="16"/>
        </w:rPr>
        <w:t>Точка зрения оппонентов А. Смита представляется вполне логичной с позиции стремления к максимальному получению прибыли. Основой их идейной</w:t>
      </w:r>
      <w:r w:rsidRPr="003D7553">
        <w:t xml:space="preserve"> </w:t>
      </w:r>
      <w:r w:rsidRPr="003D7553">
        <w:rPr>
          <w:rStyle w:val="16"/>
        </w:rPr>
        <w:t>концепции был запрет на вывоз из Англии всего, что имеет ценность, в первую</w:t>
      </w:r>
      <w:r w:rsidRPr="003D7553">
        <w:t xml:space="preserve"> </w:t>
      </w:r>
      <w:r w:rsidRPr="003D7553">
        <w:rPr>
          <w:rStyle w:val="16"/>
        </w:rPr>
        <w:t>очередь золота и серебра, а также оружия. Разрешалось экспортировать товары,</w:t>
      </w:r>
      <w:r w:rsidRPr="003D7553">
        <w:t xml:space="preserve"> </w:t>
      </w:r>
      <w:r w:rsidRPr="003D7553">
        <w:rPr>
          <w:rStyle w:val="16"/>
        </w:rPr>
        <w:t>не имеющие, по их мнению, ценности для государства. В эту категорию попадали преступники, которых вывозили в Австралию, Америку, Канаду и другие</w:t>
      </w:r>
      <w:r w:rsidRPr="003D7553">
        <w:t xml:space="preserve"> </w:t>
      </w:r>
      <w:r w:rsidRPr="003D7553">
        <w:rPr>
          <w:rStyle w:val="16"/>
        </w:rPr>
        <w:t>британские колонии. Напротив, из колоний ввозились товары по заниженным</w:t>
      </w:r>
      <w:r w:rsidRPr="003D7553">
        <w:t xml:space="preserve"> </w:t>
      </w:r>
      <w:r w:rsidRPr="003D7553">
        <w:rPr>
          <w:rStyle w:val="16"/>
        </w:rPr>
        <w:t>ценам, которые могли быть реализованы в Британии. При этом иностранным</w:t>
      </w:r>
      <w:r w:rsidRPr="003D7553">
        <w:t xml:space="preserve"> </w:t>
      </w:r>
      <w:r w:rsidRPr="003D7553">
        <w:rPr>
          <w:rStyle w:val="16"/>
        </w:rPr>
        <w:t>торговцам запрещалась прямая реализация своих товаров, они должны были их</w:t>
      </w:r>
      <w:r w:rsidRPr="003D7553">
        <w:t xml:space="preserve"> </w:t>
      </w:r>
      <w:r w:rsidRPr="003D7553">
        <w:rPr>
          <w:rStyle w:val="16"/>
        </w:rPr>
        <w:t>перепродавать британским резидентам для дальнейшей продажи, что также</w:t>
      </w:r>
      <w:r w:rsidRPr="003D7553">
        <w:t xml:space="preserve"> </w:t>
      </w:r>
      <w:r w:rsidRPr="003D7553">
        <w:rPr>
          <w:rStyle w:val="16"/>
        </w:rPr>
        <w:t>способствовало снижению цен импорта. То есть основной идеологической базой противников направления А. Смита было следующее целеполагание: максимально широкий и дешевый импорт и как можно меньший и дорогой экспорт. Тогда как научное направление А. Смита, развиваемое в последствие</w:t>
      </w:r>
      <w:r w:rsidRPr="003D7553">
        <w:t xml:space="preserve"> </w:t>
      </w:r>
      <w:r w:rsidRPr="003D7553">
        <w:rPr>
          <w:rStyle w:val="16"/>
        </w:rPr>
        <w:t>Д. Риккардо, рекомендовало широкий экспорт товаров, имеющих по современному значению наибольшие конкурентные преимущества [5]. При этом не</w:t>
      </w:r>
      <w:r w:rsidRPr="003D7553">
        <w:t xml:space="preserve"> </w:t>
      </w:r>
      <w:r w:rsidRPr="003D7553">
        <w:rPr>
          <w:rStyle w:val="16"/>
        </w:rPr>
        <w:t>предлагалось продавать их за максимально возможную цену, а предлагалось</w:t>
      </w:r>
      <w:r w:rsidRPr="003D7553">
        <w:t xml:space="preserve"> </w:t>
      </w:r>
      <w:r w:rsidRPr="003D7553">
        <w:rPr>
          <w:rStyle w:val="16"/>
        </w:rPr>
        <w:t>взимать «справедливую» плату для построения долговременных отношений.</w:t>
      </w:r>
    </w:p>
    <w:p w14:paraId="21C2590C" w14:textId="77777777" w:rsidR="00202D58" w:rsidRPr="003D7553" w:rsidRDefault="00202D58" w:rsidP="00202D58">
      <w:pPr>
        <w:pStyle w:val="a9"/>
        <w:widowControl w:val="0"/>
        <w:spacing w:before="0" w:beforeAutospacing="0" w:after="0" w:afterAutospacing="0"/>
        <w:ind w:firstLine="709"/>
        <w:jc w:val="both"/>
        <w:rPr>
          <w:rStyle w:val="16"/>
        </w:rPr>
      </w:pPr>
      <w:r w:rsidRPr="003D7553">
        <w:rPr>
          <w:rStyle w:val="16"/>
        </w:rPr>
        <w:t>По прошествии определенного периода, когда процессы промышленной</w:t>
      </w:r>
      <w:r w:rsidRPr="003D7553">
        <w:t xml:space="preserve"> </w:t>
      </w:r>
      <w:r w:rsidRPr="003D7553">
        <w:rPr>
          <w:rStyle w:val="16"/>
        </w:rPr>
        <w:t>революции проявились в большинстве экономически развитых стран, точка</w:t>
      </w:r>
      <w:r w:rsidRPr="003D7553">
        <w:t xml:space="preserve"> </w:t>
      </w:r>
      <w:r w:rsidRPr="003D7553">
        <w:rPr>
          <w:rStyle w:val="16"/>
        </w:rPr>
        <w:t>зрения А. Смита и его последователей стала ведущей. Почти все государства</w:t>
      </w:r>
      <w:r w:rsidRPr="003D7553">
        <w:t xml:space="preserve"> </w:t>
      </w:r>
      <w:r w:rsidRPr="003D7553">
        <w:rPr>
          <w:rStyle w:val="16"/>
        </w:rPr>
        <w:t xml:space="preserve">стали поощрять собственный экспорт и ограничивать импорт, в целях чего была активизирована деятельность таможен, которые запретительными пошлинами защищали внутренние рынки, а для большей конкурентоспособности экспорта было проведено обоснование его полезности для национальной экономики, стали производиться выплаты из бюджетов экспортных премий экспортерам товаров. </w:t>
      </w:r>
    </w:p>
    <w:p w14:paraId="69950399" w14:textId="77777777" w:rsidR="00202D58" w:rsidRPr="003D7553" w:rsidRDefault="00202D58" w:rsidP="00202D58">
      <w:pPr>
        <w:pStyle w:val="a9"/>
        <w:widowControl w:val="0"/>
        <w:spacing w:before="0" w:beforeAutospacing="0" w:after="0" w:afterAutospacing="0"/>
        <w:ind w:firstLine="709"/>
        <w:jc w:val="both"/>
      </w:pPr>
      <w:r w:rsidRPr="003D7553">
        <w:rPr>
          <w:rStyle w:val="16"/>
        </w:rPr>
        <w:t>Эффективно действовать такая</w:t>
      </w:r>
      <w:r w:rsidRPr="003D7553">
        <w:t xml:space="preserve"> </w:t>
      </w:r>
      <w:r w:rsidRPr="003D7553">
        <w:rPr>
          <w:rStyle w:val="16"/>
        </w:rPr>
        <w:t>модель могла только при условии наличия широких рынков сбыта и источников относительно дешевого сырья, то есть при наличии колоний – поставщиков</w:t>
      </w:r>
      <w:r w:rsidRPr="003D7553">
        <w:t xml:space="preserve"> </w:t>
      </w:r>
      <w:r w:rsidRPr="003D7553">
        <w:rPr>
          <w:rStyle w:val="16"/>
        </w:rPr>
        <w:t>сырья, рабочей силы и рынков сбыта и метрополий, защищающих свои рынки и</w:t>
      </w:r>
      <w:r w:rsidRPr="003D7553">
        <w:t xml:space="preserve"> </w:t>
      </w:r>
      <w:r w:rsidRPr="003D7553">
        <w:rPr>
          <w:rStyle w:val="16"/>
        </w:rPr>
        <w:t>рынки своих колоний экономическими мерами и расширяющих свой экспорт в</w:t>
      </w:r>
      <w:r w:rsidRPr="003D7553">
        <w:t xml:space="preserve"> </w:t>
      </w:r>
      <w:r w:rsidRPr="003D7553">
        <w:rPr>
          <w:rStyle w:val="16"/>
        </w:rPr>
        <w:t>другие метрополии и чужие колонии.</w:t>
      </w:r>
    </w:p>
    <w:p w14:paraId="602C8346" w14:textId="77777777" w:rsidR="00202D58" w:rsidRPr="003D7553" w:rsidRDefault="00202D58" w:rsidP="00202D58">
      <w:pPr>
        <w:pStyle w:val="a9"/>
        <w:widowControl w:val="0"/>
        <w:spacing w:before="0" w:beforeAutospacing="0" w:after="0" w:afterAutospacing="0"/>
        <w:ind w:firstLine="709"/>
        <w:jc w:val="both"/>
      </w:pPr>
      <w:r w:rsidRPr="003D7553">
        <w:rPr>
          <w:rStyle w:val="16"/>
        </w:rPr>
        <w:t>Попытка передела колониальных рынков и рынков метрополий силовым</w:t>
      </w:r>
      <w:r w:rsidRPr="003D7553">
        <w:t xml:space="preserve"> </w:t>
      </w:r>
      <w:r w:rsidRPr="003D7553">
        <w:rPr>
          <w:rStyle w:val="16"/>
        </w:rPr>
        <w:t>путем (первая и вторая мировые войны) доказала неэффективность продолжения такой хозяйственной практики. В деловых кругах того времени появилось</w:t>
      </w:r>
      <w:r w:rsidRPr="003D7553">
        <w:t xml:space="preserve"> </w:t>
      </w:r>
      <w:r w:rsidRPr="003D7553">
        <w:rPr>
          <w:rStyle w:val="16"/>
        </w:rPr>
        <w:t>осознание необходимости большей открытости рынков для всех товаропроизводителей, на которых товары бы конкурировали за счет своих качественных и</w:t>
      </w:r>
      <w:r w:rsidRPr="003D7553">
        <w:t xml:space="preserve"> </w:t>
      </w:r>
      <w:r w:rsidRPr="003D7553">
        <w:rPr>
          <w:rStyle w:val="16"/>
        </w:rPr>
        <w:t>ценовых преимуществ.</w:t>
      </w:r>
    </w:p>
    <w:p w14:paraId="0C875574" w14:textId="77777777" w:rsidR="00202D58" w:rsidRPr="003D7553" w:rsidRDefault="00202D58" w:rsidP="00202D58">
      <w:pPr>
        <w:pStyle w:val="a9"/>
        <w:widowControl w:val="0"/>
        <w:spacing w:before="0" w:beforeAutospacing="0" w:after="0" w:afterAutospacing="0"/>
        <w:ind w:firstLine="709"/>
        <w:jc w:val="both"/>
        <w:rPr>
          <w:rStyle w:val="16"/>
        </w:rPr>
      </w:pPr>
      <w:r w:rsidRPr="003D7553">
        <w:rPr>
          <w:rStyle w:val="16"/>
        </w:rPr>
        <w:t>После создания ООН, формирования МВФ для помощи бедным странам и</w:t>
      </w:r>
      <w:r w:rsidRPr="003D7553">
        <w:t xml:space="preserve"> </w:t>
      </w:r>
      <w:r w:rsidRPr="003D7553">
        <w:rPr>
          <w:rStyle w:val="16"/>
        </w:rPr>
        <w:t>странам, вышедшим из колониальной зависимости, а также провозглашения</w:t>
      </w:r>
      <w:r w:rsidRPr="003D7553">
        <w:t xml:space="preserve"> </w:t>
      </w:r>
      <w:r w:rsidRPr="003D7553">
        <w:rPr>
          <w:rStyle w:val="16"/>
        </w:rPr>
        <w:t xml:space="preserve">курса мировой политики </w:t>
      </w:r>
      <w:r w:rsidRPr="003D7553">
        <w:rPr>
          <w:rStyle w:val="16"/>
        </w:rPr>
        <w:lastRenderedPageBreak/>
        <w:t>на ликвидацию колониального режима все большее</w:t>
      </w:r>
      <w:r w:rsidRPr="003D7553">
        <w:t xml:space="preserve"> </w:t>
      </w:r>
      <w:r w:rsidRPr="003D7553">
        <w:rPr>
          <w:rStyle w:val="16"/>
        </w:rPr>
        <w:t>количество стран получали формальную политическую независимость</w:t>
      </w:r>
      <w:r w:rsidRPr="003D7553">
        <w:t xml:space="preserve"> </w:t>
      </w:r>
      <w:r w:rsidRPr="003D7553">
        <w:rPr>
          <w:rStyle w:val="16"/>
        </w:rPr>
        <w:t>(оставаясь, по сути, зависимыми в экономическом плане). Это означало для них, что их рынки стали открытыми для всех без исключения экспортеров, и сами эти</w:t>
      </w:r>
      <w:r w:rsidRPr="003D7553">
        <w:t xml:space="preserve"> </w:t>
      </w:r>
      <w:r w:rsidRPr="003D7553">
        <w:rPr>
          <w:rStyle w:val="16"/>
        </w:rPr>
        <w:t>государства получили право экспортировать свои товары на те рынки, где они</w:t>
      </w:r>
      <w:r w:rsidRPr="003D7553">
        <w:t xml:space="preserve"> </w:t>
      </w:r>
      <w:r w:rsidRPr="003D7553">
        <w:rPr>
          <w:rStyle w:val="16"/>
        </w:rPr>
        <w:t xml:space="preserve">могли получить наибольшие преимущества. </w:t>
      </w:r>
    </w:p>
    <w:p w14:paraId="55D19C89" w14:textId="77777777" w:rsidR="00202D58" w:rsidRPr="003D7553" w:rsidRDefault="00202D58" w:rsidP="00202D58">
      <w:pPr>
        <w:widowControl w:val="0"/>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настоящее время большинство российских организаций бизнеса отстает от зарубежных конкурентов в области управленческих технологий, поэтому актуален вопрос обеспечения высоких конкурентоспособных позиций российского бизнеса, внедрения современных управленческих технологий, направленных на выстраивание эффективного хозяйствования. Развитие внешнеэкономического потенциала организаций бизнеса обеспечивается, со стороны государства формированием благоприятной предпринимательской среды, налоговых, финансовых, информационных инструментов, инфраструктуры эффективной системной поддержки организаций бизнеса, а со стороны организаций бизнеса – адекватным восприятием правил хозяйственной деятельности в стремительно изменяющихся условиях и осознанием необходимости превентивных действий, обеспечивающих выживание и успешное развитие в условиях международной интеграции на вновь открывающихся рынках. </w:t>
      </w:r>
    </w:p>
    <w:p w14:paraId="40B0AD8D" w14:textId="77777777" w:rsidR="00202D58" w:rsidRPr="003D7553" w:rsidRDefault="00202D58" w:rsidP="00202D58">
      <w:pPr>
        <w:widowControl w:val="0"/>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Переход от понятия «экспортный потенциал» к понятию «внешнеэкономический потенциал» обуславливается расширением направлений международных экономических отношений. При этом акцент должен делаться на более полное включение региона в процессы глобализации и международного экономического сотрудничества. Так как использование потенциала внешнеэкономической деятельности может вовсе не означать участие экономики региона только во внешнеторговых процессах, а предусматривать создание совместных производств, нацеленных на внутренний рынок, или заимствование зарубежных технологий, интеллектуальной собственности, товарных знаков, что также является использованием потенциальных возможностей, предоставляемых внешнеэкономической деятельностью в условиях интеграции. Исходя из вышесказанного, под внешнеэкономическим потенциалом региона следует понимать совокупную способность экономики региона осуществлять внешнеэкономическую деятельность, реализация которого заключается в сбалансированном социально-экономическом развитии региона посредством использования как внутренних, так и внешних резервов региона. В настоящее время не существует универсального показателя и тем более общепринятой методики оценки внешнеэкономического потенциала региона. На наш взгляд, для его количественного выражения целесообразно применить систему статистических показателей, состоящую из абсолютных и относительных величин. К абсолютным относятся: – валовой региональный продукт; экспорт; импорт; внешнеторговый оборот и сальдо внешней торговли [6]. Относительные показатели и критерии их оценки представлены в таблице 1.</w:t>
      </w:r>
    </w:p>
    <w:p w14:paraId="72E29304" w14:textId="77777777" w:rsidR="00202D58" w:rsidRPr="003D7553" w:rsidRDefault="00202D58" w:rsidP="00202D58">
      <w:pPr>
        <w:pStyle w:val="afa"/>
        <w:rPr>
          <w:rFonts w:cs="Times New Roman"/>
          <w:sz w:val="24"/>
          <w:szCs w:val="24"/>
        </w:rPr>
      </w:pPr>
      <w:r w:rsidRPr="003D7553">
        <w:rPr>
          <w:rFonts w:cs="Times New Roman"/>
          <w:sz w:val="24"/>
          <w:szCs w:val="24"/>
        </w:rPr>
        <w:t>Таблица 1</w:t>
      </w:r>
    </w:p>
    <w:p w14:paraId="4B79387B" w14:textId="77777777" w:rsidR="00202D58" w:rsidRPr="003D7553" w:rsidRDefault="00202D58" w:rsidP="00202D58">
      <w:pPr>
        <w:pStyle w:val="af5"/>
        <w:keepNext/>
        <w:widowControl/>
        <w:spacing w:before="120" w:after="120"/>
        <w:jc w:val="center"/>
        <w:outlineLvl w:val="0"/>
        <w:rPr>
          <w:b/>
          <w:kern w:val="28"/>
        </w:rPr>
      </w:pPr>
      <w:r w:rsidRPr="003D7553">
        <w:rPr>
          <w:b/>
          <w:kern w:val="28"/>
        </w:rPr>
        <w:t>Относительные показатели использования внешнеэкономического потенциала региона</w:t>
      </w:r>
    </w:p>
    <w:tbl>
      <w:tblPr>
        <w:tblStyle w:val="a3"/>
        <w:tblW w:w="0" w:type="auto"/>
        <w:tblLook w:val="04A0" w:firstRow="1" w:lastRow="0" w:firstColumn="1" w:lastColumn="0" w:noHBand="0" w:noVBand="1"/>
      </w:tblPr>
      <w:tblGrid>
        <w:gridCol w:w="3510"/>
        <w:gridCol w:w="2870"/>
        <w:gridCol w:w="3191"/>
      </w:tblGrid>
      <w:tr w:rsidR="00202D58" w:rsidRPr="003D7553" w14:paraId="273C724E" w14:textId="77777777" w:rsidTr="001F333E">
        <w:tc>
          <w:tcPr>
            <w:tcW w:w="3510" w:type="dxa"/>
          </w:tcPr>
          <w:p w14:paraId="0AE9EF43" w14:textId="77777777" w:rsidR="00202D58" w:rsidRPr="003D7553" w:rsidRDefault="00202D58" w:rsidP="00202D58">
            <w:pPr>
              <w:pStyle w:val="15"/>
              <w:rPr>
                <w:sz w:val="24"/>
                <w:szCs w:val="24"/>
              </w:rPr>
            </w:pPr>
            <w:r w:rsidRPr="003D7553">
              <w:rPr>
                <w:sz w:val="24"/>
                <w:szCs w:val="24"/>
              </w:rPr>
              <w:t>Показатель</w:t>
            </w:r>
          </w:p>
        </w:tc>
        <w:tc>
          <w:tcPr>
            <w:tcW w:w="2870" w:type="dxa"/>
          </w:tcPr>
          <w:p w14:paraId="3B464135" w14:textId="77777777" w:rsidR="00202D58" w:rsidRPr="003D7553" w:rsidRDefault="00202D58" w:rsidP="00202D58">
            <w:pPr>
              <w:pStyle w:val="15"/>
              <w:rPr>
                <w:sz w:val="24"/>
                <w:szCs w:val="24"/>
              </w:rPr>
            </w:pPr>
            <w:r w:rsidRPr="003D7553">
              <w:rPr>
                <w:sz w:val="24"/>
                <w:szCs w:val="24"/>
              </w:rPr>
              <w:t>Механизм расчета</w:t>
            </w:r>
          </w:p>
        </w:tc>
        <w:tc>
          <w:tcPr>
            <w:tcW w:w="3191" w:type="dxa"/>
          </w:tcPr>
          <w:p w14:paraId="58E7885E" w14:textId="77777777" w:rsidR="00202D58" w:rsidRPr="003D7553" w:rsidRDefault="00202D58" w:rsidP="00202D58">
            <w:pPr>
              <w:pStyle w:val="15"/>
              <w:rPr>
                <w:sz w:val="24"/>
                <w:szCs w:val="24"/>
              </w:rPr>
            </w:pPr>
            <w:r w:rsidRPr="003D7553">
              <w:rPr>
                <w:sz w:val="24"/>
                <w:szCs w:val="24"/>
              </w:rPr>
              <w:t>Экономический смысл</w:t>
            </w:r>
          </w:p>
        </w:tc>
      </w:tr>
      <w:tr w:rsidR="00202D58" w:rsidRPr="003D7553" w14:paraId="41A29F79" w14:textId="77777777" w:rsidTr="001F333E">
        <w:tc>
          <w:tcPr>
            <w:tcW w:w="3510" w:type="dxa"/>
          </w:tcPr>
          <w:p w14:paraId="579543BA" w14:textId="77777777" w:rsidR="00202D58" w:rsidRPr="003D7553" w:rsidRDefault="00202D58" w:rsidP="00202D58">
            <w:pPr>
              <w:pStyle w:val="afb"/>
              <w:rPr>
                <w:sz w:val="24"/>
                <w:szCs w:val="24"/>
              </w:rPr>
            </w:pPr>
            <w:r w:rsidRPr="003D7553">
              <w:rPr>
                <w:sz w:val="24"/>
                <w:szCs w:val="24"/>
              </w:rPr>
              <w:t>Темп роста экспорта, %</w:t>
            </w:r>
          </w:p>
        </w:tc>
        <w:tc>
          <w:tcPr>
            <w:tcW w:w="2870" w:type="dxa"/>
          </w:tcPr>
          <w:p w14:paraId="3C616029" w14:textId="77777777" w:rsidR="00202D58" w:rsidRPr="003D7553" w:rsidRDefault="00202D58" w:rsidP="00202D58">
            <w:pPr>
              <w:pStyle w:val="afb"/>
              <w:rPr>
                <w:sz w:val="24"/>
                <w:szCs w:val="24"/>
              </w:rPr>
            </w:pPr>
            <m:oMathPara>
              <m:oMath>
                <m:r>
                  <m:rPr>
                    <m:sty m:val="p"/>
                  </m:rPr>
                  <w:rPr>
                    <w:rFonts w:ascii="Cambria Math"/>
                    <w:sz w:val="24"/>
                    <w:szCs w:val="24"/>
                  </w:rPr>
                  <m:t>ТрЭ</m:t>
                </m:r>
                <m:r>
                  <m:rPr>
                    <m:sty m:val="p"/>
                  </m:rPr>
                  <w:rPr>
                    <w:rFonts w:ascii="Cambria Math"/>
                    <w:sz w:val="24"/>
                    <w:szCs w:val="24"/>
                  </w:rPr>
                  <m:t>=</m:t>
                </m:r>
                <m:f>
                  <m:fPr>
                    <m:ctrlPr>
                      <w:rPr>
                        <w:rFonts w:ascii="Cambria Math" w:hAnsi="Cambria Math"/>
                        <w:sz w:val="24"/>
                        <w:szCs w:val="24"/>
                      </w:rPr>
                    </m:ctrlPr>
                  </m:fPr>
                  <m:num>
                    <m:r>
                      <m:rPr>
                        <m:sty m:val="p"/>
                      </m:rPr>
                      <w:rPr>
                        <w:rFonts w:ascii="Cambria Math"/>
                        <w:sz w:val="24"/>
                        <w:szCs w:val="24"/>
                      </w:rPr>
                      <m:t>Э</m:t>
                    </m:r>
                    <m:r>
                      <m:rPr>
                        <m:sty m:val="p"/>
                      </m:rPr>
                      <w:rPr>
                        <w:rFonts w:ascii="Cambria Math"/>
                        <w:sz w:val="24"/>
                        <w:szCs w:val="24"/>
                      </w:rPr>
                      <m:t>i</m:t>
                    </m:r>
                  </m:num>
                  <m:den>
                    <m:sSub>
                      <m:sSubPr>
                        <m:ctrlPr>
                          <w:rPr>
                            <w:rFonts w:ascii="Cambria Math" w:hAnsi="Cambria Math"/>
                            <w:sz w:val="24"/>
                            <w:szCs w:val="24"/>
                          </w:rPr>
                        </m:ctrlPr>
                      </m:sSubPr>
                      <m:e>
                        <m:r>
                          <m:rPr>
                            <m:sty m:val="p"/>
                          </m:rPr>
                          <w:rPr>
                            <w:rFonts w:ascii="Cambria Math"/>
                            <w:sz w:val="24"/>
                            <w:szCs w:val="24"/>
                          </w:rPr>
                          <m:t>Э</m:t>
                        </m:r>
                      </m:e>
                      <m:sub>
                        <m:r>
                          <m:rPr>
                            <m:sty m:val="p"/>
                          </m:rPr>
                          <w:rPr>
                            <w:rFonts w:ascii="Cambria Math"/>
                            <w:sz w:val="24"/>
                            <w:szCs w:val="24"/>
                          </w:rPr>
                          <m:t>0</m:t>
                        </m:r>
                      </m:sub>
                    </m:sSub>
                  </m:den>
                </m:f>
                <m:r>
                  <m:rPr>
                    <m:sty m:val="p"/>
                  </m:rPr>
                  <w:rPr>
                    <w:rFonts w:ascii="Cambria Math" w:hAnsi="Cambria Math"/>
                    <w:sz w:val="24"/>
                    <w:szCs w:val="24"/>
                  </w:rPr>
                  <m:t>*</m:t>
                </m:r>
                <m:r>
                  <m:rPr>
                    <m:sty m:val="p"/>
                  </m:rPr>
                  <w:rPr>
                    <w:rFonts w:ascii="Cambria Math"/>
                    <w:sz w:val="24"/>
                    <w:szCs w:val="24"/>
                  </w:rPr>
                  <m:t>100%</m:t>
                </m:r>
              </m:oMath>
            </m:oMathPara>
          </w:p>
        </w:tc>
        <w:tc>
          <w:tcPr>
            <w:tcW w:w="3191" w:type="dxa"/>
            <w:vMerge w:val="restart"/>
          </w:tcPr>
          <w:p w14:paraId="58EBCAB5" w14:textId="77777777" w:rsidR="00202D58" w:rsidRPr="003D7553" w:rsidRDefault="00202D58" w:rsidP="00202D58">
            <w:pPr>
              <w:pStyle w:val="afb"/>
              <w:rPr>
                <w:sz w:val="24"/>
                <w:szCs w:val="24"/>
              </w:rPr>
            </w:pPr>
            <w:r w:rsidRPr="003D7553">
              <w:rPr>
                <w:sz w:val="24"/>
                <w:szCs w:val="24"/>
              </w:rPr>
              <w:t>Показывает, во сколько раз увеличился показатель в исследуемом периоде по сравнению с базисным, или, в случае его сокращения, какую долю он составил от базисного уровня</w:t>
            </w:r>
          </w:p>
        </w:tc>
      </w:tr>
      <w:tr w:rsidR="00202D58" w:rsidRPr="003D7553" w14:paraId="52E98F1A" w14:textId="77777777" w:rsidTr="001F333E">
        <w:tc>
          <w:tcPr>
            <w:tcW w:w="3510" w:type="dxa"/>
          </w:tcPr>
          <w:p w14:paraId="11B70929" w14:textId="77777777" w:rsidR="00202D58" w:rsidRPr="003D7553" w:rsidRDefault="00202D58" w:rsidP="00202D58">
            <w:pPr>
              <w:pStyle w:val="afb"/>
              <w:rPr>
                <w:sz w:val="24"/>
                <w:szCs w:val="24"/>
              </w:rPr>
            </w:pPr>
            <w:r w:rsidRPr="003D7553">
              <w:rPr>
                <w:sz w:val="24"/>
                <w:szCs w:val="24"/>
              </w:rPr>
              <w:t>Темп роста импорта, %</w:t>
            </w:r>
          </w:p>
        </w:tc>
        <w:tc>
          <w:tcPr>
            <w:tcW w:w="2870" w:type="dxa"/>
          </w:tcPr>
          <w:p w14:paraId="4C7A0984" w14:textId="77777777" w:rsidR="00202D58" w:rsidRPr="003D7553" w:rsidRDefault="00202D58" w:rsidP="00202D58">
            <w:pPr>
              <w:pStyle w:val="afb"/>
              <w:rPr>
                <w:sz w:val="24"/>
                <w:szCs w:val="24"/>
              </w:rPr>
            </w:pPr>
            <m:oMathPara>
              <m:oMath>
                <m:r>
                  <m:rPr>
                    <m:sty m:val="p"/>
                  </m:rPr>
                  <w:rPr>
                    <w:rFonts w:ascii="Cambria Math"/>
                    <w:sz w:val="24"/>
                    <w:szCs w:val="24"/>
                  </w:rPr>
                  <m:t>ТрИ</m:t>
                </m:r>
                <m:r>
                  <m:rPr>
                    <m:sty m:val="p"/>
                  </m:rPr>
                  <w:rPr>
                    <w:rFonts w:ascii="Cambria Math"/>
                    <w:sz w:val="24"/>
                    <w:szCs w:val="24"/>
                  </w:rPr>
                  <m:t>=</m:t>
                </m:r>
                <m:f>
                  <m:fPr>
                    <m:ctrlPr>
                      <w:rPr>
                        <w:rFonts w:ascii="Cambria Math" w:hAnsi="Cambria Math"/>
                        <w:sz w:val="24"/>
                        <w:szCs w:val="24"/>
                      </w:rPr>
                    </m:ctrlPr>
                  </m:fPr>
                  <m:num>
                    <m:r>
                      <m:rPr>
                        <m:sty m:val="p"/>
                      </m:rPr>
                      <w:rPr>
                        <w:rFonts w:ascii="Cambria Math"/>
                        <w:sz w:val="24"/>
                        <w:szCs w:val="24"/>
                      </w:rPr>
                      <m:t>И</m:t>
                    </m:r>
                    <m:r>
                      <m:rPr>
                        <m:sty m:val="p"/>
                      </m:rPr>
                      <w:rPr>
                        <w:rFonts w:ascii="Cambria Math"/>
                        <w:sz w:val="24"/>
                        <w:szCs w:val="24"/>
                      </w:rPr>
                      <m:t>i</m:t>
                    </m:r>
                  </m:num>
                  <m:den>
                    <m:r>
                      <m:rPr>
                        <m:sty m:val="p"/>
                      </m:rPr>
                      <w:rPr>
                        <w:rFonts w:ascii="Cambria Math"/>
                        <w:sz w:val="24"/>
                        <w:szCs w:val="24"/>
                      </w:rPr>
                      <m:t>И</m:t>
                    </m:r>
                    <m:r>
                      <m:rPr>
                        <m:sty m:val="p"/>
                      </m:rPr>
                      <w:rPr>
                        <w:rFonts w:ascii="Cambria Math"/>
                        <w:sz w:val="24"/>
                        <w:szCs w:val="24"/>
                      </w:rPr>
                      <m:t>0</m:t>
                    </m:r>
                  </m:den>
                </m:f>
                <m:r>
                  <m:rPr>
                    <m:sty m:val="p"/>
                  </m:rPr>
                  <w:rPr>
                    <w:rFonts w:ascii="Cambria Math" w:hAnsi="Cambria Math"/>
                    <w:sz w:val="24"/>
                    <w:szCs w:val="24"/>
                  </w:rPr>
                  <m:t>*</m:t>
                </m:r>
                <m:r>
                  <m:rPr>
                    <m:sty m:val="p"/>
                  </m:rPr>
                  <w:rPr>
                    <w:rFonts w:ascii="Cambria Math"/>
                    <w:sz w:val="24"/>
                    <w:szCs w:val="24"/>
                  </w:rPr>
                  <m:t>100%</m:t>
                </m:r>
              </m:oMath>
            </m:oMathPara>
          </w:p>
        </w:tc>
        <w:tc>
          <w:tcPr>
            <w:tcW w:w="3191" w:type="dxa"/>
            <w:vMerge/>
          </w:tcPr>
          <w:p w14:paraId="1FE2DD96" w14:textId="77777777" w:rsidR="00202D58" w:rsidRPr="003D7553" w:rsidRDefault="00202D58" w:rsidP="00202D58">
            <w:pPr>
              <w:pStyle w:val="afb"/>
              <w:rPr>
                <w:sz w:val="24"/>
                <w:szCs w:val="24"/>
              </w:rPr>
            </w:pPr>
          </w:p>
        </w:tc>
      </w:tr>
      <w:tr w:rsidR="00202D58" w:rsidRPr="003D7553" w14:paraId="4382E33D" w14:textId="77777777" w:rsidTr="001F333E">
        <w:tc>
          <w:tcPr>
            <w:tcW w:w="3510" w:type="dxa"/>
          </w:tcPr>
          <w:p w14:paraId="4FB6715D" w14:textId="77777777" w:rsidR="00202D58" w:rsidRPr="003D7553" w:rsidRDefault="00202D58" w:rsidP="00202D58">
            <w:pPr>
              <w:pStyle w:val="afb"/>
              <w:rPr>
                <w:sz w:val="24"/>
                <w:szCs w:val="24"/>
              </w:rPr>
            </w:pPr>
            <w:r w:rsidRPr="003D7553">
              <w:rPr>
                <w:sz w:val="24"/>
                <w:szCs w:val="24"/>
              </w:rPr>
              <w:t>Темп роста внешнеторгового оборота, %</w:t>
            </w:r>
          </w:p>
        </w:tc>
        <w:tc>
          <w:tcPr>
            <w:tcW w:w="2870" w:type="dxa"/>
          </w:tcPr>
          <w:p w14:paraId="5724E94D" w14:textId="77777777" w:rsidR="00202D58" w:rsidRPr="003D7553" w:rsidRDefault="00202D58" w:rsidP="00202D58">
            <w:pPr>
              <w:pStyle w:val="afb"/>
              <w:rPr>
                <w:sz w:val="24"/>
                <w:szCs w:val="24"/>
              </w:rPr>
            </w:pPr>
            <m:oMathPara>
              <m:oMath>
                <m:r>
                  <m:rPr>
                    <m:sty m:val="p"/>
                  </m:rPr>
                  <w:rPr>
                    <w:rFonts w:ascii="Cambria Math"/>
                    <w:sz w:val="24"/>
                    <w:szCs w:val="24"/>
                  </w:rPr>
                  <m:t>ТрВТО</m:t>
                </m:r>
                <m:r>
                  <m:rPr>
                    <m:sty m:val="p"/>
                  </m:rPr>
                  <w:rPr>
                    <w:rFonts w:ascii="Cambria Math"/>
                    <w:sz w:val="24"/>
                    <w:szCs w:val="24"/>
                  </w:rPr>
                  <m:t>=</m:t>
                </m:r>
                <m:f>
                  <m:fPr>
                    <m:ctrlPr>
                      <w:rPr>
                        <w:rFonts w:ascii="Cambria Math" w:hAnsi="Cambria Math"/>
                        <w:sz w:val="24"/>
                        <w:szCs w:val="24"/>
                      </w:rPr>
                    </m:ctrlPr>
                  </m:fPr>
                  <m:num>
                    <m:r>
                      <m:rPr>
                        <m:sty m:val="p"/>
                      </m:rPr>
                      <w:rPr>
                        <w:rFonts w:ascii="Cambria Math"/>
                        <w:sz w:val="24"/>
                        <w:szCs w:val="24"/>
                      </w:rPr>
                      <m:t>ВТО</m:t>
                    </m:r>
                    <m:r>
                      <m:rPr>
                        <m:sty m:val="p"/>
                      </m:rPr>
                      <w:rPr>
                        <w:rFonts w:ascii="Cambria Math"/>
                        <w:sz w:val="24"/>
                        <w:szCs w:val="24"/>
                      </w:rPr>
                      <m:t>i</m:t>
                    </m:r>
                  </m:num>
                  <m:den>
                    <m:r>
                      <m:rPr>
                        <m:sty m:val="p"/>
                      </m:rPr>
                      <w:rPr>
                        <w:rFonts w:ascii="Cambria Math"/>
                        <w:sz w:val="24"/>
                        <w:szCs w:val="24"/>
                      </w:rPr>
                      <m:t>ВТО</m:t>
                    </m:r>
                    <m:r>
                      <m:rPr>
                        <m:sty m:val="p"/>
                      </m:rPr>
                      <w:rPr>
                        <w:rFonts w:ascii="Cambria Math"/>
                        <w:sz w:val="24"/>
                        <w:szCs w:val="24"/>
                      </w:rPr>
                      <m:t>0</m:t>
                    </m:r>
                  </m:den>
                </m:f>
                <m:r>
                  <m:rPr>
                    <m:sty m:val="p"/>
                  </m:rPr>
                  <w:rPr>
                    <w:rFonts w:ascii="Cambria Math" w:hAnsi="Cambria Math"/>
                    <w:sz w:val="24"/>
                    <w:szCs w:val="24"/>
                  </w:rPr>
                  <m:t>*</m:t>
                </m:r>
                <m:r>
                  <m:rPr>
                    <m:sty m:val="p"/>
                  </m:rPr>
                  <w:rPr>
                    <w:rFonts w:ascii="Cambria Math"/>
                    <w:sz w:val="24"/>
                    <w:szCs w:val="24"/>
                  </w:rPr>
                  <m:t>100%</m:t>
                </m:r>
              </m:oMath>
            </m:oMathPara>
          </w:p>
        </w:tc>
        <w:tc>
          <w:tcPr>
            <w:tcW w:w="3191" w:type="dxa"/>
            <w:vMerge/>
          </w:tcPr>
          <w:p w14:paraId="27357532" w14:textId="77777777" w:rsidR="00202D58" w:rsidRPr="003D7553" w:rsidRDefault="00202D58" w:rsidP="00202D58">
            <w:pPr>
              <w:pStyle w:val="afb"/>
              <w:rPr>
                <w:sz w:val="24"/>
                <w:szCs w:val="24"/>
              </w:rPr>
            </w:pPr>
          </w:p>
        </w:tc>
      </w:tr>
      <w:tr w:rsidR="00202D58" w:rsidRPr="003D7553" w14:paraId="74719DB2" w14:textId="77777777" w:rsidTr="001F333E">
        <w:tc>
          <w:tcPr>
            <w:tcW w:w="3510" w:type="dxa"/>
          </w:tcPr>
          <w:p w14:paraId="2E990FF0" w14:textId="77777777" w:rsidR="00202D58" w:rsidRPr="003D7553" w:rsidRDefault="00202D58" w:rsidP="00202D58">
            <w:pPr>
              <w:pStyle w:val="afb"/>
              <w:rPr>
                <w:sz w:val="24"/>
                <w:szCs w:val="24"/>
              </w:rPr>
            </w:pPr>
            <w:r w:rsidRPr="003D7553">
              <w:rPr>
                <w:sz w:val="24"/>
                <w:szCs w:val="24"/>
              </w:rPr>
              <w:t>Экспортная квота, %</w:t>
            </w:r>
          </w:p>
        </w:tc>
        <w:tc>
          <w:tcPr>
            <w:tcW w:w="2870" w:type="dxa"/>
          </w:tcPr>
          <w:p w14:paraId="17D6BC25" w14:textId="77777777" w:rsidR="00202D58" w:rsidRPr="003D7553" w:rsidRDefault="00202D58" w:rsidP="00202D58">
            <w:pPr>
              <w:pStyle w:val="afb"/>
              <w:rPr>
                <w:sz w:val="24"/>
                <w:szCs w:val="24"/>
              </w:rPr>
            </w:pPr>
            <m:oMathPara>
              <m:oMath>
                <m:r>
                  <m:rPr>
                    <m:sty m:val="p"/>
                  </m:rPr>
                  <w:rPr>
                    <w:rFonts w:ascii="Cambria Math"/>
                    <w:sz w:val="24"/>
                    <w:szCs w:val="24"/>
                  </w:rPr>
                  <m:t>I1=</m:t>
                </m:r>
                <m:f>
                  <m:fPr>
                    <m:ctrlPr>
                      <w:rPr>
                        <w:rFonts w:ascii="Cambria Math" w:hAnsi="Cambria Math"/>
                        <w:sz w:val="24"/>
                        <w:szCs w:val="24"/>
                      </w:rPr>
                    </m:ctrlPr>
                  </m:fPr>
                  <m:num>
                    <m:r>
                      <m:rPr>
                        <m:sty m:val="p"/>
                      </m:rPr>
                      <w:rPr>
                        <w:rFonts w:ascii="Cambria Math"/>
                        <w:sz w:val="24"/>
                        <w:szCs w:val="24"/>
                      </w:rPr>
                      <m:t>Э</m:t>
                    </m:r>
                  </m:num>
                  <m:den>
                    <m:r>
                      <m:rPr>
                        <m:sty m:val="p"/>
                      </m:rPr>
                      <w:rPr>
                        <w:rFonts w:ascii="Cambria Math"/>
                        <w:sz w:val="24"/>
                        <w:szCs w:val="24"/>
                      </w:rPr>
                      <m:t>ВРП</m:t>
                    </m:r>
                  </m:den>
                </m:f>
                <m:r>
                  <m:rPr>
                    <m:sty m:val="p"/>
                  </m:rPr>
                  <w:rPr>
                    <w:rFonts w:ascii="Cambria Math" w:hAnsi="Cambria Math"/>
                    <w:sz w:val="24"/>
                    <w:szCs w:val="24"/>
                  </w:rPr>
                  <m:t>*</m:t>
                </m:r>
                <m:r>
                  <m:rPr>
                    <m:sty m:val="p"/>
                  </m:rPr>
                  <w:rPr>
                    <w:rFonts w:ascii="Cambria Math"/>
                    <w:sz w:val="24"/>
                    <w:szCs w:val="24"/>
                  </w:rPr>
                  <m:t>100%</m:t>
                </m:r>
              </m:oMath>
            </m:oMathPara>
          </w:p>
        </w:tc>
        <w:tc>
          <w:tcPr>
            <w:tcW w:w="3191" w:type="dxa"/>
            <w:vMerge w:val="restart"/>
          </w:tcPr>
          <w:p w14:paraId="54656947" w14:textId="77777777" w:rsidR="00202D58" w:rsidRPr="003D7553" w:rsidRDefault="00202D58" w:rsidP="00202D58">
            <w:pPr>
              <w:pStyle w:val="afb"/>
              <w:rPr>
                <w:sz w:val="24"/>
                <w:szCs w:val="24"/>
              </w:rPr>
            </w:pPr>
            <w:r w:rsidRPr="003D7553">
              <w:rPr>
                <w:sz w:val="24"/>
                <w:szCs w:val="24"/>
              </w:rPr>
              <w:t xml:space="preserve">Характеризует включенность региона во </w:t>
            </w:r>
            <w:r w:rsidRPr="003D7553">
              <w:rPr>
                <w:sz w:val="24"/>
                <w:szCs w:val="24"/>
              </w:rPr>
              <w:lastRenderedPageBreak/>
              <w:t>внешнеэкономическую деятельность с позиций экспорт/импорт</w:t>
            </w:r>
          </w:p>
        </w:tc>
      </w:tr>
      <w:tr w:rsidR="00202D58" w:rsidRPr="003D7553" w14:paraId="17E226EB" w14:textId="77777777" w:rsidTr="001F333E">
        <w:tc>
          <w:tcPr>
            <w:tcW w:w="3510" w:type="dxa"/>
          </w:tcPr>
          <w:p w14:paraId="544375AE" w14:textId="77777777" w:rsidR="00202D58" w:rsidRPr="003D7553" w:rsidRDefault="00202D58" w:rsidP="00202D58">
            <w:pPr>
              <w:pStyle w:val="afb"/>
              <w:rPr>
                <w:sz w:val="24"/>
                <w:szCs w:val="24"/>
              </w:rPr>
            </w:pPr>
            <w:r w:rsidRPr="003D7553">
              <w:rPr>
                <w:sz w:val="24"/>
                <w:szCs w:val="24"/>
              </w:rPr>
              <w:lastRenderedPageBreak/>
              <w:t>Импортная квота, %</w:t>
            </w:r>
          </w:p>
        </w:tc>
        <w:tc>
          <w:tcPr>
            <w:tcW w:w="2870" w:type="dxa"/>
          </w:tcPr>
          <w:p w14:paraId="0F976015" w14:textId="77777777" w:rsidR="00202D58" w:rsidRPr="003D7553" w:rsidRDefault="00202D58" w:rsidP="00202D58">
            <w:pPr>
              <w:pStyle w:val="afb"/>
              <w:rPr>
                <w:sz w:val="24"/>
                <w:szCs w:val="24"/>
              </w:rPr>
            </w:pPr>
            <m:oMathPara>
              <m:oMath>
                <m:r>
                  <m:rPr>
                    <m:sty m:val="p"/>
                  </m:rPr>
                  <w:rPr>
                    <w:rFonts w:ascii="Cambria Math"/>
                    <w:sz w:val="24"/>
                    <w:szCs w:val="24"/>
                  </w:rPr>
                  <m:t>I2=</m:t>
                </m:r>
                <m:f>
                  <m:fPr>
                    <m:ctrlPr>
                      <w:rPr>
                        <w:rFonts w:ascii="Cambria Math" w:hAnsi="Cambria Math"/>
                        <w:sz w:val="24"/>
                        <w:szCs w:val="24"/>
                      </w:rPr>
                    </m:ctrlPr>
                  </m:fPr>
                  <m:num>
                    <m:r>
                      <m:rPr>
                        <m:sty m:val="p"/>
                      </m:rPr>
                      <w:rPr>
                        <w:rFonts w:ascii="Cambria Math"/>
                        <w:sz w:val="24"/>
                        <w:szCs w:val="24"/>
                      </w:rPr>
                      <m:t>И</m:t>
                    </m:r>
                  </m:num>
                  <m:den>
                    <m:r>
                      <m:rPr>
                        <m:sty m:val="p"/>
                      </m:rPr>
                      <w:rPr>
                        <w:rFonts w:ascii="Cambria Math"/>
                        <w:sz w:val="24"/>
                        <w:szCs w:val="24"/>
                      </w:rPr>
                      <m:t>ВРП</m:t>
                    </m:r>
                  </m:den>
                </m:f>
                <m:r>
                  <m:rPr>
                    <m:sty m:val="p"/>
                  </m:rPr>
                  <w:rPr>
                    <w:rFonts w:ascii="Cambria Math" w:hAnsi="Cambria Math"/>
                    <w:sz w:val="24"/>
                    <w:szCs w:val="24"/>
                  </w:rPr>
                  <m:t>*</m:t>
                </m:r>
                <m:r>
                  <m:rPr>
                    <m:sty m:val="p"/>
                  </m:rPr>
                  <w:rPr>
                    <w:rFonts w:ascii="Cambria Math"/>
                    <w:sz w:val="24"/>
                    <w:szCs w:val="24"/>
                  </w:rPr>
                  <m:t>100%</m:t>
                </m:r>
              </m:oMath>
            </m:oMathPara>
          </w:p>
        </w:tc>
        <w:tc>
          <w:tcPr>
            <w:tcW w:w="3191" w:type="dxa"/>
            <w:vMerge/>
          </w:tcPr>
          <w:p w14:paraId="07F023C8" w14:textId="77777777" w:rsidR="00202D58" w:rsidRPr="003D7553" w:rsidRDefault="00202D58" w:rsidP="00202D58">
            <w:pPr>
              <w:pStyle w:val="afb"/>
              <w:rPr>
                <w:sz w:val="24"/>
                <w:szCs w:val="24"/>
              </w:rPr>
            </w:pPr>
          </w:p>
        </w:tc>
      </w:tr>
      <w:tr w:rsidR="00202D58" w:rsidRPr="003D7553" w14:paraId="1D902A49" w14:textId="77777777" w:rsidTr="001F333E">
        <w:tc>
          <w:tcPr>
            <w:tcW w:w="3510" w:type="dxa"/>
          </w:tcPr>
          <w:p w14:paraId="0A7B3942" w14:textId="77777777" w:rsidR="00202D58" w:rsidRPr="003D7553" w:rsidRDefault="00202D58" w:rsidP="00202D58">
            <w:pPr>
              <w:pStyle w:val="afb"/>
              <w:rPr>
                <w:sz w:val="24"/>
                <w:szCs w:val="24"/>
              </w:rPr>
            </w:pPr>
            <w:r w:rsidRPr="003D7553">
              <w:rPr>
                <w:sz w:val="24"/>
                <w:szCs w:val="24"/>
              </w:rPr>
              <w:lastRenderedPageBreak/>
              <w:t>Коэффициент открытости экономики, 100%</w:t>
            </w:r>
          </w:p>
        </w:tc>
        <w:tc>
          <w:tcPr>
            <w:tcW w:w="2870" w:type="dxa"/>
          </w:tcPr>
          <w:p w14:paraId="36151C0F" w14:textId="77777777" w:rsidR="00202D58" w:rsidRPr="003D7553" w:rsidRDefault="00202D58" w:rsidP="00202D58">
            <w:pPr>
              <w:pStyle w:val="afb"/>
              <w:rPr>
                <w:sz w:val="24"/>
                <w:szCs w:val="24"/>
              </w:rPr>
            </w:pPr>
            <m:oMathPara>
              <m:oMath>
                <m:r>
                  <m:rPr>
                    <m:sty m:val="p"/>
                  </m:rPr>
                  <w:rPr>
                    <w:rFonts w:ascii="Cambria Math"/>
                    <w:sz w:val="24"/>
                    <w:szCs w:val="24"/>
                  </w:rPr>
                  <m:t>I3=</m:t>
                </m:r>
                <m:f>
                  <m:fPr>
                    <m:ctrlPr>
                      <w:rPr>
                        <w:rFonts w:ascii="Cambria Math" w:hAnsi="Cambria Math"/>
                        <w:sz w:val="24"/>
                        <w:szCs w:val="24"/>
                      </w:rPr>
                    </m:ctrlPr>
                  </m:fPr>
                  <m:num>
                    <m:r>
                      <m:rPr>
                        <m:sty m:val="p"/>
                      </m:rPr>
                      <w:rPr>
                        <w:rFonts w:ascii="Cambria Math"/>
                        <w:sz w:val="24"/>
                        <w:szCs w:val="24"/>
                      </w:rPr>
                      <m:t>Э</m:t>
                    </m:r>
                    <m:r>
                      <m:rPr>
                        <m:sty m:val="p"/>
                      </m:rPr>
                      <w:rPr>
                        <w:rFonts w:ascii="Cambria Math"/>
                        <w:sz w:val="24"/>
                        <w:szCs w:val="24"/>
                      </w:rPr>
                      <m:t>+</m:t>
                    </m:r>
                    <m:r>
                      <m:rPr>
                        <m:sty m:val="p"/>
                      </m:rPr>
                      <w:rPr>
                        <w:rFonts w:ascii="Cambria Math"/>
                        <w:sz w:val="24"/>
                        <w:szCs w:val="24"/>
                      </w:rPr>
                      <m:t>И</m:t>
                    </m:r>
                  </m:num>
                  <m:den>
                    <m:r>
                      <m:rPr>
                        <m:sty m:val="p"/>
                      </m:rPr>
                      <w:rPr>
                        <w:rFonts w:ascii="Cambria Math"/>
                        <w:sz w:val="24"/>
                        <w:szCs w:val="24"/>
                      </w:rPr>
                      <m:t>ВРП</m:t>
                    </m:r>
                  </m:den>
                </m:f>
                <m:r>
                  <m:rPr>
                    <m:sty m:val="p"/>
                  </m:rPr>
                  <w:rPr>
                    <w:rFonts w:ascii="Cambria Math" w:hAnsi="Cambria Math"/>
                    <w:sz w:val="24"/>
                    <w:szCs w:val="24"/>
                  </w:rPr>
                  <m:t>*</m:t>
                </m:r>
                <m:r>
                  <m:rPr>
                    <m:sty m:val="p"/>
                  </m:rPr>
                  <w:rPr>
                    <w:rFonts w:ascii="Cambria Math"/>
                    <w:sz w:val="24"/>
                    <w:szCs w:val="24"/>
                  </w:rPr>
                  <m:t>100%</m:t>
                </m:r>
              </m:oMath>
            </m:oMathPara>
          </w:p>
        </w:tc>
        <w:tc>
          <w:tcPr>
            <w:tcW w:w="3191" w:type="dxa"/>
          </w:tcPr>
          <w:p w14:paraId="16D3F337" w14:textId="77777777" w:rsidR="00202D58" w:rsidRPr="003D7553" w:rsidRDefault="00202D58" w:rsidP="00202D58">
            <w:pPr>
              <w:pStyle w:val="afb"/>
              <w:rPr>
                <w:sz w:val="24"/>
                <w:szCs w:val="24"/>
              </w:rPr>
            </w:pPr>
            <w:r w:rsidRPr="003D7553">
              <w:rPr>
                <w:sz w:val="24"/>
                <w:szCs w:val="24"/>
              </w:rPr>
              <w:t>Отражает развитие и сбалансированность внешней торговли</w:t>
            </w:r>
          </w:p>
        </w:tc>
      </w:tr>
      <w:tr w:rsidR="00202D58" w:rsidRPr="003D7553" w14:paraId="13026395" w14:textId="77777777" w:rsidTr="001F333E">
        <w:tc>
          <w:tcPr>
            <w:tcW w:w="3510" w:type="dxa"/>
          </w:tcPr>
          <w:p w14:paraId="6C09AB10" w14:textId="77777777" w:rsidR="00202D58" w:rsidRPr="003D7553" w:rsidRDefault="00202D58" w:rsidP="00202D58">
            <w:pPr>
              <w:pStyle w:val="afb"/>
              <w:rPr>
                <w:sz w:val="24"/>
                <w:szCs w:val="24"/>
              </w:rPr>
            </w:pPr>
            <w:r w:rsidRPr="003D7553">
              <w:rPr>
                <w:sz w:val="24"/>
                <w:szCs w:val="24"/>
              </w:rPr>
              <w:t>Коэффициент эластичности экспорта</w:t>
            </w:r>
          </w:p>
        </w:tc>
        <w:tc>
          <w:tcPr>
            <w:tcW w:w="2870" w:type="dxa"/>
          </w:tcPr>
          <w:p w14:paraId="526E1FC0" w14:textId="77777777" w:rsidR="00202D58" w:rsidRPr="003D7553" w:rsidRDefault="00202D58" w:rsidP="00202D58">
            <w:pPr>
              <w:pStyle w:val="afb"/>
              <w:rPr>
                <w:sz w:val="24"/>
                <w:szCs w:val="24"/>
              </w:rPr>
            </w:pPr>
            <m:oMathPara>
              <m:oMath>
                <m:r>
                  <m:rPr>
                    <m:sty m:val="p"/>
                  </m:rPr>
                  <w:rPr>
                    <w:rFonts w:ascii="Cambria Math"/>
                    <w:sz w:val="24"/>
                    <w:szCs w:val="24"/>
                  </w:rPr>
                  <m:t>I5=</m:t>
                </m:r>
                <m:f>
                  <m:fPr>
                    <m:ctrlPr>
                      <w:rPr>
                        <w:rFonts w:ascii="Cambria Math" w:hAnsi="Cambria Math"/>
                        <w:sz w:val="24"/>
                        <w:szCs w:val="24"/>
                      </w:rPr>
                    </m:ctrlPr>
                  </m:fPr>
                  <m:num>
                    <m:r>
                      <m:rPr>
                        <m:sty m:val="p"/>
                      </m:rPr>
                      <w:rPr>
                        <w:rFonts w:ascii="Cambria Math"/>
                        <w:sz w:val="24"/>
                        <w:szCs w:val="24"/>
                      </w:rPr>
                      <m:t>Тэ</m:t>
                    </m:r>
                  </m:num>
                  <m:den>
                    <m:r>
                      <m:rPr>
                        <m:sty m:val="p"/>
                      </m:rPr>
                      <w:rPr>
                        <w:rFonts w:ascii="Cambria Math"/>
                        <w:sz w:val="24"/>
                        <w:szCs w:val="24"/>
                      </w:rPr>
                      <m:t>Тврп</m:t>
                    </m:r>
                  </m:den>
                </m:f>
              </m:oMath>
            </m:oMathPara>
          </w:p>
        </w:tc>
        <w:tc>
          <w:tcPr>
            <w:tcW w:w="3191" w:type="dxa"/>
          </w:tcPr>
          <w:p w14:paraId="073F4371" w14:textId="77777777" w:rsidR="00202D58" w:rsidRPr="003D7553" w:rsidRDefault="00202D58" w:rsidP="00202D58">
            <w:pPr>
              <w:pStyle w:val="afb"/>
              <w:rPr>
                <w:sz w:val="24"/>
                <w:szCs w:val="24"/>
              </w:rPr>
            </w:pPr>
            <w:r w:rsidRPr="003D7553">
              <w:rPr>
                <w:sz w:val="24"/>
                <w:szCs w:val="24"/>
              </w:rPr>
              <w:t>Определяет зависимость роста экспорта от роста ВРП</w:t>
            </w:r>
          </w:p>
        </w:tc>
      </w:tr>
      <w:tr w:rsidR="00202D58" w:rsidRPr="003D7553" w14:paraId="7AC40549" w14:textId="77777777" w:rsidTr="001F333E">
        <w:tc>
          <w:tcPr>
            <w:tcW w:w="3510" w:type="dxa"/>
          </w:tcPr>
          <w:p w14:paraId="58B83B6F" w14:textId="77777777" w:rsidR="00202D58" w:rsidRPr="003D7553" w:rsidRDefault="00202D58" w:rsidP="00202D58">
            <w:pPr>
              <w:pStyle w:val="afb"/>
              <w:rPr>
                <w:sz w:val="24"/>
                <w:szCs w:val="24"/>
              </w:rPr>
            </w:pPr>
            <w:r w:rsidRPr="003D7553">
              <w:rPr>
                <w:sz w:val="24"/>
                <w:szCs w:val="24"/>
              </w:rPr>
              <w:t>Коэффициент международной конкурентоспособности</w:t>
            </w:r>
          </w:p>
        </w:tc>
        <w:tc>
          <w:tcPr>
            <w:tcW w:w="2870" w:type="dxa"/>
          </w:tcPr>
          <w:p w14:paraId="41B09FB6" w14:textId="77777777" w:rsidR="00202D58" w:rsidRPr="003D7553" w:rsidRDefault="00202D58" w:rsidP="00202D58">
            <w:pPr>
              <w:pStyle w:val="afb"/>
              <w:rPr>
                <w:sz w:val="24"/>
                <w:szCs w:val="24"/>
              </w:rPr>
            </w:pPr>
            <m:oMathPara>
              <m:oMath>
                <m:r>
                  <m:rPr>
                    <m:sty m:val="p"/>
                  </m:rPr>
                  <w:rPr>
                    <w:rFonts w:ascii="Cambria Math"/>
                    <w:sz w:val="24"/>
                    <w:szCs w:val="24"/>
                  </w:rPr>
                  <m:t>I4=</m:t>
                </m:r>
                <m:f>
                  <m:fPr>
                    <m:ctrlPr>
                      <w:rPr>
                        <w:rFonts w:ascii="Cambria Math" w:hAnsi="Cambria Math"/>
                        <w:sz w:val="24"/>
                        <w:szCs w:val="24"/>
                      </w:rPr>
                    </m:ctrlPr>
                  </m:fPr>
                  <m:num>
                    <m:r>
                      <m:rPr>
                        <m:sty m:val="p"/>
                      </m:rPr>
                      <w:rPr>
                        <w:rFonts w:ascii="Cambria Math"/>
                        <w:sz w:val="24"/>
                        <w:szCs w:val="24"/>
                      </w:rPr>
                      <m:t>Э-И</m:t>
                    </m:r>
                  </m:num>
                  <m:den>
                    <m:r>
                      <m:rPr>
                        <m:sty m:val="p"/>
                      </m:rPr>
                      <w:rPr>
                        <w:rFonts w:ascii="Cambria Math"/>
                        <w:sz w:val="24"/>
                        <w:szCs w:val="24"/>
                      </w:rPr>
                      <m:t>ВТО</m:t>
                    </m:r>
                  </m:den>
                </m:f>
              </m:oMath>
            </m:oMathPara>
          </w:p>
        </w:tc>
        <w:tc>
          <w:tcPr>
            <w:tcW w:w="3191" w:type="dxa"/>
          </w:tcPr>
          <w:p w14:paraId="222B9E8B" w14:textId="77777777" w:rsidR="00202D58" w:rsidRPr="003D7553" w:rsidRDefault="00202D58" w:rsidP="00202D58">
            <w:pPr>
              <w:pStyle w:val="afb"/>
              <w:rPr>
                <w:sz w:val="24"/>
                <w:szCs w:val="24"/>
              </w:rPr>
            </w:pPr>
            <w:r w:rsidRPr="003D7553">
              <w:rPr>
                <w:sz w:val="24"/>
                <w:szCs w:val="24"/>
              </w:rPr>
              <w:t>Характеризует долю «чистого» экспорта во внешнеторговом обороте</w:t>
            </w:r>
          </w:p>
        </w:tc>
      </w:tr>
    </w:tbl>
    <w:p w14:paraId="4BDB5498" w14:textId="77777777" w:rsidR="00202D58" w:rsidRPr="003D7553" w:rsidRDefault="00202D58" w:rsidP="00202D58">
      <w:pPr>
        <w:pStyle w:val="a9"/>
        <w:widowControl w:val="0"/>
        <w:spacing w:before="120" w:beforeAutospacing="0" w:after="0" w:afterAutospacing="0"/>
        <w:ind w:firstLine="709"/>
        <w:jc w:val="both"/>
        <w:rPr>
          <w:rStyle w:val="16"/>
        </w:rPr>
      </w:pPr>
    </w:p>
    <w:p w14:paraId="6F900E20" w14:textId="77777777" w:rsidR="00202D58" w:rsidRPr="003D7553" w:rsidRDefault="00202D58" w:rsidP="00202D58">
      <w:pPr>
        <w:pStyle w:val="a9"/>
        <w:widowControl w:val="0"/>
        <w:spacing w:before="120" w:beforeAutospacing="0" w:after="0" w:afterAutospacing="0"/>
        <w:ind w:firstLine="709"/>
        <w:jc w:val="both"/>
        <w:rPr>
          <w:rStyle w:val="16"/>
        </w:rPr>
      </w:pPr>
      <w:r w:rsidRPr="003D7553">
        <w:rPr>
          <w:rStyle w:val="16"/>
        </w:rPr>
        <w:t>Таким образом, многие исследователи сходятся в том, что в современных условиях для производителей товаров и услуг отсутствует разница того, реализовывать ли свою продукцию внутри региона или отправлять ее на экспорт; основным наполнением и функцией понятия экспортного или внешнеэкономического потенциала является определение конкурентоспособности проведенных товаров и услуг как своеобразного эталона рыночного соответствия или несоответствия. Однако при всей простоте и привлекательности данного определения следует иметь в виду, что узнать, насколько товары конкурентоспособны и соответствуют рыночным требованиям, можно только в ходе осуществления реальной экспортной деятельности. В противном случае, как бы мы ни считали, что наши товары и услуги соответствуют всем критериям, принятым в мировой практике, если они не находят своего потребителя в ходе экспортных операций, значит наши предположения не верны.</w:t>
      </w:r>
    </w:p>
    <w:p w14:paraId="2916C19D" w14:textId="77777777" w:rsidR="00202D58" w:rsidRPr="003D7553" w:rsidRDefault="00202D58" w:rsidP="00202D58">
      <w:pPr>
        <w:spacing w:after="0" w:line="240" w:lineRule="auto"/>
        <w:ind w:firstLine="709"/>
        <w:jc w:val="both"/>
        <w:rPr>
          <w:rFonts w:ascii="Times New Roman" w:hAnsi="Times New Roman" w:cs="Times New Roman"/>
          <w:sz w:val="24"/>
          <w:szCs w:val="24"/>
        </w:rPr>
      </w:pPr>
    </w:p>
    <w:p w14:paraId="5C1A326D" w14:textId="77777777" w:rsidR="00202D58" w:rsidRPr="003D7553" w:rsidRDefault="00202D58" w:rsidP="00202D58">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_______________________________________</w:t>
      </w:r>
    </w:p>
    <w:p w14:paraId="34567728" w14:textId="77777777" w:rsidR="00202D58" w:rsidRPr="003D7553" w:rsidRDefault="00202D58" w:rsidP="00202D58">
      <w:pPr>
        <w:autoSpaceDE w:val="0"/>
        <w:autoSpaceDN w:val="0"/>
        <w:adjustRightInd w:val="0"/>
        <w:spacing w:after="0" w:line="240" w:lineRule="auto"/>
        <w:ind w:firstLine="539"/>
        <w:jc w:val="both"/>
        <w:rPr>
          <w:rFonts w:ascii="Times New Roman" w:hAnsi="Times New Roman" w:cs="Times New Roman"/>
          <w:bCs/>
          <w:sz w:val="24"/>
          <w:szCs w:val="24"/>
        </w:rPr>
      </w:pPr>
      <w:r w:rsidRPr="003D7553">
        <w:rPr>
          <w:rFonts w:ascii="Times New Roman" w:hAnsi="Times New Roman" w:cs="Times New Roman"/>
          <w:bCs/>
          <w:sz w:val="24"/>
          <w:szCs w:val="24"/>
        </w:rPr>
        <w:t xml:space="preserve">1. Перунов </w:t>
      </w:r>
      <w:r w:rsidRPr="003D7553">
        <w:rPr>
          <w:rFonts w:ascii="Times New Roman" w:hAnsi="Times New Roman" w:cs="Times New Roman"/>
          <w:bCs/>
          <w:sz w:val="24"/>
          <w:szCs w:val="24"/>
          <w:lang w:val="en-US"/>
        </w:rPr>
        <w:t>C</w:t>
      </w:r>
      <w:r w:rsidRPr="003D7553">
        <w:rPr>
          <w:rFonts w:ascii="Times New Roman" w:hAnsi="Times New Roman" w:cs="Times New Roman"/>
          <w:bCs/>
          <w:sz w:val="24"/>
          <w:szCs w:val="24"/>
        </w:rPr>
        <w:t xml:space="preserve">.Ю. Формирование и развитие экспортного потенциала региона (на примере Ростовской): автореф. дис. канд. экон. наук: 08.00.14 / Перунов Сергей Юрьевич.  – Ростов-на-Дону, 2015. – 28 с.  </w:t>
      </w:r>
      <w:r w:rsidRPr="003D7553">
        <w:rPr>
          <w:rFonts w:ascii="Times New Roman" w:hAnsi="Times New Roman" w:cs="Times New Roman"/>
          <w:sz w:val="24"/>
          <w:szCs w:val="24"/>
        </w:rPr>
        <w:t xml:space="preserve">[Электронный ресурс] \ Режим доступа: </w:t>
      </w:r>
      <w:r w:rsidRPr="003D7553">
        <w:rPr>
          <w:rFonts w:ascii="Times New Roman" w:hAnsi="Times New Roman" w:cs="Times New Roman"/>
          <w:sz w:val="24"/>
          <w:szCs w:val="24"/>
          <w:lang w:val="en-US"/>
        </w:rPr>
        <w:t>http</w:t>
      </w:r>
      <w:r w:rsidRPr="003D7553">
        <w:rPr>
          <w:rFonts w:ascii="Times New Roman" w:hAnsi="Times New Roman" w:cs="Times New Roman"/>
          <w:sz w:val="24"/>
          <w:szCs w:val="24"/>
        </w:rPr>
        <w:t>://</w:t>
      </w:r>
      <w:r w:rsidRPr="003D7553">
        <w:rPr>
          <w:rFonts w:ascii="Times New Roman" w:hAnsi="Times New Roman" w:cs="Times New Roman"/>
          <w:sz w:val="24"/>
          <w:szCs w:val="24"/>
          <w:lang w:val="en-US"/>
        </w:rPr>
        <w:t>economy</w:t>
      </w:r>
      <w:r w:rsidRPr="003D7553">
        <w:rPr>
          <w:rFonts w:ascii="Times New Roman" w:hAnsi="Times New Roman" w:cs="Times New Roman"/>
          <w:sz w:val="24"/>
          <w:szCs w:val="24"/>
        </w:rPr>
        <w:t>-</w:t>
      </w:r>
      <w:r w:rsidRPr="003D7553">
        <w:rPr>
          <w:rFonts w:ascii="Times New Roman" w:hAnsi="Times New Roman" w:cs="Times New Roman"/>
          <w:sz w:val="24"/>
          <w:szCs w:val="24"/>
          <w:lang w:val="en-US"/>
        </w:rPr>
        <w:t>lib</w:t>
      </w:r>
      <w:r w:rsidRPr="003D7553">
        <w:rPr>
          <w:rFonts w:ascii="Times New Roman" w:hAnsi="Times New Roman" w:cs="Times New Roman"/>
          <w:sz w:val="24"/>
          <w:szCs w:val="24"/>
        </w:rPr>
        <w:t>.</w:t>
      </w:r>
      <w:r w:rsidRPr="003D7553">
        <w:rPr>
          <w:rFonts w:ascii="Times New Roman" w:hAnsi="Times New Roman" w:cs="Times New Roman"/>
          <w:sz w:val="24"/>
          <w:szCs w:val="24"/>
          <w:lang w:val="en-US"/>
        </w:rPr>
        <w:t>com</w:t>
      </w:r>
      <w:r w:rsidRPr="003D7553">
        <w:rPr>
          <w:rFonts w:ascii="Times New Roman" w:hAnsi="Times New Roman" w:cs="Times New Roman"/>
          <w:sz w:val="24"/>
          <w:szCs w:val="24"/>
        </w:rPr>
        <w:t>/</w:t>
      </w:r>
      <w:r w:rsidRPr="003D7553">
        <w:rPr>
          <w:rFonts w:ascii="Times New Roman" w:hAnsi="Times New Roman" w:cs="Times New Roman"/>
          <w:sz w:val="24"/>
          <w:szCs w:val="24"/>
          <w:lang w:val="en-US"/>
        </w:rPr>
        <w:t>disser</w:t>
      </w:r>
      <w:r w:rsidRPr="003D7553">
        <w:rPr>
          <w:rFonts w:ascii="Times New Roman" w:hAnsi="Times New Roman" w:cs="Times New Roman"/>
          <w:sz w:val="24"/>
          <w:szCs w:val="24"/>
        </w:rPr>
        <w:t>/596935/</w:t>
      </w:r>
      <w:r w:rsidRPr="003D7553">
        <w:rPr>
          <w:rFonts w:ascii="Times New Roman" w:hAnsi="Times New Roman" w:cs="Times New Roman"/>
          <w:sz w:val="24"/>
          <w:szCs w:val="24"/>
          <w:lang w:val="en-US"/>
        </w:rPr>
        <w:t>a</w:t>
      </w:r>
      <w:r w:rsidRPr="003D7553">
        <w:rPr>
          <w:rFonts w:ascii="Times New Roman" w:hAnsi="Times New Roman" w:cs="Times New Roman"/>
          <w:sz w:val="24"/>
          <w:szCs w:val="24"/>
        </w:rPr>
        <w:t>#?</w:t>
      </w:r>
      <w:r w:rsidRPr="003D7553">
        <w:rPr>
          <w:rFonts w:ascii="Times New Roman" w:hAnsi="Times New Roman" w:cs="Times New Roman"/>
          <w:sz w:val="24"/>
          <w:szCs w:val="24"/>
          <w:lang w:val="en-US"/>
        </w:rPr>
        <w:t>page</w:t>
      </w:r>
      <w:r w:rsidRPr="003D7553">
        <w:rPr>
          <w:rFonts w:ascii="Times New Roman" w:hAnsi="Times New Roman" w:cs="Times New Roman"/>
          <w:sz w:val="24"/>
          <w:szCs w:val="24"/>
        </w:rPr>
        <w:t>=28</w:t>
      </w:r>
    </w:p>
    <w:p w14:paraId="2AE4E505" w14:textId="77777777" w:rsidR="00202D58" w:rsidRPr="003D7553" w:rsidRDefault="00202D58" w:rsidP="00202D58">
      <w:pPr>
        <w:pStyle w:val="a7"/>
        <w:numPr>
          <w:ilvl w:val="0"/>
          <w:numId w:val="48"/>
        </w:numPr>
        <w:ind w:left="0" w:firstLine="539"/>
        <w:jc w:val="both"/>
        <w:rPr>
          <w:rFonts w:ascii="Times New Roman" w:hAnsi="Times New Roman" w:cs="Times New Roman"/>
        </w:rPr>
      </w:pPr>
      <w:r w:rsidRPr="003D7553">
        <w:rPr>
          <w:rFonts w:ascii="Times New Roman" w:hAnsi="Times New Roman" w:cs="Times New Roman"/>
        </w:rPr>
        <w:t>. Смит А. Исследование о природе и причинах богатства народов. — М.: Эксмо, 2016.</w:t>
      </w:r>
    </w:p>
    <w:p w14:paraId="70A731E1" w14:textId="77777777" w:rsidR="00202D58" w:rsidRPr="003D7553" w:rsidRDefault="00202D58" w:rsidP="00202D58">
      <w:pPr>
        <w:pStyle w:val="a7"/>
        <w:ind w:left="0" w:firstLine="539"/>
        <w:jc w:val="both"/>
        <w:rPr>
          <w:rFonts w:ascii="Times New Roman" w:hAnsi="Times New Roman" w:cs="Times New Roman"/>
        </w:rPr>
      </w:pPr>
      <w:r w:rsidRPr="003D7553">
        <w:rPr>
          <w:rFonts w:ascii="Times New Roman" w:hAnsi="Times New Roman" w:cs="Times New Roman"/>
        </w:rPr>
        <w:t xml:space="preserve">3. Манн Т.  Богатство Англии во внешней торговле, или Баланс нашей внешней торговли как регулятор нашего богатства [Электронный ресурс] \ Режим доступа: </w:t>
      </w:r>
      <w:hyperlink r:id="rId32" w:history="1">
        <w:r w:rsidRPr="003D7553">
          <w:rPr>
            <w:rStyle w:val="a4"/>
            <w:rFonts w:ascii="Times New Roman" w:hAnsi="Times New Roman" w:cs="Times New Roman"/>
          </w:rPr>
          <w:t>http://www.seinstitute.ru/Files/Veh6-04_Mun.pdf</w:t>
        </w:r>
      </w:hyperlink>
    </w:p>
    <w:p w14:paraId="52CCE91F" w14:textId="77777777" w:rsidR="00202D58" w:rsidRPr="003D7553" w:rsidRDefault="00202D58" w:rsidP="00202D58">
      <w:pPr>
        <w:autoSpaceDE w:val="0"/>
        <w:autoSpaceDN w:val="0"/>
        <w:adjustRightInd w:val="0"/>
        <w:spacing w:after="0" w:line="240" w:lineRule="auto"/>
        <w:ind w:firstLine="539"/>
        <w:jc w:val="both"/>
        <w:rPr>
          <w:rFonts w:ascii="Times New Roman" w:hAnsi="Times New Roman" w:cs="Times New Roman"/>
          <w:sz w:val="24"/>
          <w:szCs w:val="24"/>
        </w:rPr>
      </w:pPr>
      <w:r w:rsidRPr="003D7553">
        <w:rPr>
          <w:rFonts w:ascii="Times New Roman" w:hAnsi="Times New Roman" w:cs="Times New Roman"/>
          <w:sz w:val="24"/>
          <w:szCs w:val="24"/>
        </w:rPr>
        <w:t>4. Киселев, А. А. Навигационные акты и британская экономическая политика в XVII–XVIII вв. // Вестник ВолГУ. Серия 4: История. Регионоведение. Международные отношения. 2007. № 12. С. 44–50.</w:t>
      </w:r>
    </w:p>
    <w:p w14:paraId="7EC2E329" w14:textId="77777777" w:rsidR="00202D58" w:rsidRPr="003D7553" w:rsidRDefault="00202D58" w:rsidP="00202D58">
      <w:pPr>
        <w:spacing w:after="0" w:line="240" w:lineRule="auto"/>
        <w:ind w:firstLine="539"/>
        <w:jc w:val="both"/>
        <w:rPr>
          <w:rFonts w:ascii="Times New Roman" w:hAnsi="Times New Roman" w:cs="Times New Roman"/>
          <w:sz w:val="24"/>
          <w:szCs w:val="24"/>
        </w:rPr>
      </w:pPr>
      <w:r w:rsidRPr="003D7553">
        <w:rPr>
          <w:rFonts w:ascii="Times New Roman" w:hAnsi="Times New Roman" w:cs="Times New Roman"/>
          <w:sz w:val="24"/>
          <w:szCs w:val="24"/>
        </w:rPr>
        <w:t>5.  Рикардо Д. Риккардо, Д. Начала политической экономии и налогообложения // Соч. М., 1955. Т. 1.</w:t>
      </w:r>
    </w:p>
    <w:p w14:paraId="06954BE0" w14:textId="77777777" w:rsidR="00202D58" w:rsidRPr="003D7553" w:rsidRDefault="00202D58" w:rsidP="00202D58">
      <w:pPr>
        <w:spacing w:after="0" w:line="240" w:lineRule="auto"/>
        <w:ind w:firstLine="539"/>
        <w:jc w:val="both"/>
        <w:rPr>
          <w:rFonts w:ascii="Times New Roman" w:hAnsi="Times New Roman" w:cs="Times New Roman"/>
          <w:sz w:val="24"/>
          <w:szCs w:val="24"/>
        </w:rPr>
      </w:pPr>
      <w:r w:rsidRPr="003D7553">
        <w:rPr>
          <w:rFonts w:ascii="Times New Roman" w:hAnsi="Times New Roman" w:cs="Times New Roman"/>
          <w:sz w:val="24"/>
          <w:szCs w:val="24"/>
        </w:rPr>
        <w:t xml:space="preserve">6. Красильникова Е. Л. Оценка использования внешнеэкономического потенциала регионов // Молодой ученый. — 2012. — №7. — С. 87-90. </w:t>
      </w:r>
    </w:p>
    <w:p w14:paraId="74869460" w14:textId="77777777" w:rsidR="00B7659B" w:rsidRDefault="00B7659B" w:rsidP="002245D5">
      <w:pPr>
        <w:spacing w:line="240" w:lineRule="auto"/>
        <w:jc w:val="both"/>
        <w:rPr>
          <w:rFonts w:ascii="Times New Roman" w:hAnsi="Times New Roman"/>
          <w:b/>
          <w:sz w:val="20"/>
          <w:szCs w:val="24"/>
        </w:rPr>
      </w:pPr>
    </w:p>
    <w:p w14:paraId="1D774F13" w14:textId="77777777" w:rsidR="00212D0F" w:rsidRPr="00F46A43" w:rsidRDefault="00212D0F" w:rsidP="00F46A43">
      <w:pPr>
        <w:spacing w:line="240" w:lineRule="auto"/>
        <w:jc w:val="both"/>
        <w:rPr>
          <w:rFonts w:ascii="Times New Roman" w:hAnsi="Times New Roman"/>
          <w:b/>
          <w:sz w:val="24"/>
          <w:szCs w:val="24"/>
        </w:rPr>
      </w:pPr>
      <w:r w:rsidRPr="00F46A43">
        <w:rPr>
          <w:rFonts w:ascii="Times New Roman" w:hAnsi="Times New Roman"/>
          <w:b/>
          <w:sz w:val="24"/>
          <w:szCs w:val="24"/>
        </w:rPr>
        <w:t>Рубрика: Мировая экономика: современные вызовы и угрозы</w:t>
      </w:r>
    </w:p>
    <w:p w14:paraId="36143CAA" w14:textId="77777777" w:rsidR="00212D0F" w:rsidRDefault="00212D0F" w:rsidP="00F46A43">
      <w:pPr>
        <w:spacing w:line="240" w:lineRule="auto"/>
        <w:jc w:val="both"/>
        <w:rPr>
          <w:rFonts w:ascii="Times New Roman" w:hAnsi="Times New Roman"/>
          <w:sz w:val="24"/>
          <w:szCs w:val="24"/>
        </w:rPr>
      </w:pPr>
      <w:r>
        <w:rPr>
          <w:rFonts w:ascii="Times New Roman" w:hAnsi="Times New Roman"/>
          <w:sz w:val="24"/>
          <w:szCs w:val="24"/>
        </w:rPr>
        <w:t>УДК 339.92</w:t>
      </w:r>
    </w:p>
    <w:p w14:paraId="187F57B8" w14:textId="77777777" w:rsidR="00212D0F" w:rsidRDefault="00212D0F" w:rsidP="00212D0F">
      <w:pPr>
        <w:spacing w:after="0" w:line="240" w:lineRule="auto"/>
        <w:jc w:val="both"/>
        <w:rPr>
          <w:rFonts w:ascii="Times New Roman" w:hAnsi="Times New Roman"/>
          <w:sz w:val="24"/>
          <w:szCs w:val="24"/>
        </w:rPr>
      </w:pPr>
    </w:p>
    <w:p w14:paraId="3B2A419B" w14:textId="77777777" w:rsidR="00212D0F" w:rsidRDefault="00F46A43" w:rsidP="00212D0F">
      <w:pPr>
        <w:spacing w:after="0" w:line="240" w:lineRule="auto"/>
        <w:jc w:val="center"/>
        <w:rPr>
          <w:rFonts w:ascii="Times New Roman" w:hAnsi="Times New Roman"/>
          <w:b/>
          <w:sz w:val="24"/>
          <w:szCs w:val="24"/>
        </w:rPr>
      </w:pPr>
      <w:r w:rsidRPr="007C31CE">
        <w:rPr>
          <w:rFonts w:ascii="Times New Roman" w:hAnsi="Times New Roman"/>
          <w:b/>
          <w:sz w:val="24"/>
          <w:szCs w:val="24"/>
        </w:rPr>
        <w:t>ВЛИЯНИЕ ПРЯМЫХ ИНОСТРАННЫХ ИНВЕСТИЦИЙ НА НАЦИОНАЛЬНУЮ ЭКОНОМИКУ</w:t>
      </w:r>
    </w:p>
    <w:p w14:paraId="54738AF4" w14:textId="77777777" w:rsidR="00212D0F" w:rsidRDefault="00212D0F" w:rsidP="00212D0F">
      <w:pPr>
        <w:spacing w:after="0" w:line="240" w:lineRule="auto"/>
        <w:jc w:val="center"/>
        <w:rPr>
          <w:rFonts w:ascii="Times New Roman" w:hAnsi="Times New Roman"/>
          <w:b/>
          <w:sz w:val="24"/>
          <w:szCs w:val="24"/>
        </w:rPr>
      </w:pPr>
    </w:p>
    <w:p w14:paraId="00FFB091" w14:textId="77777777" w:rsidR="00212D0F" w:rsidRPr="00F46A43" w:rsidRDefault="00F46A43" w:rsidP="00212D0F">
      <w:pPr>
        <w:spacing w:after="0" w:line="240" w:lineRule="auto"/>
        <w:jc w:val="center"/>
        <w:rPr>
          <w:rFonts w:ascii="Times New Roman" w:hAnsi="Times New Roman"/>
          <w:b/>
          <w:sz w:val="24"/>
          <w:szCs w:val="24"/>
        </w:rPr>
      </w:pPr>
      <w:r w:rsidRPr="00F46A43">
        <w:rPr>
          <w:rFonts w:ascii="Times New Roman" w:hAnsi="Times New Roman"/>
          <w:b/>
          <w:sz w:val="24"/>
          <w:szCs w:val="24"/>
        </w:rPr>
        <w:lastRenderedPageBreak/>
        <w:t>Нестеренко Максим Сергеевич</w:t>
      </w:r>
    </w:p>
    <w:p w14:paraId="6C117A2C" w14:textId="77777777" w:rsidR="00212D0F" w:rsidRDefault="00212D0F" w:rsidP="00212D0F">
      <w:pPr>
        <w:spacing w:after="0" w:line="240" w:lineRule="auto"/>
        <w:jc w:val="center"/>
        <w:rPr>
          <w:rFonts w:ascii="Times New Roman" w:hAnsi="Times New Roman"/>
          <w:sz w:val="24"/>
          <w:szCs w:val="24"/>
        </w:rPr>
      </w:pPr>
      <w:r>
        <w:rPr>
          <w:rFonts w:ascii="Times New Roman" w:hAnsi="Times New Roman"/>
          <w:sz w:val="24"/>
          <w:szCs w:val="24"/>
        </w:rPr>
        <w:t>Магистант, 1 курс</w:t>
      </w:r>
    </w:p>
    <w:p w14:paraId="46ABBD8F" w14:textId="77777777" w:rsidR="00F46A43" w:rsidRDefault="00F46A43" w:rsidP="00212D0F">
      <w:pPr>
        <w:spacing w:after="0" w:line="240" w:lineRule="auto"/>
        <w:jc w:val="center"/>
        <w:rPr>
          <w:rFonts w:ascii="Times New Roman" w:hAnsi="Times New Roman"/>
          <w:i/>
          <w:sz w:val="24"/>
          <w:szCs w:val="24"/>
        </w:rPr>
      </w:pPr>
    </w:p>
    <w:p w14:paraId="6697EAD7" w14:textId="77777777" w:rsidR="00212D0F" w:rsidRPr="007C31CE" w:rsidRDefault="00212D0F" w:rsidP="00212D0F">
      <w:pPr>
        <w:spacing w:after="0" w:line="240" w:lineRule="auto"/>
        <w:jc w:val="center"/>
        <w:rPr>
          <w:rFonts w:ascii="Times New Roman" w:hAnsi="Times New Roman"/>
          <w:i/>
          <w:sz w:val="24"/>
          <w:szCs w:val="24"/>
        </w:rPr>
      </w:pPr>
      <w:r w:rsidRPr="007C31CE">
        <w:rPr>
          <w:rFonts w:ascii="Times New Roman" w:hAnsi="Times New Roman"/>
          <w:i/>
          <w:sz w:val="24"/>
          <w:szCs w:val="24"/>
        </w:rPr>
        <w:t>Владивостокский государственный университет экономики и сервиса</w:t>
      </w:r>
    </w:p>
    <w:p w14:paraId="3FDDE470" w14:textId="77777777" w:rsidR="00212D0F" w:rsidRPr="007C31CE" w:rsidRDefault="00212D0F" w:rsidP="00212D0F">
      <w:pPr>
        <w:spacing w:after="0" w:line="240" w:lineRule="auto"/>
        <w:jc w:val="center"/>
        <w:rPr>
          <w:rFonts w:ascii="Times New Roman" w:hAnsi="Times New Roman"/>
          <w:i/>
          <w:sz w:val="24"/>
          <w:szCs w:val="24"/>
        </w:rPr>
      </w:pPr>
      <w:r w:rsidRPr="007C31CE">
        <w:rPr>
          <w:rFonts w:ascii="Times New Roman" w:hAnsi="Times New Roman"/>
          <w:i/>
          <w:sz w:val="24"/>
          <w:szCs w:val="24"/>
        </w:rPr>
        <w:t>Россия. Владивосток</w:t>
      </w:r>
    </w:p>
    <w:p w14:paraId="63B1C248" w14:textId="77777777" w:rsidR="00212D0F" w:rsidRPr="007E1000" w:rsidRDefault="00212D0F" w:rsidP="00212D0F">
      <w:pPr>
        <w:spacing w:after="0" w:line="240" w:lineRule="auto"/>
        <w:jc w:val="center"/>
        <w:rPr>
          <w:rFonts w:ascii="Times New Roman" w:hAnsi="Times New Roman"/>
          <w:i/>
          <w:sz w:val="24"/>
          <w:szCs w:val="24"/>
        </w:rPr>
      </w:pPr>
      <w:r w:rsidRPr="00F46A43">
        <w:rPr>
          <w:rFonts w:ascii="Times New Roman" w:hAnsi="Times New Roman"/>
          <w:i/>
          <w:sz w:val="24"/>
          <w:szCs w:val="24"/>
          <w:lang w:val="en-US"/>
        </w:rPr>
        <w:t>E</w:t>
      </w:r>
      <w:r w:rsidRPr="007E1000">
        <w:rPr>
          <w:rFonts w:ascii="Times New Roman" w:hAnsi="Times New Roman"/>
          <w:i/>
          <w:sz w:val="24"/>
          <w:szCs w:val="24"/>
        </w:rPr>
        <w:t>-</w:t>
      </w:r>
      <w:r w:rsidRPr="00F46A43">
        <w:rPr>
          <w:rFonts w:ascii="Times New Roman" w:hAnsi="Times New Roman"/>
          <w:i/>
          <w:sz w:val="24"/>
          <w:szCs w:val="24"/>
          <w:lang w:val="en-US"/>
        </w:rPr>
        <w:t>mail</w:t>
      </w:r>
      <w:r w:rsidRPr="007E1000">
        <w:rPr>
          <w:rFonts w:ascii="Times New Roman" w:hAnsi="Times New Roman"/>
          <w:i/>
          <w:sz w:val="24"/>
          <w:szCs w:val="24"/>
        </w:rPr>
        <w:t xml:space="preserve">: </w:t>
      </w:r>
      <w:r w:rsidRPr="00F46A43">
        <w:rPr>
          <w:rFonts w:ascii="Times New Roman" w:hAnsi="Times New Roman"/>
          <w:i/>
          <w:sz w:val="24"/>
          <w:szCs w:val="24"/>
          <w:lang w:val="en-US"/>
        </w:rPr>
        <w:t>maxnester</w:t>
      </w:r>
      <w:r w:rsidRPr="007E1000">
        <w:rPr>
          <w:rFonts w:ascii="Times New Roman" w:hAnsi="Times New Roman"/>
          <w:i/>
          <w:sz w:val="24"/>
          <w:szCs w:val="24"/>
        </w:rPr>
        <w:t>@</w:t>
      </w:r>
      <w:r w:rsidRPr="00F46A43">
        <w:rPr>
          <w:rFonts w:ascii="Times New Roman" w:hAnsi="Times New Roman"/>
          <w:i/>
          <w:sz w:val="24"/>
          <w:szCs w:val="24"/>
          <w:lang w:val="en-US"/>
        </w:rPr>
        <w:t>yandex</w:t>
      </w:r>
      <w:r w:rsidRPr="007E1000">
        <w:rPr>
          <w:rFonts w:ascii="Times New Roman" w:hAnsi="Times New Roman"/>
          <w:i/>
          <w:sz w:val="24"/>
          <w:szCs w:val="24"/>
        </w:rPr>
        <w:t>.</w:t>
      </w:r>
      <w:r w:rsidRPr="00F46A43">
        <w:rPr>
          <w:rFonts w:ascii="Times New Roman" w:hAnsi="Times New Roman"/>
          <w:i/>
          <w:sz w:val="24"/>
          <w:szCs w:val="24"/>
          <w:lang w:val="en-US"/>
        </w:rPr>
        <w:t>ru</w:t>
      </w:r>
      <w:r w:rsidRPr="007E1000">
        <w:rPr>
          <w:rFonts w:ascii="Times New Roman" w:hAnsi="Times New Roman"/>
          <w:i/>
          <w:sz w:val="24"/>
          <w:szCs w:val="24"/>
        </w:rPr>
        <w:t xml:space="preserve">; </w:t>
      </w:r>
      <w:r w:rsidRPr="00F46A43">
        <w:rPr>
          <w:rFonts w:ascii="Times New Roman" w:hAnsi="Times New Roman"/>
          <w:i/>
          <w:sz w:val="24"/>
          <w:szCs w:val="24"/>
        </w:rPr>
        <w:t>тел</w:t>
      </w:r>
      <w:r w:rsidRPr="007E1000">
        <w:rPr>
          <w:rFonts w:ascii="Times New Roman" w:hAnsi="Times New Roman"/>
          <w:i/>
          <w:sz w:val="24"/>
          <w:szCs w:val="24"/>
        </w:rPr>
        <w:t>.: +79025069736</w:t>
      </w:r>
    </w:p>
    <w:p w14:paraId="6FEDC036" w14:textId="77777777" w:rsidR="00212D0F" w:rsidRPr="00F46A43" w:rsidRDefault="00212D0F" w:rsidP="00212D0F">
      <w:pPr>
        <w:spacing w:after="0" w:line="240" w:lineRule="auto"/>
        <w:jc w:val="center"/>
        <w:rPr>
          <w:rFonts w:ascii="Times New Roman" w:hAnsi="Times New Roman"/>
          <w:i/>
          <w:sz w:val="24"/>
          <w:szCs w:val="24"/>
        </w:rPr>
      </w:pPr>
      <w:r w:rsidRPr="00F46A43">
        <w:rPr>
          <w:rFonts w:ascii="Times New Roman" w:hAnsi="Times New Roman"/>
          <w:i/>
          <w:sz w:val="24"/>
          <w:szCs w:val="24"/>
        </w:rPr>
        <w:t>ул. Гоголя, 41, г. Владивосток, Приморский край, Россия, 690014</w:t>
      </w:r>
    </w:p>
    <w:p w14:paraId="06BBA33E" w14:textId="77777777" w:rsidR="00212D0F" w:rsidRDefault="00212D0F" w:rsidP="00212D0F">
      <w:pPr>
        <w:spacing w:after="0" w:line="240" w:lineRule="auto"/>
        <w:jc w:val="center"/>
        <w:rPr>
          <w:rFonts w:ascii="Times New Roman" w:hAnsi="Times New Roman"/>
          <w:sz w:val="24"/>
          <w:szCs w:val="24"/>
        </w:rPr>
      </w:pPr>
    </w:p>
    <w:p w14:paraId="3B05A16F" w14:textId="77777777" w:rsidR="00212D0F" w:rsidRPr="00C5001D" w:rsidRDefault="00212D0F" w:rsidP="00212D0F">
      <w:pPr>
        <w:spacing w:after="0" w:line="240" w:lineRule="auto"/>
        <w:ind w:firstLine="709"/>
        <w:jc w:val="both"/>
        <w:rPr>
          <w:rFonts w:ascii="Times New Roman" w:hAnsi="Times New Roman"/>
          <w:i/>
          <w:sz w:val="24"/>
          <w:szCs w:val="24"/>
        </w:rPr>
      </w:pPr>
      <w:r w:rsidRPr="00F956DF">
        <w:rPr>
          <w:rFonts w:ascii="Times New Roman" w:hAnsi="Times New Roman"/>
          <w:i/>
          <w:sz w:val="24"/>
          <w:szCs w:val="24"/>
        </w:rPr>
        <w:t>Существующие сегодня в мире процессы глобализации оказывают значительное влияние на экономический рост отдельных стран. Усиление глобализации приводит к тому, что иностранный капитал становится неотъемлемой частью экономики любой страны. Международные потоки капитала осуществляются на различных уровнях экономики, а также в виде различных форм капитала. Такими формами являются: международные займы, прямые иностранные инвестиции и иностранные портфельные инвестиции. Прямые иностранные инвестиции являются одной из лучших форм привлечения капитала. Однако их влияние на экономику страны неоднозначно. Целью исследования является выявление влияния прямых иностранных инвестиций на национальную экономику.</w:t>
      </w:r>
    </w:p>
    <w:p w14:paraId="1BE4957C" w14:textId="77777777" w:rsidR="00212D0F" w:rsidRDefault="00212D0F" w:rsidP="00F46A43">
      <w:pPr>
        <w:spacing w:after="0" w:line="240" w:lineRule="auto"/>
        <w:ind w:firstLine="708"/>
        <w:jc w:val="both"/>
        <w:rPr>
          <w:rFonts w:ascii="Times New Roman" w:hAnsi="Times New Roman"/>
          <w:i/>
          <w:sz w:val="24"/>
          <w:szCs w:val="24"/>
        </w:rPr>
      </w:pPr>
      <w:r w:rsidRPr="00C5001D">
        <w:rPr>
          <w:rFonts w:ascii="Times New Roman" w:hAnsi="Times New Roman"/>
          <w:b/>
          <w:i/>
          <w:sz w:val="24"/>
          <w:szCs w:val="24"/>
        </w:rPr>
        <w:t>Ключевые слова и словосочетания</w:t>
      </w:r>
      <w:r w:rsidRPr="00C5001D">
        <w:rPr>
          <w:rFonts w:ascii="Times New Roman" w:hAnsi="Times New Roman"/>
          <w:i/>
          <w:sz w:val="24"/>
          <w:szCs w:val="24"/>
        </w:rPr>
        <w:t xml:space="preserve">: </w:t>
      </w:r>
      <w:r>
        <w:rPr>
          <w:rFonts w:ascii="Times New Roman" w:hAnsi="Times New Roman"/>
          <w:i/>
          <w:sz w:val="24"/>
          <w:szCs w:val="24"/>
        </w:rPr>
        <w:t xml:space="preserve">мировая экономика, </w:t>
      </w:r>
      <w:r w:rsidRPr="00C5001D">
        <w:rPr>
          <w:rFonts w:ascii="Times New Roman" w:hAnsi="Times New Roman"/>
          <w:i/>
          <w:sz w:val="24"/>
          <w:szCs w:val="24"/>
        </w:rPr>
        <w:t xml:space="preserve">иностранные инвестиции, </w:t>
      </w:r>
      <w:r>
        <w:rPr>
          <w:rFonts w:ascii="Times New Roman" w:hAnsi="Times New Roman"/>
          <w:i/>
          <w:sz w:val="24"/>
          <w:szCs w:val="24"/>
        </w:rPr>
        <w:t>Россия, укрепление позиций на рынке, экономический рост.</w:t>
      </w:r>
    </w:p>
    <w:p w14:paraId="464FCBC1" w14:textId="77777777" w:rsidR="00212D0F" w:rsidRPr="00212D0F" w:rsidRDefault="00212D0F" w:rsidP="00212D0F">
      <w:pPr>
        <w:rPr>
          <w:rFonts w:ascii="Times New Roman" w:hAnsi="Times New Roman"/>
          <w:i/>
          <w:sz w:val="24"/>
          <w:szCs w:val="24"/>
        </w:rPr>
      </w:pPr>
    </w:p>
    <w:p w14:paraId="24F5594B" w14:textId="77777777" w:rsidR="00212D0F" w:rsidRPr="002D39B2" w:rsidRDefault="00F46A43" w:rsidP="00212D0F">
      <w:pPr>
        <w:jc w:val="center"/>
        <w:rPr>
          <w:rFonts w:ascii="Times New Roman" w:hAnsi="Times New Roman"/>
          <w:b/>
          <w:sz w:val="24"/>
          <w:szCs w:val="24"/>
          <w:lang w:val="en-US"/>
        </w:rPr>
      </w:pPr>
      <w:r w:rsidRPr="002D39B2">
        <w:rPr>
          <w:rFonts w:ascii="Times New Roman" w:hAnsi="Times New Roman"/>
          <w:b/>
          <w:sz w:val="24"/>
          <w:szCs w:val="24"/>
          <w:lang w:val="en-US"/>
        </w:rPr>
        <w:t>THE IMPACT OF FOREIGN DIRECT INVESTMENT ON THE NATIONAL ECONOMY</w:t>
      </w:r>
    </w:p>
    <w:p w14:paraId="5C8C6B09" w14:textId="77777777" w:rsidR="00212D0F" w:rsidRPr="00311C6B" w:rsidRDefault="00212D0F" w:rsidP="00212D0F">
      <w:pPr>
        <w:spacing w:after="0" w:line="240" w:lineRule="auto"/>
        <w:ind w:firstLine="709"/>
        <w:jc w:val="center"/>
        <w:rPr>
          <w:rFonts w:ascii="Times New Roman" w:hAnsi="Times New Roman"/>
          <w:i/>
          <w:sz w:val="24"/>
          <w:szCs w:val="24"/>
          <w:lang w:val="en-US"/>
        </w:rPr>
      </w:pPr>
    </w:p>
    <w:p w14:paraId="29E7665C" w14:textId="77777777" w:rsidR="00212D0F" w:rsidRPr="00311C6B" w:rsidRDefault="00212D0F" w:rsidP="00212D0F">
      <w:pPr>
        <w:spacing w:after="0" w:line="240" w:lineRule="auto"/>
        <w:ind w:firstLine="709"/>
        <w:jc w:val="both"/>
        <w:rPr>
          <w:rFonts w:ascii="Times New Roman" w:hAnsi="Times New Roman"/>
          <w:i/>
          <w:sz w:val="24"/>
          <w:szCs w:val="24"/>
          <w:lang w:val="en-US"/>
        </w:rPr>
      </w:pPr>
      <w:r w:rsidRPr="00311C6B">
        <w:rPr>
          <w:rFonts w:ascii="Times New Roman" w:hAnsi="Times New Roman"/>
          <w:i/>
          <w:sz w:val="24"/>
          <w:szCs w:val="24"/>
          <w:lang w:val="en-US"/>
        </w:rPr>
        <w:t>The globalization processes existing today in the world have a significant impact on the economic growth of individual countries. Strengthening globalization leads to the fact that foreign capital becomes an integral part of the economy of any country. International capital flows are carried out at various levels of the economy, as well as in the form of various forms of capital. Such forms are: international loans, foreign direct investment and foreign portfolio investments. Foreign direct investment is one of the best forms of attracting capital. However, their impact on the economy of the country is ambiguous. The purpose of the study is to identify the impact of foreign direct investment on the national economy.</w:t>
      </w:r>
    </w:p>
    <w:p w14:paraId="2EAACC67" w14:textId="77777777" w:rsidR="00212D0F" w:rsidRPr="00311C6B" w:rsidRDefault="00212D0F" w:rsidP="00F46A43">
      <w:pPr>
        <w:spacing w:after="0" w:line="240" w:lineRule="auto"/>
        <w:ind w:firstLine="708"/>
        <w:jc w:val="both"/>
        <w:rPr>
          <w:rFonts w:ascii="Times New Roman" w:hAnsi="Times New Roman"/>
          <w:i/>
          <w:sz w:val="24"/>
          <w:szCs w:val="24"/>
          <w:lang w:val="en-US"/>
        </w:rPr>
      </w:pPr>
      <w:r w:rsidRPr="00311C6B">
        <w:rPr>
          <w:rFonts w:ascii="Times New Roman" w:hAnsi="Times New Roman"/>
          <w:b/>
          <w:i/>
          <w:sz w:val="24"/>
          <w:szCs w:val="24"/>
          <w:lang w:val="en-US"/>
        </w:rPr>
        <w:t>Key words and word-combinations:</w:t>
      </w:r>
      <w:r w:rsidRPr="00311C6B">
        <w:rPr>
          <w:rFonts w:ascii="Times New Roman" w:hAnsi="Times New Roman"/>
          <w:i/>
          <w:sz w:val="24"/>
          <w:szCs w:val="24"/>
          <w:lang w:val="en-US"/>
        </w:rPr>
        <w:t xml:space="preserve"> world economy, foreign investments, Russia, strengthening of positions in the market, economic growth.</w:t>
      </w:r>
    </w:p>
    <w:p w14:paraId="3382A365" w14:textId="77777777" w:rsidR="00212D0F" w:rsidRPr="00311C6B" w:rsidRDefault="00212D0F" w:rsidP="00212D0F">
      <w:pPr>
        <w:spacing w:after="0" w:line="240" w:lineRule="auto"/>
        <w:ind w:firstLine="709"/>
        <w:jc w:val="both"/>
        <w:rPr>
          <w:rFonts w:ascii="Times New Roman" w:hAnsi="Times New Roman"/>
          <w:i/>
          <w:sz w:val="24"/>
          <w:szCs w:val="24"/>
          <w:lang w:val="en-US"/>
        </w:rPr>
      </w:pPr>
    </w:p>
    <w:p w14:paraId="57877A1E" w14:textId="77777777" w:rsidR="00212D0F" w:rsidRDefault="00212D0F" w:rsidP="00212D0F">
      <w:pPr>
        <w:spacing w:after="0" w:line="240" w:lineRule="auto"/>
        <w:ind w:firstLine="709"/>
        <w:jc w:val="both"/>
        <w:rPr>
          <w:rFonts w:ascii="Times New Roman" w:hAnsi="Times New Roman"/>
          <w:sz w:val="24"/>
          <w:szCs w:val="24"/>
        </w:rPr>
      </w:pPr>
      <w:r>
        <w:rPr>
          <w:rFonts w:ascii="Times New Roman" w:hAnsi="Times New Roman"/>
          <w:sz w:val="24"/>
          <w:szCs w:val="24"/>
        </w:rPr>
        <w:t>Назначение</w:t>
      </w:r>
      <w:r w:rsidRPr="00937CA2">
        <w:rPr>
          <w:rFonts w:ascii="Times New Roman" w:hAnsi="Times New Roman"/>
          <w:sz w:val="24"/>
          <w:szCs w:val="24"/>
        </w:rPr>
        <w:t xml:space="preserve"> прямых иностранных инвестиций состоит в </w:t>
      </w:r>
      <w:r>
        <w:rPr>
          <w:rFonts w:ascii="Times New Roman" w:hAnsi="Times New Roman"/>
          <w:sz w:val="24"/>
          <w:szCs w:val="24"/>
        </w:rPr>
        <w:t>«</w:t>
      </w:r>
      <w:r w:rsidRPr="00937CA2">
        <w:rPr>
          <w:rFonts w:ascii="Times New Roman" w:hAnsi="Times New Roman"/>
          <w:sz w:val="24"/>
          <w:szCs w:val="24"/>
        </w:rPr>
        <w:t>их использовании для пополнения нехватки капитала на внутреннем рынке. Конечной целью прямых иностранных инвестиций является получение ресурсов и навыков, которые позволят компании сохранить и укрепить свои позиции на рынке</w:t>
      </w:r>
      <w:r>
        <w:rPr>
          <w:rFonts w:ascii="Times New Roman" w:hAnsi="Times New Roman"/>
          <w:sz w:val="24"/>
          <w:szCs w:val="24"/>
        </w:rPr>
        <w:t>»</w:t>
      </w:r>
      <w:r w:rsidRPr="00937CA2">
        <w:rPr>
          <w:rFonts w:ascii="Times New Roman" w:hAnsi="Times New Roman"/>
          <w:sz w:val="24"/>
          <w:szCs w:val="24"/>
        </w:rPr>
        <w:t xml:space="preserve"> [</w:t>
      </w:r>
      <w:r>
        <w:rPr>
          <w:rFonts w:ascii="Times New Roman" w:hAnsi="Times New Roman"/>
          <w:sz w:val="24"/>
          <w:szCs w:val="24"/>
        </w:rPr>
        <w:t>1</w:t>
      </w:r>
      <w:r w:rsidRPr="00937CA2">
        <w:rPr>
          <w:rFonts w:ascii="Times New Roman" w:hAnsi="Times New Roman"/>
          <w:sz w:val="24"/>
          <w:szCs w:val="24"/>
        </w:rPr>
        <w:t xml:space="preserve">]. </w:t>
      </w:r>
      <w:r>
        <w:rPr>
          <w:rFonts w:ascii="Times New Roman" w:hAnsi="Times New Roman"/>
          <w:sz w:val="24"/>
          <w:szCs w:val="24"/>
        </w:rPr>
        <w:t xml:space="preserve">Их вовлечение в оборот страны способствует экономическому росту и модернизации экономики, повышению технического прогресса, внедрению новых методов и форм организации бизнеса, сокращению безработицы ввиду увеличения рабочих мест и расширения бизнеса. </w:t>
      </w:r>
    </w:p>
    <w:p w14:paraId="43A61135" w14:textId="77777777" w:rsidR="00212D0F" w:rsidRPr="00937CA2" w:rsidRDefault="00212D0F" w:rsidP="00212D0F">
      <w:pPr>
        <w:spacing w:after="0" w:line="240" w:lineRule="auto"/>
        <w:ind w:firstLine="709"/>
        <w:jc w:val="both"/>
        <w:rPr>
          <w:rFonts w:ascii="Times New Roman" w:hAnsi="Times New Roman"/>
          <w:sz w:val="24"/>
          <w:szCs w:val="24"/>
        </w:rPr>
      </w:pPr>
      <w:r>
        <w:rPr>
          <w:rFonts w:ascii="Times New Roman" w:hAnsi="Times New Roman"/>
          <w:sz w:val="24"/>
          <w:szCs w:val="24"/>
        </w:rPr>
        <w:t xml:space="preserve">Влияние </w:t>
      </w:r>
      <w:r w:rsidRPr="00937CA2">
        <w:rPr>
          <w:rFonts w:ascii="Times New Roman" w:hAnsi="Times New Roman"/>
          <w:sz w:val="24"/>
          <w:szCs w:val="24"/>
        </w:rPr>
        <w:t>прямых иностранных инвестиций</w:t>
      </w:r>
      <w:r>
        <w:rPr>
          <w:rFonts w:ascii="Times New Roman" w:hAnsi="Times New Roman"/>
          <w:sz w:val="24"/>
          <w:szCs w:val="24"/>
        </w:rPr>
        <w:t xml:space="preserve"> на платежный баланс</w:t>
      </w:r>
      <w:r w:rsidRPr="00937CA2">
        <w:rPr>
          <w:rFonts w:ascii="Times New Roman" w:hAnsi="Times New Roman"/>
          <w:sz w:val="24"/>
          <w:szCs w:val="24"/>
        </w:rPr>
        <w:t>, с одной стороны положительное</w:t>
      </w:r>
      <w:r>
        <w:rPr>
          <w:rFonts w:ascii="Times New Roman" w:hAnsi="Times New Roman"/>
          <w:sz w:val="24"/>
          <w:szCs w:val="24"/>
        </w:rPr>
        <w:t>, вследствие</w:t>
      </w:r>
      <w:r w:rsidRPr="00937CA2">
        <w:rPr>
          <w:rFonts w:ascii="Times New Roman" w:hAnsi="Times New Roman"/>
          <w:sz w:val="24"/>
          <w:szCs w:val="24"/>
        </w:rPr>
        <w:t xml:space="preserve"> притока иностранного капитала, внешней сбалансированности экономики, улучшения условий торговли, импортозамещения. Однако ПИИ могут повлиять </w:t>
      </w:r>
      <w:r>
        <w:rPr>
          <w:rFonts w:ascii="Times New Roman" w:hAnsi="Times New Roman"/>
          <w:sz w:val="24"/>
          <w:szCs w:val="24"/>
        </w:rPr>
        <w:t xml:space="preserve">на платежный баланс и негативно, так как внутренние инвестиции при этом могут сокращаться, прибыль и денежные потоки также будут направляться </w:t>
      </w:r>
      <w:r w:rsidRPr="00937CA2">
        <w:rPr>
          <w:rFonts w:ascii="Times New Roman" w:hAnsi="Times New Roman"/>
          <w:sz w:val="24"/>
          <w:szCs w:val="24"/>
        </w:rPr>
        <w:t xml:space="preserve">в страну инвестора. </w:t>
      </w:r>
    </w:p>
    <w:p w14:paraId="0747B393" w14:textId="77777777" w:rsidR="00212D0F" w:rsidRPr="00937CA2" w:rsidRDefault="00212D0F" w:rsidP="00212D0F">
      <w:pPr>
        <w:spacing w:after="0" w:line="240" w:lineRule="auto"/>
        <w:ind w:firstLine="709"/>
        <w:jc w:val="both"/>
        <w:rPr>
          <w:rFonts w:ascii="Times New Roman" w:hAnsi="Times New Roman"/>
          <w:sz w:val="24"/>
          <w:szCs w:val="24"/>
        </w:rPr>
      </w:pPr>
      <w:r>
        <w:rPr>
          <w:rFonts w:ascii="Times New Roman" w:hAnsi="Times New Roman"/>
          <w:sz w:val="24"/>
          <w:szCs w:val="24"/>
        </w:rPr>
        <w:t>«</w:t>
      </w:r>
      <w:r w:rsidRPr="00937CA2">
        <w:rPr>
          <w:rFonts w:ascii="Times New Roman" w:hAnsi="Times New Roman"/>
          <w:sz w:val="24"/>
          <w:szCs w:val="24"/>
        </w:rPr>
        <w:t>Современная глобальная экономика характеризуется интенсификацией процессов глобализации. Наиболее важными факторами, определяющими данный процесс, является участие страны в международных потоках капитала и участие в развитии новых технологий. Следует отметить, что между этими элементами существует тесная взаимосвязь, так как нет возможности развития технологий без притока капитала</w:t>
      </w:r>
      <w:r>
        <w:rPr>
          <w:rFonts w:ascii="Times New Roman" w:hAnsi="Times New Roman"/>
          <w:sz w:val="24"/>
          <w:szCs w:val="24"/>
        </w:rPr>
        <w:t>»</w:t>
      </w:r>
      <w:r w:rsidRPr="00937CA2">
        <w:rPr>
          <w:rFonts w:ascii="Times New Roman" w:hAnsi="Times New Roman"/>
          <w:sz w:val="24"/>
          <w:szCs w:val="24"/>
        </w:rPr>
        <w:t xml:space="preserve"> [5]. </w:t>
      </w:r>
      <w:r>
        <w:rPr>
          <w:rFonts w:ascii="Times New Roman" w:hAnsi="Times New Roman"/>
          <w:sz w:val="24"/>
          <w:szCs w:val="24"/>
        </w:rPr>
        <w:t>Что касается п</w:t>
      </w:r>
      <w:r w:rsidRPr="00937CA2">
        <w:rPr>
          <w:rFonts w:ascii="Times New Roman" w:hAnsi="Times New Roman"/>
          <w:sz w:val="24"/>
          <w:szCs w:val="24"/>
        </w:rPr>
        <w:t>ередач</w:t>
      </w:r>
      <w:r>
        <w:rPr>
          <w:rFonts w:ascii="Times New Roman" w:hAnsi="Times New Roman"/>
          <w:sz w:val="24"/>
          <w:szCs w:val="24"/>
        </w:rPr>
        <w:t>и</w:t>
      </w:r>
      <w:r w:rsidRPr="00937CA2">
        <w:rPr>
          <w:rFonts w:ascii="Times New Roman" w:hAnsi="Times New Roman"/>
          <w:sz w:val="24"/>
          <w:szCs w:val="24"/>
        </w:rPr>
        <w:t xml:space="preserve"> технологии</w:t>
      </w:r>
      <w:r>
        <w:rPr>
          <w:rFonts w:ascii="Times New Roman" w:hAnsi="Times New Roman"/>
          <w:sz w:val="24"/>
          <w:szCs w:val="24"/>
        </w:rPr>
        <w:t xml:space="preserve">, то </w:t>
      </w:r>
      <w:r w:rsidRPr="00937CA2">
        <w:rPr>
          <w:rFonts w:ascii="Times New Roman" w:hAnsi="Times New Roman"/>
          <w:sz w:val="24"/>
          <w:szCs w:val="24"/>
        </w:rPr>
        <w:t xml:space="preserve">в прямых иностранных инвестициях </w:t>
      </w:r>
      <w:r>
        <w:rPr>
          <w:rFonts w:ascii="Times New Roman" w:hAnsi="Times New Roman"/>
          <w:sz w:val="24"/>
          <w:szCs w:val="24"/>
        </w:rPr>
        <w:t xml:space="preserve">она </w:t>
      </w:r>
      <w:r w:rsidRPr="00937CA2">
        <w:rPr>
          <w:rFonts w:ascii="Times New Roman" w:hAnsi="Times New Roman"/>
          <w:sz w:val="24"/>
          <w:szCs w:val="24"/>
        </w:rPr>
        <w:t>является</w:t>
      </w:r>
      <w:r>
        <w:rPr>
          <w:rFonts w:ascii="Times New Roman" w:hAnsi="Times New Roman"/>
          <w:sz w:val="24"/>
          <w:szCs w:val="24"/>
        </w:rPr>
        <w:t xml:space="preserve">, как правило, </w:t>
      </w:r>
      <w:r w:rsidRPr="00937CA2">
        <w:rPr>
          <w:rFonts w:ascii="Times New Roman" w:hAnsi="Times New Roman"/>
          <w:sz w:val="24"/>
          <w:szCs w:val="24"/>
        </w:rPr>
        <w:t>комплексной</w:t>
      </w:r>
      <w:r>
        <w:rPr>
          <w:rFonts w:ascii="Times New Roman" w:hAnsi="Times New Roman"/>
          <w:sz w:val="24"/>
          <w:szCs w:val="24"/>
        </w:rPr>
        <w:t xml:space="preserve">, </w:t>
      </w:r>
      <w:r>
        <w:rPr>
          <w:rFonts w:ascii="Times New Roman" w:hAnsi="Times New Roman"/>
          <w:sz w:val="24"/>
          <w:szCs w:val="24"/>
        </w:rPr>
        <w:lastRenderedPageBreak/>
        <w:t>пакетной</w:t>
      </w:r>
      <w:r w:rsidRPr="00937CA2">
        <w:rPr>
          <w:rFonts w:ascii="Times New Roman" w:hAnsi="Times New Roman"/>
          <w:sz w:val="24"/>
          <w:szCs w:val="24"/>
        </w:rPr>
        <w:t xml:space="preserve">. </w:t>
      </w:r>
      <w:r>
        <w:rPr>
          <w:rFonts w:ascii="Times New Roman" w:hAnsi="Times New Roman"/>
          <w:sz w:val="24"/>
          <w:szCs w:val="24"/>
        </w:rPr>
        <w:t>«</w:t>
      </w:r>
      <w:r w:rsidRPr="00937CA2">
        <w:rPr>
          <w:rFonts w:ascii="Times New Roman" w:hAnsi="Times New Roman"/>
          <w:sz w:val="24"/>
          <w:szCs w:val="24"/>
        </w:rPr>
        <w:t>Основные компоненты этого пакета включают: человеческий капитал, физический капитал и нематериальные активы, а также различные формы сотрудничества</w:t>
      </w:r>
      <w:r>
        <w:rPr>
          <w:rFonts w:ascii="Times New Roman" w:hAnsi="Times New Roman"/>
          <w:sz w:val="24"/>
          <w:szCs w:val="24"/>
        </w:rPr>
        <w:t xml:space="preserve">» </w:t>
      </w:r>
      <w:r w:rsidRPr="006E3F68">
        <w:rPr>
          <w:rFonts w:ascii="Times New Roman" w:hAnsi="Times New Roman"/>
          <w:sz w:val="24"/>
          <w:szCs w:val="24"/>
        </w:rPr>
        <w:t>[5]</w:t>
      </w:r>
      <w:r w:rsidRPr="00937CA2">
        <w:rPr>
          <w:rFonts w:ascii="Times New Roman" w:hAnsi="Times New Roman"/>
          <w:sz w:val="24"/>
          <w:szCs w:val="24"/>
        </w:rPr>
        <w:t xml:space="preserve">. </w:t>
      </w:r>
    </w:p>
    <w:p w14:paraId="223AFC72" w14:textId="77777777" w:rsidR="00212D0F" w:rsidRPr="00937CA2" w:rsidRDefault="00212D0F" w:rsidP="00212D0F">
      <w:pPr>
        <w:spacing w:after="0" w:line="240" w:lineRule="auto"/>
        <w:ind w:firstLine="709"/>
        <w:jc w:val="both"/>
        <w:rPr>
          <w:rFonts w:ascii="Times New Roman" w:hAnsi="Times New Roman"/>
          <w:sz w:val="24"/>
          <w:szCs w:val="24"/>
        </w:rPr>
      </w:pPr>
      <w:r>
        <w:rPr>
          <w:rFonts w:ascii="Times New Roman" w:hAnsi="Times New Roman"/>
          <w:sz w:val="24"/>
          <w:szCs w:val="24"/>
        </w:rPr>
        <w:t xml:space="preserve">На технический прогресс прямые иностранные инвестиции влияют посредством: </w:t>
      </w:r>
    </w:p>
    <w:p w14:paraId="63CF9064" w14:textId="77777777" w:rsidR="00212D0F" w:rsidRPr="00937CA2" w:rsidRDefault="00212D0F" w:rsidP="00212D0F">
      <w:pPr>
        <w:pStyle w:val="a7"/>
        <w:numPr>
          <w:ilvl w:val="0"/>
          <w:numId w:val="73"/>
        </w:numPr>
        <w:tabs>
          <w:tab w:val="left" w:pos="993"/>
        </w:tabs>
        <w:ind w:left="0" w:firstLine="709"/>
        <w:jc w:val="both"/>
        <w:rPr>
          <w:rFonts w:ascii="Times New Roman" w:hAnsi="Times New Roman"/>
        </w:rPr>
      </w:pPr>
      <w:r>
        <w:rPr>
          <w:rFonts w:ascii="Times New Roman" w:hAnsi="Times New Roman"/>
        </w:rPr>
        <w:t>внедрения новых</w:t>
      </w:r>
      <w:r w:rsidRPr="00937CA2">
        <w:rPr>
          <w:rFonts w:ascii="Times New Roman" w:hAnsi="Times New Roman"/>
        </w:rPr>
        <w:t xml:space="preserve"> модел</w:t>
      </w:r>
      <w:r>
        <w:rPr>
          <w:rFonts w:ascii="Times New Roman" w:hAnsi="Times New Roman"/>
        </w:rPr>
        <w:t>ей</w:t>
      </w:r>
      <w:r w:rsidRPr="00937CA2">
        <w:rPr>
          <w:rFonts w:ascii="Times New Roman" w:hAnsi="Times New Roman"/>
        </w:rPr>
        <w:t xml:space="preserve"> управления и организации; </w:t>
      </w:r>
    </w:p>
    <w:p w14:paraId="636CF2F3" w14:textId="77777777" w:rsidR="00212D0F" w:rsidRPr="00937CA2" w:rsidRDefault="00212D0F" w:rsidP="00212D0F">
      <w:pPr>
        <w:pStyle w:val="a7"/>
        <w:numPr>
          <w:ilvl w:val="0"/>
          <w:numId w:val="73"/>
        </w:numPr>
        <w:tabs>
          <w:tab w:val="left" w:pos="993"/>
        </w:tabs>
        <w:ind w:left="0" w:firstLine="709"/>
        <w:jc w:val="both"/>
        <w:rPr>
          <w:rFonts w:ascii="Times New Roman" w:hAnsi="Times New Roman"/>
        </w:rPr>
      </w:pPr>
      <w:r w:rsidRPr="00937CA2">
        <w:rPr>
          <w:rFonts w:ascii="Times New Roman" w:hAnsi="Times New Roman"/>
        </w:rPr>
        <w:t>воздействие</w:t>
      </w:r>
      <w:r>
        <w:rPr>
          <w:rFonts w:ascii="Times New Roman" w:hAnsi="Times New Roman"/>
        </w:rPr>
        <w:t>м</w:t>
      </w:r>
      <w:r w:rsidRPr="00937CA2">
        <w:rPr>
          <w:rFonts w:ascii="Times New Roman" w:hAnsi="Times New Roman"/>
        </w:rPr>
        <w:t xml:space="preserve"> на занятость, повышение</w:t>
      </w:r>
      <w:r>
        <w:rPr>
          <w:rFonts w:ascii="Times New Roman" w:hAnsi="Times New Roman"/>
        </w:rPr>
        <w:t>м</w:t>
      </w:r>
      <w:r w:rsidRPr="00937CA2">
        <w:rPr>
          <w:rFonts w:ascii="Times New Roman" w:hAnsi="Times New Roman"/>
        </w:rPr>
        <w:t xml:space="preserve"> квалификации работников и системы образования; </w:t>
      </w:r>
    </w:p>
    <w:p w14:paraId="68CDB705" w14:textId="77777777" w:rsidR="00212D0F" w:rsidRPr="00937CA2" w:rsidRDefault="00212D0F" w:rsidP="00212D0F">
      <w:pPr>
        <w:pStyle w:val="a7"/>
        <w:numPr>
          <w:ilvl w:val="0"/>
          <w:numId w:val="73"/>
        </w:numPr>
        <w:tabs>
          <w:tab w:val="left" w:pos="993"/>
        </w:tabs>
        <w:ind w:left="0" w:firstLine="709"/>
        <w:jc w:val="both"/>
        <w:rPr>
          <w:rFonts w:ascii="Times New Roman" w:hAnsi="Times New Roman"/>
        </w:rPr>
      </w:pPr>
      <w:r w:rsidRPr="00937CA2">
        <w:rPr>
          <w:rFonts w:ascii="Times New Roman" w:hAnsi="Times New Roman"/>
        </w:rPr>
        <w:t>новы</w:t>
      </w:r>
      <w:r>
        <w:rPr>
          <w:rFonts w:ascii="Times New Roman" w:hAnsi="Times New Roman"/>
        </w:rPr>
        <w:t>ми</w:t>
      </w:r>
      <w:r w:rsidRPr="00937CA2">
        <w:rPr>
          <w:rFonts w:ascii="Times New Roman" w:hAnsi="Times New Roman"/>
        </w:rPr>
        <w:t xml:space="preserve"> технологи</w:t>
      </w:r>
      <w:r>
        <w:rPr>
          <w:rFonts w:ascii="Times New Roman" w:hAnsi="Times New Roman"/>
        </w:rPr>
        <w:t>ями</w:t>
      </w:r>
      <w:r w:rsidRPr="00937CA2">
        <w:rPr>
          <w:rFonts w:ascii="Times New Roman" w:hAnsi="Times New Roman"/>
        </w:rPr>
        <w:t>, используемы</w:t>
      </w:r>
      <w:r>
        <w:rPr>
          <w:rFonts w:ascii="Times New Roman" w:hAnsi="Times New Roman"/>
        </w:rPr>
        <w:t>ми</w:t>
      </w:r>
      <w:r w:rsidRPr="00937CA2">
        <w:rPr>
          <w:rFonts w:ascii="Times New Roman" w:hAnsi="Times New Roman"/>
        </w:rPr>
        <w:t xml:space="preserve"> иностранными компаниями; </w:t>
      </w:r>
    </w:p>
    <w:p w14:paraId="772BFE4C" w14:textId="77777777" w:rsidR="00212D0F" w:rsidRPr="00937CA2" w:rsidRDefault="00212D0F" w:rsidP="00212D0F">
      <w:pPr>
        <w:pStyle w:val="a7"/>
        <w:numPr>
          <w:ilvl w:val="0"/>
          <w:numId w:val="73"/>
        </w:numPr>
        <w:tabs>
          <w:tab w:val="left" w:pos="993"/>
        </w:tabs>
        <w:ind w:left="0" w:firstLine="709"/>
        <w:jc w:val="both"/>
        <w:rPr>
          <w:rFonts w:ascii="Times New Roman" w:hAnsi="Times New Roman"/>
        </w:rPr>
      </w:pPr>
      <w:r w:rsidRPr="00937CA2">
        <w:rPr>
          <w:rFonts w:ascii="Times New Roman" w:hAnsi="Times New Roman"/>
        </w:rPr>
        <w:t>современн</w:t>
      </w:r>
      <w:r>
        <w:rPr>
          <w:rFonts w:ascii="Times New Roman" w:hAnsi="Times New Roman"/>
        </w:rPr>
        <w:t>ым</w:t>
      </w:r>
      <w:r w:rsidRPr="00937CA2">
        <w:rPr>
          <w:rFonts w:ascii="Times New Roman" w:hAnsi="Times New Roman"/>
        </w:rPr>
        <w:t xml:space="preserve"> производство</w:t>
      </w:r>
      <w:r>
        <w:rPr>
          <w:rFonts w:ascii="Times New Roman" w:hAnsi="Times New Roman"/>
        </w:rPr>
        <w:t>м</w:t>
      </w:r>
      <w:r w:rsidRPr="00937CA2">
        <w:rPr>
          <w:rFonts w:ascii="Times New Roman" w:hAnsi="Times New Roman"/>
        </w:rPr>
        <w:t xml:space="preserve"> (производство высокотехнологичной продукции, улучшение качества производимой продукции и высокий объем продаж); </w:t>
      </w:r>
    </w:p>
    <w:p w14:paraId="738A3A81" w14:textId="77777777" w:rsidR="00212D0F" w:rsidRPr="00937CA2" w:rsidRDefault="00212D0F" w:rsidP="00212D0F">
      <w:pPr>
        <w:pStyle w:val="a7"/>
        <w:numPr>
          <w:ilvl w:val="0"/>
          <w:numId w:val="73"/>
        </w:numPr>
        <w:tabs>
          <w:tab w:val="left" w:pos="993"/>
        </w:tabs>
        <w:ind w:left="0" w:firstLine="709"/>
        <w:jc w:val="both"/>
        <w:rPr>
          <w:rFonts w:ascii="Times New Roman" w:hAnsi="Times New Roman"/>
        </w:rPr>
      </w:pPr>
      <w:r w:rsidRPr="00937CA2">
        <w:rPr>
          <w:rFonts w:ascii="Times New Roman" w:hAnsi="Times New Roman"/>
        </w:rPr>
        <w:t>использование</w:t>
      </w:r>
      <w:r>
        <w:rPr>
          <w:rFonts w:ascii="Times New Roman" w:hAnsi="Times New Roman"/>
        </w:rPr>
        <w:t>м</w:t>
      </w:r>
      <w:r w:rsidRPr="00937CA2">
        <w:rPr>
          <w:rFonts w:ascii="Times New Roman" w:hAnsi="Times New Roman"/>
        </w:rPr>
        <w:t xml:space="preserve"> экологически чистых технологий и решений в области повышения безопасности окружающей среды [</w:t>
      </w:r>
      <w:r>
        <w:rPr>
          <w:rFonts w:ascii="Times New Roman" w:hAnsi="Times New Roman"/>
        </w:rPr>
        <w:t>1</w:t>
      </w:r>
      <w:r w:rsidRPr="00937CA2">
        <w:rPr>
          <w:rFonts w:ascii="Times New Roman" w:hAnsi="Times New Roman"/>
        </w:rPr>
        <w:t>].</w:t>
      </w:r>
    </w:p>
    <w:p w14:paraId="14B90857" w14:textId="77777777" w:rsidR="00212D0F" w:rsidRPr="00937CA2" w:rsidRDefault="00212D0F" w:rsidP="00212D0F">
      <w:pPr>
        <w:widowControl w:val="0"/>
        <w:spacing w:after="0" w:line="240" w:lineRule="auto"/>
        <w:ind w:firstLine="709"/>
        <w:jc w:val="both"/>
        <w:rPr>
          <w:rFonts w:ascii="Times New Roman" w:hAnsi="Times New Roman"/>
          <w:sz w:val="24"/>
          <w:szCs w:val="24"/>
        </w:rPr>
      </w:pPr>
      <w:r w:rsidRPr="00937CA2">
        <w:rPr>
          <w:rFonts w:ascii="Times New Roman" w:hAnsi="Times New Roman"/>
          <w:sz w:val="24"/>
          <w:szCs w:val="24"/>
        </w:rPr>
        <w:t xml:space="preserve">В целом можно констатировать, что прямые иностранные инвестиции играют значительную роль в повышении технического прогресса в стране размещения иностранных инвестиций. </w:t>
      </w:r>
    </w:p>
    <w:p w14:paraId="742297C7" w14:textId="77777777" w:rsidR="00212D0F" w:rsidRDefault="00212D0F" w:rsidP="00212D0F">
      <w:pPr>
        <w:widowControl w:val="0"/>
        <w:spacing w:after="0" w:line="240" w:lineRule="auto"/>
        <w:ind w:firstLine="709"/>
        <w:jc w:val="both"/>
        <w:rPr>
          <w:rFonts w:ascii="Times New Roman" w:hAnsi="Times New Roman"/>
          <w:sz w:val="24"/>
          <w:szCs w:val="24"/>
        </w:rPr>
      </w:pPr>
      <w:r w:rsidRPr="00937CA2">
        <w:rPr>
          <w:rFonts w:ascii="Times New Roman" w:hAnsi="Times New Roman"/>
          <w:sz w:val="24"/>
          <w:szCs w:val="24"/>
        </w:rPr>
        <w:t>Влияние прямых иностранных инвестиций на рынок т</w:t>
      </w:r>
      <w:r>
        <w:rPr>
          <w:rFonts w:ascii="Times New Roman" w:hAnsi="Times New Roman"/>
          <w:sz w:val="24"/>
          <w:szCs w:val="24"/>
        </w:rPr>
        <w:t>руда зависит от многих факторов:</w:t>
      </w:r>
      <w:r w:rsidRPr="00937CA2">
        <w:rPr>
          <w:rFonts w:ascii="Times New Roman" w:hAnsi="Times New Roman"/>
          <w:sz w:val="24"/>
          <w:szCs w:val="24"/>
        </w:rPr>
        <w:t xml:space="preserve"> </w:t>
      </w:r>
    </w:p>
    <w:p w14:paraId="433F475C" w14:textId="77777777" w:rsidR="00212D0F" w:rsidRPr="00937CA2" w:rsidRDefault="00212D0F" w:rsidP="00212D0F">
      <w:pPr>
        <w:pStyle w:val="a7"/>
        <w:widowControl w:val="0"/>
        <w:numPr>
          <w:ilvl w:val="0"/>
          <w:numId w:val="74"/>
        </w:numPr>
        <w:tabs>
          <w:tab w:val="left" w:pos="993"/>
        </w:tabs>
        <w:ind w:left="0" w:firstLine="709"/>
        <w:jc w:val="both"/>
        <w:rPr>
          <w:rFonts w:ascii="Times New Roman" w:hAnsi="Times New Roman"/>
        </w:rPr>
      </w:pPr>
      <w:r w:rsidRPr="00937CA2">
        <w:rPr>
          <w:rFonts w:ascii="Times New Roman" w:hAnsi="Times New Roman"/>
        </w:rPr>
        <w:t>поддер</w:t>
      </w:r>
      <w:r>
        <w:rPr>
          <w:rFonts w:ascii="Times New Roman" w:hAnsi="Times New Roman"/>
        </w:rPr>
        <w:t>жание текущего уровня занятости</w:t>
      </w:r>
      <w:r w:rsidRPr="00937CA2">
        <w:rPr>
          <w:rFonts w:ascii="Times New Roman" w:hAnsi="Times New Roman"/>
        </w:rPr>
        <w:t xml:space="preserve">; </w:t>
      </w:r>
    </w:p>
    <w:p w14:paraId="60C2B3BD" w14:textId="77777777" w:rsidR="00212D0F" w:rsidRPr="00937CA2" w:rsidRDefault="00212D0F" w:rsidP="00212D0F">
      <w:pPr>
        <w:pStyle w:val="a7"/>
        <w:widowControl w:val="0"/>
        <w:numPr>
          <w:ilvl w:val="0"/>
          <w:numId w:val="74"/>
        </w:numPr>
        <w:tabs>
          <w:tab w:val="left" w:pos="993"/>
        </w:tabs>
        <w:ind w:left="0" w:firstLine="709"/>
        <w:jc w:val="both"/>
        <w:rPr>
          <w:rFonts w:ascii="Times New Roman" w:hAnsi="Times New Roman"/>
        </w:rPr>
      </w:pPr>
      <w:r>
        <w:rPr>
          <w:rFonts w:ascii="Times New Roman" w:hAnsi="Times New Roman"/>
        </w:rPr>
        <w:t>создание новых рабочих мест</w:t>
      </w:r>
      <w:r w:rsidRPr="00937CA2">
        <w:rPr>
          <w:rFonts w:ascii="Times New Roman" w:hAnsi="Times New Roman"/>
        </w:rPr>
        <w:t>.</w:t>
      </w:r>
    </w:p>
    <w:p w14:paraId="1A5E439B"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При анализе влияния ПИИ на рынок труда принимающей страны необходимо учитывать количественный аспект (изменение в занятости), аспект качества (влияние на производительность труда, переподготовка кадров) и аспект локализации. Прямые иностранные инвестиции оказывают положительное влияние на занятость в странах с высоким уровнем безработицы. Приток иностранных инвестиций приводит к повышению производительности труда, а зачастую и увеличению заработной платы. Зачастую оба эти эффекта возникают одновременно. Во многих случаях оплата труда на иностранных предприятиях выше, чем в национальных компаниях</w:t>
      </w:r>
      <w:r>
        <w:rPr>
          <w:rFonts w:ascii="Times New Roman" w:hAnsi="Times New Roman"/>
          <w:sz w:val="24"/>
          <w:szCs w:val="24"/>
        </w:rPr>
        <w:t xml:space="preserve">, что приводит к росту </w:t>
      </w:r>
      <w:r w:rsidRPr="00937CA2">
        <w:rPr>
          <w:rFonts w:ascii="Times New Roman" w:hAnsi="Times New Roman"/>
          <w:sz w:val="24"/>
          <w:szCs w:val="24"/>
        </w:rPr>
        <w:t>производительности труда</w:t>
      </w:r>
      <w:r>
        <w:rPr>
          <w:rFonts w:ascii="Times New Roman" w:hAnsi="Times New Roman"/>
          <w:sz w:val="24"/>
          <w:szCs w:val="24"/>
        </w:rPr>
        <w:t xml:space="preserve"> и ведет к росту </w:t>
      </w:r>
      <w:r w:rsidRPr="00937CA2">
        <w:rPr>
          <w:rFonts w:ascii="Times New Roman" w:hAnsi="Times New Roman"/>
          <w:sz w:val="24"/>
          <w:szCs w:val="24"/>
        </w:rPr>
        <w:t xml:space="preserve">заработной платы в экономике в целом. </w:t>
      </w:r>
    </w:p>
    <w:p w14:paraId="1F2766AB"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Прямые иностранные инвестиции способствуют устойчивому экономическому росту и социально-экономическому развитию регионов и страны в целом</w:t>
      </w:r>
      <w:r>
        <w:rPr>
          <w:rFonts w:ascii="Times New Roman" w:hAnsi="Times New Roman"/>
          <w:sz w:val="24"/>
          <w:szCs w:val="24"/>
        </w:rPr>
        <w:t xml:space="preserve"> за счет </w:t>
      </w:r>
      <w:r w:rsidRPr="00937CA2">
        <w:rPr>
          <w:rFonts w:ascii="Times New Roman" w:hAnsi="Times New Roman"/>
          <w:sz w:val="24"/>
          <w:szCs w:val="24"/>
        </w:rPr>
        <w:t>модернизаци</w:t>
      </w:r>
      <w:r>
        <w:rPr>
          <w:rFonts w:ascii="Times New Roman" w:hAnsi="Times New Roman"/>
          <w:sz w:val="24"/>
          <w:szCs w:val="24"/>
        </w:rPr>
        <w:t>и</w:t>
      </w:r>
      <w:r w:rsidRPr="00937CA2">
        <w:rPr>
          <w:rFonts w:ascii="Times New Roman" w:hAnsi="Times New Roman"/>
          <w:sz w:val="24"/>
          <w:szCs w:val="24"/>
        </w:rPr>
        <w:t xml:space="preserve"> производственного аппарата, улучшени</w:t>
      </w:r>
      <w:r>
        <w:rPr>
          <w:rFonts w:ascii="Times New Roman" w:hAnsi="Times New Roman"/>
          <w:sz w:val="24"/>
          <w:szCs w:val="24"/>
        </w:rPr>
        <w:t>я</w:t>
      </w:r>
      <w:r w:rsidRPr="00937CA2">
        <w:rPr>
          <w:rFonts w:ascii="Times New Roman" w:hAnsi="Times New Roman"/>
          <w:sz w:val="24"/>
          <w:szCs w:val="24"/>
        </w:rPr>
        <w:t xml:space="preserve"> качества. </w:t>
      </w:r>
    </w:p>
    <w:p w14:paraId="4941ACDE"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 xml:space="preserve">Выгоды для принимающей страны зависят от многих факторов, в том числе от социальной, экономической и политической обстановки в стране. Иностранные компании могут существенно повлиять на работу отечественных компаний. Это связано с тем, что национальные игроки вынуждены предпринимать соответствующие действия, чтобы догнать иностранных конкурентов. Следствием этого является технический прогресс, повышение уровня знаний и совершенствование управленческих процедур во всех компаниях, включая отечественные. </w:t>
      </w:r>
    </w:p>
    <w:p w14:paraId="3E1A7B38" w14:textId="77777777" w:rsidR="00212D0F" w:rsidRPr="00937CA2" w:rsidRDefault="630840AF" w:rsidP="630840AF">
      <w:pPr>
        <w:shd w:val="clear" w:color="auto" w:fill="FFFFFF" w:themeFill="background1"/>
        <w:spacing w:after="0" w:line="240" w:lineRule="auto"/>
        <w:ind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 xml:space="preserve">Кроме того, рост объемов прямых иностранных инвестиций связан с ростом конкуренции на местных рынках за счет зарубежных компаний. Деятельность последних побуждает национальные фирмы работать эффективнее. </w:t>
      </w:r>
    </w:p>
    <w:p w14:paraId="3E3AC8D4" w14:textId="77777777" w:rsidR="00212D0F" w:rsidRPr="00937CA2" w:rsidRDefault="630840AF" w:rsidP="630840AF">
      <w:pPr>
        <w:shd w:val="clear" w:color="auto" w:fill="FFFFFF" w:themeFill="background1"/>
        <w:spacing w:after="0" w:line="240" w:lineRule="auto"/>
        <w:ind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Таким образом, положительное влияние прямых иностранных инвестиций на национальную экономику заключается:</w:t>
      </w:r>
    </w:p>
    <w:p w14:paraId="39F27335" w14:textId="77777777" w:rsidR="00212D0F" w:rsidRPr="00937CA2" w:rsidRDefault="630840AF" w:rsidP="630840AF">
      <w:pPr>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в способности активизировать инвестиционные процессы в силу присущего инвестициям мультипликативного эффекта;</w:t>
      </w:r>
    </w:p>
    <w:p w14:paraId="568DEAD3" w14:textId="77777777" w:rsidR="00212D0F" w:rsidRPr="00937CA2" w:rsidRDefault="630840AF" w:rsidP="630840AF">
      <w:pPr>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в содействии общей социально-экономической стабильности, стимулировании производственных вложений в материальную</w:t>
      </w:r>
      <w:r w:rsidRPr="630840AF">
        <w:rPr>
          <w:rFonts w:ascii="Times New Roman" w:hAnsi="Times New Roman"/>
          <w:b/>
          <w:bCs/>
          <w:color w:val="000000" w:themeColor="text1"/>
          <w:sz w:val="24"/>
          <w:szCs w:val="24"/>
          <w:lang w:eastAsia="ru-RU"/>
        </w:rPr>
        <w:t xml:space="preserve"> </w:t>
      </w:r>
      <w:r w:rsidRPr="630840AF">
        <w:rPr>
          <w:rFonts w:ascii="Times New Roman" w:hAnsi="Times New Roman"/>
          <w:color w:val="000000" w:themeColor="text1"/>
          <w:sz w:val="24"/>
          <w:szCs w:val="24"/>
          <w:lang w:eastAsia="ru-RU"/>
        </w:rPr>
        <w:t>базу (в отличие</w:t>
      </w:r>
      <w:r w:rsidRPr="630840AF">
        <w:rPr>
          <w:rFonts w:ascii="Times New Roman" w:hAnsi="Times New Roman"/>
          <w:b/>
          <w:bCs/>
          <w:color w:val="000000" w:themeColor="text1"/>
          <w:sz w:val="24"/>
          <w:szCs w:val="24"/>
          <w:lang w:eastAsia="ru-RU"/>
        </w:rPr>
        <w:t xml:space="preserve"> </w:t>
      </w:r>
      <w:r w:rsidRPr="630840AF">
        <w:rPr>
          <w:rFonts w:ascii="Times New Roman" w:hAnsi="Times New Roman"/>
          <w:color w:val="000000" w:themeColor="text1"/>
          <w:sz w:val="24"/>
          <w:szCs w:val="24"/>
          <w:lang w:eastAsia="ru-RU"/>
        </w:rPr>
        <w:t>от спекулятивных и нестабильных портфельных инвестиций);</w:t>
      </w:r>
    </w:p>
    <w:p w14:paraId="4FA27470" w14:textId="77777777" w:rsidR="00212D0F" w:rsidRPr="00937CA2" w:rsidRDefault="630840AF" w:rsidP="630840AF">
      <w:pPr>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в сочетании переноса практических навыков и квалифицированного менеджмента со взаимовыгодным обменом ноу-хау, облегчающим выход на международные рынки;</w:t>
      </w:r>
    </w:p>
    <w:p w14:paraId="26DAD2E6" w14:textId="77777777" w:rsidR="00212D0F" w:rsidRPr="00937CA2" w:rsidRDefault="630840AF" w:rsidP="630840AF">
      <w:pPr>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в активизации конкуренции и стимулировании развития среднего и малого бизнеса;</w:t>
      </w:r>
    </w:p>
    <w:p w14:paraId="25B2295D" w14:textId="77777777" w:rsidR="00212D0F" w:rsidRPr="00937CA2" w:rsidRDefault="630840AF" w:rsidP="630840AF">
      <w:pPr>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lastRenderedPageBreak/>
        <w:t>в способности, при правильных организации, стимулировании и размещении, ускорить развитие отраслей и регионов;</w:t>
      </w:r>
    </w:p>
    <w:p w14:paraId="61502F97" w14:textId="77777777" w:rsidR="00212D0F" w:rsidRPr="00937CA2" w:rsidRDefault="630840AF" w:rsidP="630840AF">
      <w:pPr>
        <w:widowControl w:val="0"/>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в содействии росту занятости и повышению уровня доходов населения, расширению налоговой базы;</w:t>
      </w:r>
    </w:p>
    <w:p w14:paraId="25202E75" w14:textId="77777777" w:rsidR="00212D0F" w:rsidRPr="00937CA2" w:rsidRDefault="00212D0F" w:rsidP="00212D0F">
      <w:pPr>
        <w:widowControl w:val="0"/>
        <w:numPr>
          <w:ilvl w:val="0"/>
          <w:numId w:val="70"/>
        </w:numPr>
        <w:shd w:val="clear" w:color="auto" w:fill="FFFFFF"/>
        <w:tabs>
          <w:tab w:val="clear" w:pos="720"/>
          <w:tab w:val="left" w:pos="993"/>
        </w:tabs>
        <w:spacing w:after="0" w:line="240" w:lineRule="auto"/>
        <w:ind w:left="0" w:firstLine="709"/>
        <w:jc w:val="both"/>
        <w:rPr>
          <w:rFonts w:ascii="Times New Roman" w:hAnsi="Times New Roman"/>
          <w:color w:val="000000"/>
          <w:sz w:val="24"/>
          <w:szCs w:val="24"/>
          <w:lang w:eastAsia="ru-RU"/>
        </w:rPr>
      </w:pPr>
      <w:r w:rsidRPr="00937CA2">
        <w:rPr>
          <w:rFonts w:ascii="Times New Roman" w:hAnsi="Times New Roman"/>
          <w:color w:val="000000"/>
          <w:sz w:val="24"/>
          <w:szCs w:val="24"/>
          <w:lang w:eastAsia="ru-RU"/>
        </w:rPr>
        <w:t>в стимулировании развития производства экспортной продукции с высокой долей добавленной стоимости, инновационных товаров и производственных технологий, управле-</w:t>
      </w:r>
    </w:p>
    <w:p w14:paraId="018CF1C2" w14:textId="77777777" w:rsidR="00212D0F" w:rsidRPr="00937CA2" w:rsidRDefault="00212D0F" w:rsidP="00212D0F">
      <w:pPr>
        <w:widowControl w:val="0"/>
        <w:shd w:val="clear" w:color="auto" w:fill="FFFFFF"/>
        <w:tabs>
          <w:tab w:val="left" w:pos="993"/>
        </w:tabs>
        <w:spacing w:after="0" w:line="240" w:lineRule="auto"/>
        <w:jc w:val="both"/>
        <w:rPr>
          <w:rFonts w:ascii="Times New Roman" w:hAnsi="Times New Roman"/>
          <w:color w:val="000000"/>
          <w:sz w:val="24"/>
          <w:szCs w:val="24"/>
          <w:lang w:eastAsia="ru-RU"/>
        </w:rPr>
      </w:pPr>
      <w:r w:rsidRPr="00937CA2">
        <w:rPr>
          <w:rFonts w:ascii="Times New Roman" w:hAnsi="Times New Roman"/>
          <w:color w:val="000000"/>
          <w:sz w:val="24"/>
          <w:szCs w:val="24"/>
          <w:lang w:eastAsia="ru-RU"/>
        </w:rPr>
        <w:t>ния качеством, ориентации на потребителя;</w:t>
      </w:r>
    </w:p>
    <w:p w14:paraId="1B11EFC3" w14:textId="77777777" w:rsidR="00212D0F" w:rsidRPr="00937CA2" w:rsidRDefault="630840AF" w:rsidP="630840AF">
      <w:pPr>
        <w:numPr>
          <w:ilvl w:val="0"/>
          <w:numId w:val="70"/>
        </w:numPr>
        <w:shd w:val="clear" w:color="auto" w:fill="FFFFFF" w:themeFill="background1"/>
        <w:tabs>
          <w:tab w:val="clear" w:pos="720"/>
          <w:tab w:val="left" w:pos="993"/>
        </w:tabs>
        <w:spacing w:after="0" w:line="240" w:lineRule="auto"/>
        <w:ind w:left="0"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в содействии импортозамещению.</w:t>
      </w:r>
    </w:p>
    <w:p w14:paraId="2B2980D6" w14:textId="77777777" w:rsidR="00212D0F" w:rsidRPr="00937CA2" w:rsidRDefault="00212D0F" w:rsidP="630840AF">
      <w:pPr>
        <w:shd w:val="clear" w:color="auto" w:fill="FFFFFF" w:themeFill="background1"/>
        <w:spacing w:after="0" w:line="240" w:lineRule="auto"/>
        <w:ind w:firstLine="709"/>
        <w:jc w:val="both"/>
        <w:rPr>
          <w:rFonts w:ascii="Times New Roman" w:hAnsi="Times New Roman"/>
          <w:color w:val="000000" w:themeColor="text1"/>
          <w:sz w:val="24"/>
          <w:szCs w:val="24"/>
          <w:lang w:eastAsia="ru-RU"/>
        </w:rPr>
      </w:pPr>
      <w:r w:rsidRPr="00937CA2">
        <w:rPr>
          <w:rFonts w:ascii="Times New Roman" w:hAnsi="Times New Roman"/>
          <w:color w:val="000000"/>
          <w:sz w:val="24"/>
          <w:szCs w:val="24"/>
          <w:lang w:eastAsia="ru-RU"/>
        </w:rPr>
        <w:t xml:space="preserve">Исследования по выявлению эффекта зарубежных инвестиций на экономическое развитие принимающей страны установили, что </w:t>
      </w:r>
      <w:r w:rsidRPr="00937CA2">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3</w:t>
      </w:r>
      <w:r w:rsidRPr="00937CA2">
        <w:rPr>
          <w:rFonts w:ascii="Times New Roman" w:hAnsi="Times New Roman"/>
          <w:color w:val="000000"/>
          <w:sz w:val="24"/>
          <w:szCs w:val="24"/>
          <w:shd w:val="clear" w:color="auto" w:fill="FFFFFF"/>
        </w:rPr>
        <w:t>]</w:t>
      </w:r>
      <w:r w:rsidRPr="00937CA2">
        <w:rPr>
          <w:rFonts w:ascii="Times New Roman" w:hAnsi="Times New Roman"/>
          <w:color w:val="000000"/>
          <w:sz w:val="24"/>
          <w:szCs w:val="24"/>
          <w:lang w:eastAsia="ru-RU"/>
        </w:rPr>
        <w:t xml:space="preserve">: </w:t>
      </w:r>
    </w:p>
    <w:p w14:paraId="6B1773F6" w14:textId="77777777" w:rsidR="00212D0F" w:rsidRPr="00937CA2" w:rsidRDefault="630840AF" w:rsidP="630840AF">
      <w:pPr>
        <w:pStyle w:val="a7"/>
        <w:numPr>
          <w:ilvl w:val="0"/>
          <w:numId w:val="71"/>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color w:val="000000" w:themeColor="text1"/>
          <w:lang w:eastAsia="ru-RU"/>
        </w:rPr>
        <w:t>чтобы ПИИ содействовали экономическому росту необходимо, чтобы зарубежные инвестиции не вытесняли равные суммы национальных капиталов вследствие роста конкуренции на рынках;</w:t>
      </w:r>
    </w:p>
    <w:p w14:paraId="63F42602" w14:textId="77777777" w:rsidR="00212D0F" w:rsidRPr="00937CA2" w:rsidRDefault="630840AF" w:rsidP="630840AF">
      <w:pPr>
        <w:pStyle w:val="a7"/>
        <w:numPr>
          <w:ilvl w:val="0"/>
          <w:numId w:val="71"/>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color w:val="000000" w:themeColor="text1"/>
          <w:lang w:eastAsia="ru-RU"/>
        </w:rPr>
        <w:t>ПИИ содействуют экономическому росту, если они более рентабельны или прибыльны по сравнению с национальными капиталовложениями;</w:t>
      </w:r>
    </w:p>
    <w:p w14:paraId="4803F416" w14:textId="77777777" w:rsidR="00212D0F" w:rsidRPr="00937CA2" w:rsidRDefault="630840AF" w:rsidP="630840AF">
      <w:pPr>
        <w:pStyle w:val="a7"/>
        <w:numPr>
          <w:ilvl w:val="0"/>
          <w:numId w:val="71"/>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color w:val="000000" w:themeColor="text1"/>
          <w:lang w:eastAsia="ru-RU"/>
        </w:rPr>
        <w:t>вклад ПИИ в увеличение экономического роста возможен только в условиях наличия связи между ПИИ и уровнем квалификации трудовых ресурсов.</w:t>
      </w:r>
    </w:p>
    <w:p w14:paraId="605FC003" w14:textId="77777777" w:rsidR="00212D0F" w:rsidRPr="00937CA2" w:rsidRDefault="630840AF" w:rsidP="630840AF">
      <w:pPr>
        <w:shd w:val="clear" w:color="auto" w:fill="FFFFFF" w:themeFill="background1"/>
        <w:spacing w:after="0" w:line="240" w:lineRule="auto"/>
        <w:ind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Но негативную роль могут сыграть отдельные факторы. Например, в условиях протекционистской торговой политики ПИИ могут быть единственным путем доступа на внутренний рынок в отличие от традиционного экспорта товаров в принимающую страну. Аналогично правительство может предложить стимулы иностранным инвесторам, чтобы стимулировать ПИИ в целях пополнения валютных резервов и развития конкретных отраслей, являющихся стратегическими с точки зрения промышленной политики. Следствием такой политики может быть приток ПИИ.</w:t>
      </w:r>
    </w:p>
    <w:p w14:paraId="6D7C59FE" w14:textId="77777777" w:rsidR="00212D0F" w:rsidRPr="00937CA2" w:rsidRDefault="630840AF" w:rsidP="630840AF">
      <w:pPr>
        <w:shd w:val="clear" w:color="auto" w:fill="FFFFFF" w:themeFill="background1"/>
        <w:spacing w:after="0" w:line="240" w:lineRule="auto"/>
        <w:ind w:firstLine="709"/>
        <w:jc w:val="both"/>
        <w:rPr>
          <w:rFonts w:ascii="Times New Roman" w:hAnsi="Times New Roman"/>
          <w:color w:val="000000" w:themeColor="text1"/>
          <w:sz w:val="24"/>
          <w:szCs w:val="24"/>
          <w:lang w:eastAsia="ru-RU"/>
        </w:rPr>
      </w:pPr>
      <w:r w:rsidRPr="630840AF">
        <w:rPr>
          <w:rFonts w:ascii="Times New Roman" w:hAnsi="Times New Roman"/>
          <w:color w:val="000000" w:themeColor="text1"/>
          <w:sz w:val="24"/>
          <w:szCs w:val="24"/>
          <w:lang w:eastAsia="ru-RU"/>
        </w:rPr>
        <w:t>Наряду с положительными эффектами ПИИ в частности и капитала в целом на экономическое развитие и рост экономики принимающей страны есть и потенциальные негативные эффекты:</w:t>
      </w:r>
    </w:p>
    <w:p w14:paraId="0A4384C9" w14:textId="77777777" w:rsidR="00212D0F" w:rsidRPr="00937CA2" w:rsidRDefault="630840AF" w:rsidP="630840AF">
      <w:pPr>
        <w:pStyle w:val="a7"/>
        <w:numPr>
          <w:ilvl w:val="0"/>
          <w:numId w:val="72"/>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color w:val="000000" w:themeColor="text1"/>
          <w:lang w:eastAsia="ru-RU"/>
        </w:rPr>
        <w:t>вытеснение национальных капиталов и компаний;</w:t>
      </w:r>
    </w:p>
    <w:p w14:paraId="41DF9A49" w14:textId="77777777" w:rsidR="00212D0F" w:rsidRPr="00937CA2" w:rsidRDefault="630840AF" w:rsidP="630840AF">
      <w:pPr>
        <w:pStyle w:val="a7"/>
        <w:numPr>
          <w:ilvl w:val="0"/>
          <w:numId w:val="72"/>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color w:val="000000" w:themeColor="text1"/>
          <w:lang w:eastAsia="ru-RU"/>
        </w:rPr>
        <w:t>содействие оттоку капитала из страны на основе трансфертного ценообразования;</w:t>
      </w:r>
    </w:p>
    <w:p w14:paraId="0B22B02A" w14:textId="77777777" w:rsidR="00212D0F" w:rsidRPr="00937CA2" w:rsidRDefault="630840AF" w:rsidP="630840AF">
      <w:pPr>
        <w:pStyle w:val="a7"/>
        <w:numPr>
          <w:ilvl w:val="0"/>
          <w:numId w:val="72"/>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color w:val="000000" w:themeColor="text1"/>
          <w:lang w:eastAsia="ru-RU"/>
        </w:rPr>
        <w:t>рост дифференциации доходов;</w:t>
      </w:r>
    </w:p>
    <w:p w14:paraId="659BF27C" w14:textId="77777777" w:rsidR="00212D0F" w:rsidRPr="00937CA2" w:rsidRDefault="630840AF" w:rsidP="630840AF">
      <w:pPr>
        <w:pStyle w:val="a7"/>
        <w:numPr>
          <w:ilvl w:val="0"/>
          <w:numId w:val="72"/>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rPr>
        <w:t>нерациональное природопользование и ухудшение экологии;</w:t>
      </w:r>
    </w:p>
    <w:p w14:paraId="45048A5C" w14:textId="77777777" w:rsidR="00212D0F" w:rsidRPr="00937CA2" w:rsidRDefault="630840AF" w:rsidP="630840AF">
      <w:pPr>
        <w:pStyle w:val="a7"/>
        <w:numPr>
          <w:ilvl w:val="0"/>
          <w:numId w:val="72"/>
        </w:numPr>
        <w:shd w:val="clear" w:color="auto" w:fill="FFFFFF" w:themeFill="background1"/>
        <w:tabs>
          <w:tab w:val="left" w:pos="993"/>
        </w:tabs>
        <w:ind w:left="0" w:firstLine="709"/>
        <w:jc w:val="both"/>
        <w:rPr>
          <w:rFonts w:ascii="Times New Roman" w:hAnsi="Times New Roman"/>
          <w:color w:val="000000" w:themeColor="text1"/>
          <w:lang w:eastAsia="ru-RU"/>
        </w:rPr>
      </w:pPr>
      <w:r w:rsidRPr="630840AF">
        <w:rPr>
          <w:rFonts w:ascii="Times New Roman" w:hAnsi="Times New Roman"/>
        </w:rPr>
        <w:t>потеря экономической и политической независимости</w:t>
      </w:r>
      <w:r w:rsidRPr="630840AF">
        <w:rPr>
          <w:rFonts w:ascii="Times New Roman" w:hAnsi="Times New Roman"/>
          <w:color w:val="000000" w:themeColor="text1"/>
          <w:lang w:eastAsia="ru-RU"/>
        </w:rPr>
        <w:t>.</w:t>
      </w:r>
    </w:p>
    <w:p w14:paraId="65C80294"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Значимость прямых иностранных инвестиций для развития мировой экономики подтверждается их положительной динамикой.</w:t>
      </w:r>
    </w:p>
    <w:p w14:paraId="33B01E41"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В 2016 г. глобальные потоки ПИИ сократились на 2% до 1,75 трлн. долл., демонстрируя нестабильность мировой экономики</w:t>
      </w:r>
      <w:r>
        <w:rPr>
          <w:rFonts w:ascii="Times New Roman" w:hAnsi="Times New Roman"/>
          <w:sz w:val="24"/>
          <w:szCs w:val="24"/>
        </w:rPr>
        <w:t xml:space="preserve"> </w:t>
      </w:r>
      <w:r w:rsidRPr="00D166F0">
        <w:rPr>
          <w:rFonts w:ascii="Times New Roman" w:hAnsi="Times New Roman"/>
          <w:sz w:val="24"/>
          <w:szCs w:val="24"/>
        </w:rPr>
        <w:t>[</w:t>
      </w:r>
      <w:r>
        <w:rPr>
          <w:rFonts w:ascii="Times New Roman" w:hAnsi="Times New Roman"/>
          <w:sz w:val="24"/>
          <w:szCs w:val="24"/>
        </w:rPr>
        <w:t>2</w:t>
      </w:r>
      <w:r w:rsidRPr="00D166F0">
        <w:rPr>
          <w:rFonts w:ascii="Times New Roman" w:hAnsi="Times New Roman"/>
          <w:sz w:val="24"/>
          <w:szCs w:val="24"/>
        </w:rPr>
        <w:t>]</w:t>
      </w:r>
      <w:r w:rsidRPr="00937CA2">
        <w:rPr>
          <w:rFonts w:ascii="Times New Roman" w:hAnsi="Times New Roman"/>
          <w:sz w:val="24"/>
          <w:szCs w:val="24"/>
        </w:rPr>
        <w:t xml:space="preserve">. </w:t>
      </w:r>
    </w:p>
    <w:p w14:paraId="0B1D5177" w14:textId="77777777" w:rsidR="00212D0F" w:rsidRPr="00937CA2" w:rsidRDefault="00212D0F" w:rsidP="00212D0F">
      <w:pPr>
        <w:widowControl w:val="0"/>
        <w:spacing w:after="0" w:line="240" w:lineRule="auto"/>
        <w:ind w:firstLine="709"/>
        <w:jc w:val="both"/>
        <w:rPr>
          <w:rFonts w:ascii="Times New Roman" w:hAnsi="Times New Roman"/>
          <w:sz w:val="24"/>
          <w:szCs w:val="24"/>
        </w:rPr>
      </w:pPr>
      <w:r w:rsidRPr="00937CA2">
        <w:rPr>
          <w:rFonts w:ascii="Times New Roman" w:hAnsi="Times New Roman"/>
          <w:sz w:val="24"/>
          <w:szCs w:val="24"/>
        </w:rPr>
        <w:t xml:space="preserve">При этом объем внутрифирменного кредитования резко упал, а рост инвестиций в основной капитал был связан с 18-процентным увеличением стоимости трансграничных слияний и поглощений. Падение притока в развивающиеся страны отчасти компенсировалось скромным увеличением инвестиций в развитые страны и их заметным ростом в страны с переходной экономикой. В результате доля развитых стран в глобальном притоке ПИИ выросла до 59%. Потоки в развитые страны увеличились на 5% до 1032 млрд. долларов. </w:t>
      </w:r>
    </w:p>
    <w:p w14:paraId="53B304EA"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В 2017 г. наблюдался скромный рост глобальных потоков ПИИ (на 5%), которые, тем не менее, остались гораздо ниже рекордного уровня 2007 г. Этому во многом способствовало усиление геополитических рисков и политической неопределенности, что нашло отражение в таких событиях, как выход Соединенного Королевства из Европейского союза, отказ администрации США от участия в Транстихоокеанском партнерстве и попытки пересмотреть основные торговые соглашения, а также выборы в Европе. Возможная налоговая реформа в Соединенных Штатах также может серьезно повлиять на потоки ПИИ, если американские корпорации станут сокращать размер реинвестируемой в зарубежные филиалы прибыли.</w:t>
      </w:r>
    </w:p>
    <w:p w14:paraId="43A55D19"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lastRenderedPageBreak/>
        <w:t xml:space="preserve">В настоящее время в списке десяти основных получателей инвестиций половину составляют развивающиеся страны. Крупнейшим получателем ПИИ остаются Соединенные Штаты, привлекшие в 2016 г. 391 млрд. долл., за ними следовало Соединенное Королевство с 254 млрд. долл., поднявшееся на волне крупных трансграничных слияний и поглощений. Третье место занимал Китай, инвестиции в который составили 134 млрд. долл., что на 1% меньше по сравнению с 2015 г. </w:t>
      </w:r>
      <w:r w:rsidRPr="00D166F0">
        <w:rPr>
          <w:rFonts w:ascii="Times New Roman" w:hAnsi="Times New Roman"/>
          <w:sz w:val="24"/>
          <w:szCs w:val="24"/>
        </w:rPr>
        <w:t>[2]</w:t>
      </w:r>
      <w:r w:rsidRPr="00937CA2">
        <w:rPr>
          <w:rFonts w:ascii="Times New Roman" w:hAnsi="Times New Roman"/>
          <w:sz w:val="24"/>
          <w:szCs w:val="24"/>
        </w:rPr>
        <w:t>.</w:t>
      </w:r>
    </w:p>
    <w:p w14:paraId="617D1146" w14:textId="77777777" w:rsidR="00212D0F" w:rsidRPr="00937CA2"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Экспорт ПИИ сократился во всех крупных регионах. Потоки ПИИ из развитых стран снизились в 2016 г. на 11% до 1 трлн. долл. Их доля в глобальных потоках вывозимых ПИИ не изменилась, составляя немногим более 70%, в условиях, когда потоки инвестиций из развивающихся стран оставались стабильными, на уровне порядка 383 млрд. долл., а из стран с переходной экономикой – сократились на 22%, до 25 млрд. долларов. Инвестиции европейских многонациональных компаний после резкого увеличения в 2015 г. в 2016 г. заметно сократились, упав на 23% до 515 млрд. долл.</w:t>
      </w:r>
    </w:p>
    <w:p w14:paraId="353FB917" w14:textId="77777777" w:rsidR="00212D0F" w:rsidRPr="00937CA2" w:rsidRDefault="00212D0F" w:rsidP="00212D0F">
      <w:pPr>
        <w:widowControl w:val="0"/>
        <w:spacing w:after="0" w:line="240" w:lineRule="auto"/>
        <w:ind w:firstLine="709"/>
        <w:jc w:val="both"/>
        <w:rPr>
          <w:rFonts w:ascii="Times New Roman" w:hAnsi="Times New Roman"/>
          <w:sz w:val="24"/>
          <w:szCs w:val="24"/>
        </w:rPr>
      </w:pPr>
      <w:r w:rsidRPr="00937CA2">
        <w:rPr>
          <w:rFonts w:ascii="Times New Roman" w:hAnsi="Times New Roman"/>
          <w:sz w:val="24"/>
          <w:szCs w:val="24"/>
        </w:rPr>
        <w:t xml:space="preserve">Это объясняется резким сокращением потоков инвестиций из Ирландии, Швейцарии и Германии. Инвестиции североамериканских корпораций оставались в целом стабильными, несмотря на значительное уменьшение масштабов трансграничных слияний и поглощений. В 2016 г. крупнейшим внешним инвестором оставались Соединенные Штаты, хотя потоки инвестиций из этой страны немного сократились (на 1%) до 299 млрд. долл. </w:t>
      </w:r>
      <w:r w:rsidRPr="00D166F0">
        <w:rPr>
          <w:rFonts w:ascii="Times New Roman" w:hAnsi="Times New Roman"/>
          <w:sz w:val="24"/>
          <w:szCs w:val="24"/>
        </w:rPr>
        <w:t>[2]</w:t>
      </w:r>
      <w:r w:rsidRPr="00937CA2">
        <w:rPr>
          <w:rFonts w:ascii="Times New Roman" w:hAnsi="Times New Roman"/>
          <w:sz w:val="24"/>
          <w:szCs w:val="24"/>
        </w:rPr>
        <w:t xml:space="preserve">. </w:t>
      </w:r>
    </w:p>
    <w:p w14:paraId="78C1C0AC" w14:textId="77777777" w:rsidR="00212D0F" w:rsidRPr="00937CA2" w:rsidRDefault="00212D0F" w:rsidP="00212D0F">
      <w:pPr>
        <w:spacing w:after="0" w:line="240" w:lineRule="auto"/>
        <w:ind w:firstLine="709"/>
        <w:jc w:val="both"/>
        <w:rPr>
          <w:sz w:val="24"/>
          <w:szCs w:val="24"/>
        </w:rPr>
      </w:pPr>
      <w:r w:rsidRPr="00937CA2">
        <w:rPr>
          <w:rFonts w:ascii="Times New Roman" w:hAnsi="Times New Roman"/>
          <w:sz w:val="24"/>
          <w:szCs w:val="24"/>
        </w:rPr>
        <w:t>Потоки ПИИ из развивающихся стран Азии увеличились на 7% до 363 млрд. долл. Под влиянием резкого роста активности китайских компаний на рынке международных слияний и поглощений потоки ПИИ из Китая выросли на 44% и достигли 183 млрд. долл., что позволило КНР впервые занять место второго по величине инвестора в мире. В число 20 крупнейших стран-инвесторов входят 6 развивающихся стран и стран с переходной экономикой.</w:t>
      </w:r>
    </w:p>
    <w:p w14:paraId="77E9787C" w14:textId="77777777" w:rsidR="00212D0F" w:rsidRDefault="00212D0F" w:rsidP="00212D0F">
      <w:pPr>
        <w:spacing w:after="0" w:line="240" w:lineRule="auto"/>
        <w:ind w:firstLine="709"/>
        <w:jc w:val="both"/>
        <w:rPr>
          <w:rFonts w:ascii="Times New Roman" w:hAnsi="Times New Roman"/>
          <w:sz w:val="24"/>
          <w:szCs w:val="24"/>
        </w:rPr>
      </w:pPr>
      <w:r w:rsidRPr="00937CA2">
        <w:rPr>
          <w:rFonts w:ascii="Times New Roman" w:hAnsi="Times New Roman"/>
          <w:sz w:val="24"/>
          <w:szCs w:val="24"/>
        </w:rPr>
        <w:t xml:space="preserve">Таким образом, прямые иностранные инвестиции играют </w:t>
      </w:r>
      <w:r>
        <w:rPr>
          <w:rFonts w:ascii="Times New Roman" w:hAnsi="Times New Roman"/>
          <w:sz w:val="24"/>
          <w:szCs w:val="24"/>
        </w:rPr>
        <w:t>в большей степени положительную</w:t>
      </w:r>
      <w:r w:rsidRPr="00937CA2">
        <w:rPr>
          <w:rFonts w:ascii="Times New Roman" w:hAnsi="Times New Roman"/>
          <w:sz w:val="24"/>
          <w:szCs w:val="24"/>
        </w:rPr>
        <w:t xml:space="preserve"> роль в экономиках как развитых, так и развивающихся стран, в экономиках как стран-доноров, так и стран-реципиентов.</w:t>
      </w:r>
    </w:p>
    <w:p w14:paraId="17827570" w14:textId="77777777" w:rsidR="00212D0F" w:rsidRPr="00937CA2" w:rsidRDefault="00212D0F" w:rsidP="00212D0F">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w:t>
      </w:r>
    </w:p>
    <w:p w14:paraId="56ECB75C" w14:textId="77777777" w:rsidR="00212D0F" w:rsidRDefault="00212D0F" w:rsidP="00212D0F">
      <w:pPr>
        <w:numPr>
          <w:ilvl w:val="0"/>
          <w:numId w:val="75"/>
        </w:numPr>
        <w:tabs>
          <w:tab w:val="left" w:pos="993"/>
        </w:tabs>
        <w:spacing w:after="0" w:line="240" w:lineRule="auto"/>
        <w:ind w:firstLine="709"/>
        <w:contextualSpacing/>
        <w:jc w:val="both"/>
        <w:rPr>
          <w:rFonts w:ascii="Times New Roman" w:hAnsi="Times New Roman"/>
          <w:sz w:val="24"/>
          <w:szCs w:val="24"/>
        </w:rPr>
      </w:pPr>
      <w:r w:rsidRPr="00937CA2">
        <w:rPr>
          <w:rFonts w:ascii="Times New Roman" w:hAnsi="Times New Roman"/>
          <w:sz w:val="24"/>
          <w:szCs w:val="24"/>
        </w:rPr>
        <w:t xml:space="preserve">Гордячкова О.В. Сущность и функции иностранных инвестиций как экономической категории / О.В. Гордячкова // Известия Иркутской государственной экономической академии. – 2015. – № 4. – С. 22-26. </w:t>
      </w:r>
    </w:p>
    <w:p w14:paraId="29AB2E62" w14:textId="77777777" w:rsidR="00212D0F" w:rsidRDefault="00212D0F" w:rsidP="00212D0F">
      <w:pPr>
        <w:numPr>
          <w:ilvl w:val="0"/>
          <w:numId w:val="75"/>
        </w:numPr>
        <w:tabs>
          <w:tab w:val="left" w:pos="993"/>
        </w:tabs>
        <w:spacing w:after="0" w:line="240" w:lineRule="auto"/>
        <w:ind w:firstLine="709"/>
        <w:contextualSpacing/>
        <w:jc w:val="both"/>
        <w:rPr>
          <w:rFonts w:ascii="Times New Roman" w:hAnsi="Times New Roman"/>
          <w:sz w:val="24"/>
          <w:szCs w:val="24"/>
        </w:rPr>
      </w:pPr>
      <w:r w:rsidRPr="008634BB">
        <w:rPr>
          <w:rFonts w:ascii="Times New Roman" w:hAnsi="Times New Roman"/>
          <w:sz w:val="24"/>
          <w:szCs w:val="24"/>
        </w:rPr>
        <w:t xml:space="preserve">Доклад о мировых инвестициях – 2017. Основные тенденции и общий обзор [Электронный ресурс] // Конференция Организации Объединенных наций по торговле и развитию ЮНКТАД: официал. сайт. – Режим доступа: </w:t>
      </w:r>
      <w:r>
        <w:rPr>
          <w:rFonts w:ascii="Times New Roman" w:hAnsi="Times New Roman"/>
          <w:sz w:val="24"/>
          <w:szCs w:val="24"/>
        </w:rPr>
        <w:t>http://unctad.org/en/PublicationsLibrary/wir2017_Overview_ru.pdf</w:t>
      </w:r>
      <w:r w:rsidRPr="00BD0ECA">
        <w:rPr>
          <w:rFonts w:ascii="Times New Roman" w:hAnsi="Times New Roman"/>
          <w:sz w:val="24"/>
          <w:szCs w:val="24"/>
        </w:rPr>
        <w:t>.</w:t>
      </w:r>
    </w:p>
    <w:p w14:paraId="7A9DF86D" w14:textId="77777777" w:rsidR="00212D0F" w:rsidRPr="008634BB" w:rsidRDefault="00212D0F" w:rsidP="00212D0F">
      <w:pPr>
        <w:numPr>
          <w:ilvl w:val="0"/>
          <w:numId w:val="75"/>
        </w:numPr>
        <w:tabs>
          <w:tab w:val="left" w:pos="993"/>
        </w:tabs>
        <w:spacing w:after="0" w:line="240" w:lineRule="auto"/>
        <w:ind w:firstLine="709"/>
        <w:contextualSpacing/>
        <w:jc w:val="both"/>
        <w:rPr>
          <w:rFonts w:ascii="Times New Roman" w:hAnsi="Times New Roman"/>
          <w:sz w:val="24"/>
          <w:szCs w:val="24"/>
        </w:rPr>
      </w:pPr>
      <w:r w:rsidRPr="008634BB">
        <w:rPr>
          <w:rFonts w:ascii="Times New Roman" w:hAnsi="Times New Roman"/>
          <w:sz w:val="24"/>
          <w:szCs w:val="24"/>
        </w:rPr>
        <w:t>Инвестиции: учебник для бакалавров / И.В. Сергеев, И.И. Веретенникова, В.В. Шеховцов. – М.: Юрайт, 2014. – 314 с.</w:t>
      </w:r>
    </w:p>
    <w:p w14:paraId="2DA1F6B9" w14:textId="77777777" w:rsidR="00212D0F" w:rsidRDefault="00212D0F" w:rsidP="00212D0F">
      <w:pPr>
        <w:numPr>
          <w:ilvl w:val="0"/>
          <w:numId w:val="75"/>
        </w:numPr>
        <w:tabs>
          <w:tab w:val="left" w:pos="993"/>
        </w:tabs>
        <w:spacing w:after="0" w:line="240" w:lineRule="auto"/>
        <w:ind w:firstLine="709"/>
        <w:contextualSpacing/>
        <w:jc w:val="both"/>
        <w:rPr>
          <w:rFonts w:ascii="Times New Roman" w:hAnsi="Times New Roman"/>
          <w:sz w:val="24"/>
          <w:szCs w:val="24"/>
        </w:rPr>
      </w:pPr>
      <w:r w:rsidRPr="00937CA2">
        <w:rPr>
          <w:rFonts w:ascii="Times New Roman" w:hAnsi="Times New Roman"/>
          <w:sz w:val="24"/>
          <w:szCs w:val="24"/>
        </w:rPr>
        <w:t>Овсенюк М. Воздействие прямых иностранных инвестиций на экономический рост и социально-экономическое развитие / М. Овсенюк // Социально-экономические проблемы управления экономикой. – 2015. – № 2. – С. 25-28.</w:t>
      </w:r>
    </w:p>
    <w:p w14:paraId="0770E445" w14:textId="77777777" w:rsidR="00212D0F" w:rsidRPr="00937CA2" w:rsidRDefault="00212D0F" w:rsidP="00212D0F">
      <w:pPr>
        <w:numPr>
          <w:ilvl w:val="0"/>
          <w:numId w:val="75"/>
        </w:numPr>
        <w:tabs>
          <w:tab w:val="left" w:pos="993"/>
        </w:tabs>
        <w:spacing w:after="0" w:line="240" w:lineRule="auto"/>
        <w:ind w:firstLine="709"/>
        <w:contextualSpacing/>
        <w:jc w:val="both"/>
        <w:rPr>
          <w:rFonts w:ascii="Times New Roman" w:hAnsi="Times New Roman"/>
          <w:sz w:val="24"/>
          <w:szCs w:val="24"/>
        </w:rPr>
      </w:pPr>
      <w:r w:rsidRPr="00C94D1A">
        <w:rPr>
          <w:rFonts w:ascii="Times New Roman" w:hAnsi="Times New Roman"/>
          <w:sz w:val="24"/>
          <w:szCs w:val="24"/>
        </w:rPr>
        <w:t>Хазанович Э.С. Иностранные инвестиции: учеб. пособие / Э.С. Хазанович. – М.: КНОРУС, 2015. – 312 с.</w:t>
      </w:r>
    </w:p>
    <w:p w14:paraId="5C71F136" w14:textId="77777777" w:rsidR="00212D0F" w:rsidRPr="003D7553" w:rsidRDefault="00212D0F" w:rsidP="002245D5">
      <w:pPr>
        <w:spacing w:line="240" w:lineRule="auto"/>
        <w:jc w:val="both"/>
        <w:rPr>
          <w:rFonts w:ascii="Times New Roman" w:hAnsi="Times New Roman"/>
          <w:b/>
          <w:sz w:val="24"/>
          <w:szCs w:val="24"/>
        </w:rPr>
      </w:pPr>
    </w:p>
    <w:p w14:paraId="1FA76D34" w14:textId="77777777" w:rsidR="002245D5" w:rsidRPr="00F46A43" w:rsidRDefault="002245D5" w:rsidP="002245D5">
      <w:pPr>
        <w:spacing w:line="240" w:lineRule="auto"/>
        <w:jc w:val="both"/>
        <w:rPr>
          <w:rFonts w:ascii="Times New Roman" w:hAnsi="Times New Roman"/>
          <w:b/>
          <w:sz w:val="24"/>
          <w:szCs w:val="24"/>
        </w:rPr>
      </w:pPr>
      <w:r w:rsidRPr="00F46A43">
        <w:rPr>
          <w:rFonts w:ascii="Times New Roman" w:hAnsi="Times New Roman"/>
          <w:b/>
          <w:sz w:val="24"/>
          <w:szCs w:val="24"/>
        </w:rPr>
        <w:t>Рубрика: Мировая экономика: современные вывозы и угрозы</w:t>
      </w:r>
    </w:p>
    <w:p w14:paraId="7C45309D" w14:textId="77777777" w:rsidR="002245D5" w:rsidRPr="003D7553" w:rsidRDefault="002245D5" w:rsidP="002245D5">
      <w:pPr>
        <w:spacing w:line="240" w:lineRule="auto"/>
        <w:jc w:val="both"/>
        <w:rPr>
          <w:rFonts w:ascii="Times New Roman" w:hAnsi="Times New Roman"/>
          <w:sz w:val="24"/>
          <w:szCs w:val="24"/>
        </w:rPr>
      </w:pPr>
      <w:r w:rsidRPr="003D7553">
        <w:rPr>
          <w:rFonts w:ascii="Times New Roman" w:hAnsi="Times New Roman"/>
          <w:sz w:val="24"/>
          <w:szCs w:val="24"/>
        </w:rPr>
        <w:t>УДК 339.56.055</w:t>
      </w:r>
    </w:p>
    <w:p w14:paraId="274BC7DA" w14:textId="77777777" w:rsidR="002245D5" w:rsidRPr="003D7553" w:rsidRDefault="00F025EC" w:rsidP="002245D5">
      <w:pPr>
        <w:spacing w:line="240" w:lineRule="auto"/>
        <w:jc w:val="center"/>
        <w:rPr>
          <w:rFonts w:ascii="Book Antiqua" w:hAnsi="Book Antiqua"/>
          <w:b/>
          <w:sz w:val="24"/>
          <w:szCs w:val="24"/>
        </w:rPr>
      </w:pPr>
      <w:r w:rsidRPr="003D7553">
        <w:rPr>
          <w:rFonts w:ascii="Book Antiqua" w:hAnsi="Book Antiqua"/>
          <w:b/>
          <w:sz w:val="24"/>
          <w:szCs w:val="24"/>
        </w:rPr>
        <w:t>ДИНАМИКА ВЗАИМНОЙ ТОРГОВЛИ РОССИИ И КИТАЯ</w:t>
      </w:r>
    </w:p>
    <w:p w14:paraId="602C7DCA" w14:textId="77777777" w:rsidR="002245D5" w:rsidRPr="003D7553" w:rsidRDefault="002245D5" w:rsidP="002245D5">
      <w:pPr>
        <w:spacing w:after="0" w:line="240" w:lineRule="auto"/>
        <w:jc w:val="center"/>
        <w:rPr>
          <w:rFonts w:ascii="Arial" w:hAnsi="Arial" w:cs="Arial"/>
          <w:b/>
          <w:color w:val="000000" w:themeColor="text1"/>
          <w:sz w:val="24"/>
          <w:szCs w:val="24"/>
        </w:rPr>
      </w:pPr>
      <w:r w:rsidRPr="003D7553">
        <w:rPr>
          <w:rFonts w:ascii="Arial" w:hAnsi="Arial" w:cs="Arial"/>
          <w:b/>
          <w:color w:val="000000" w:themeColor="text1"/>
          <w:sz w:val="24"/>
          <w:szCs w:val="24"/>
        </w:rPr>
        <w:t>Су Нин</w:t>
      </w:r>
    </w:p>
    <w:p w14:paraId="4E82399E" w14:textId="77777777" w:rsidR="002245D5" w:rsidRPr="003D7553" w:rsidRDefault="002245D5" w:rsidP="002245D5">
      <w:pPr>
        <w:spacing w:after="0" w:line="240" w:lineRule="auto"/>
        <w:jc w:val="center"/>
        <w:rPr>
          <w:rFonts w:ascii="Arial" w:hAnsi="Arial" w:cs="Arial"/>
          <w:sz w:val="24"/>
          <w:szCs w:val="24"/>
        </w:rPr>
      </w:pPr>
      <w:r w:rsidRPr="003D7553">
        <w:rPr>
          <w:rFonts w:ascii="Arial" w:hAnsi="Arial" w:cs="Arial"/>
          <w:sz w:val="24"/>
          <w:szCs w:val="24"/>
        </w:rPr>
        <w:t>Бакалавр</w:t>
      </w:r>
    </w:p>
    <w:p w14:paraId="62199465" w14:textId="77777777" w:rsidR="00F025EC" w:rsidRPr="003D7553" w:rsidRDefault="00F025EC" w:rsidP="002245D5">
      <w:pPr>
        <w:spacing w:after="0" w:line="240" w:lineRule="auto"/>
        <w:jc w:val="center"/>
        <w:rPr>
          <w:rFonts w:ascii="Times New Roman" w:hAnsi="Times New Roman"/>
          <w:i/>
          <w:sz w:val="24"/>
          <w:szCs w:val="24"/>
        </w:rPr>
      </w:pPr>
    </w:p>
    <w:p w14:paraId="7DC2C07C" w14:textId="77777777" w:rsidR="002245D5" w:rsidRPr="003D7553" w:rsidRDefault="002245D5" w:rsidP="002245D5">
      <w:pPr>
        <w:spacing w:after="0" w:line="240" w:lineRule="auto"/>
        <w:jc w:val="center"/>
        <w:rPr>
          <w:rFonts w:ascii="Times New Roman" w:hAnsi="Times New Roman"/>
          <w:i/>
          <w:sz w:val="24"/>
          <w:szCs w:val="24"/>
        </w:rPr>
      </w:pPr>
      <w:r w:rsidRPr="003D7553">
        <w:rPr>
          <w:rFonts w:ascii="Times New Roman" w:hAnsi="Times New Roman"/>
          <w:i/>
          <w:sz w:val="24"/>
          <w:szCs w:val="24"/>
        </w:rPr>
        <w:lastRenderedPageBreak/>
        <w:t>Владивостокский государственный университет экономики и сервиса</w:t>
      </w:r>
    </w:p>
    <w:p w14:paraId="6DFAC29B" w14:textId="77777777" w:rsidR="002245D5" w:rsidRPr="003D7553" w:rsidRDefault="002245D5" w:rsidP="002245D5">
      <w:pPr>
        <w:spacing w:after="0" w:line="240" w:lineRule="auto"/>
        <w:jc w:val="center"/>
        <w:rPr>
          <w:rFonts w:ascii="Times New Roman" w:hAnsi="Times New Roman"/>
          <w:i/>
          <w:sz w:val="24"/>
          <w:szCs w:val="24"/>
        </w:rPr>
      </w:pPr>
      <w:r w:rsidRPr="003D7553">
        <w:rPr>
          <w:rFonts w:ascii="Times New Roman" w:hAnsi="Times New Roman"/>
          <w:i/>
          <w:sz w:val="24"/>
          <w:szCs w:val="24"/>
        </w:rPr>
        <w:t>Россия, Владивосток</w:t>
      </w:r>
    </w:p>
    <w:p w14:paraId="0DA123B1" w14:textId="77777777" w:rsidR="00F025EC" w:rsidRPr="003D7553" w:rsidRDefault="00F025EC" w:rsidP="002245D5">
      <w:pPr>
        <w:spacing w:after="0" w:line="240" w:lineRule="auto"/>
        <w:jc w:val="center"/>
        <w:rPr>
          <w:rFonts w:ascii="Times New Roman" w:hAnsi="Times New Roman"/>
          <w:sz w:val="24"/>
          <w:szCs w:val="24"/>
        </w:rPr>
      </w:pPr>
    </w:p>
    <w:p w14:paraId="42E41175" w14:textId="77777777" w:rsidR="002245D5" w:rsidRPr="003D7553" w:rsidRDefault="002245D5" w:rsidP="002245D5">
      <w:pPr>
        <w:spacing w:after="0" w:line="240" w:lineRule="auto"/>
        <w:jc w:val="center"/>
        <w:rPr>
          <w:rFonts w:ascii="Times New Roman" w:hAnsi="Times New Roman"/>
          <w:sz w:val="24"/>
          <w:szCs w:val="24"/>
        </w:rPr>
      </w:pPr>
      <w:r w:rsidRPr="003D7553">
        <w:rPr>
          <w:rFonts w:ascii="Times New Roman" w:hAnsi="Times New Roman"/>
          <w:sz w:val="24"/>
          <w:szCs w:val="24"/>
          <w:lang w:val="en-US"/>
        </w:rPr>
        <w:t>E</w:t>
      </w:r>
      <w:r w:rsidRPr="003D7553">
        <w:rPr>
          <w:rFonts w:ascii="Times New Roman" w:hAnsi="Times New Roman"/>
          <w:sz w:val="24"/>
          <w:szCs w:val="24"/>
        </w:rPr>
        <w:t>-</w:t>
      </w:r>
      <w:r w:rsidRPr="003D7553">
        <w:rPr>
          <w:rFonts w:ascii="Times New Roman" w:hAnsi="Times New Roman"/>
          <w:sz w:val="24"/>
          <w:szCs w:val="24"/>
          <w:lang w:val="en-US"/>
        </w:rPr>
        <w:t>mail</w:t>
      </w:r>
      <w:r w:rsidRPr="003D7553">
        <w:rPr>
          <w:rFonts w:ascii="Times New Roman" w:hAnsi="Times New Roman"/>
          <w:sz w:val="24"/>
          <w:szCs w:val="24"/>
        </w:rPr>
        <w:t>: 1690532722@</w:t>
      </w:r>
      <w:r w:rsidRPr="003D7553">
        <w:rPr>
          <w:rFonts w:ascii="Times New Roman" w:hAnsi="Times New Roman"/>
          <w:sz w:val="24"/>
          <w:szCs w:val="24"/>
          <w:lang w:val="en-US"/>
        </w:rPr>
        <w:t>qq</w:t>
      </w:r>
      <w:r w:rsidRPr="003D7553">
        <w:rPr>
          <w:rFonts w:ascii="Times New Roman" w:hAnsi="Times New Roman"/>
          <w:sz w:val="24"/>
          <w:szCs w:val="24"/>
        </w:rPr>
        <w:t>.</w:t>
      </w:r>
      <w:r w:rsidRPr="003D7553">
        <w:rPr>
          <w:rFonts w:ascii="Times New Roman" w:hAnsi="Times New Roman"/>
          <w:sz w:val="24"/>
          <w:szCs w:val="24"/>
          <w:lang w:val="en-US"/>
        </w:rPr>
        <w:t>com</w:t>
      </w:r>
      <w:r w:rsidRPr="003D7553">
        <w:rPr>
          <w:rFonts w:ascii="Times New Roman" w:hAnsi="Times New Roman"/>
          <w:sz w:val="24"/>
          <w:szCs w:val="24"/>
        </w:rPr>
        <w:t>; тел 89020661711:</w:t>
      </w:r>
    </w:p>
    <w:p w14:paraId="6F15B8F7" w14:textId="77777777" w:rsidR="002245D5" w:rsidRPr="003D7553" w:rsidRDefault="002245D5" w:rsidP="002245D5">
      <w:pPr>
        <w:spacing w:after="0" w:line="240" w:lineRule="auto"/>
        <w:jc w:val="center"/>
        <w:rPr>
          <w:rFonts w:ascii="Times New Roman" w:hAnsi="Times New Roman"/>
          <w:sz w:val="24"/>
          <w:szCs w:val="24"/>
        </w:rPr>
      </w:pPr>
      <w:r w:rsidRPr="003D7553">
        <w:rPr>
          <w:rFonts w:ascii="Times New Roman" w:hAnsi="Times New Roman"/>
          <w:sz w:val="24"/>
          <w:szCs w:val="24"/>
        </w:rPr>
        <w:t>ул. Гоголя, 41, Владивосток, Приморский край, Россия, 690014</w:t>
      </w:r>
    </w:p>
    <w:p w14:paraId="4C4CEA3D" w14:textId="77777777" w:rsidR="002245D5" w:rsidRPr="003D7553" w:rsidRDefault="002245D5" w:rsidP="002245D5">
      <w:pPr>
        <w:spacing w:after="0" w:line="240" w:lineRule="auto"/>
        <w:jc w:val="center"/>
        <w:rPr>
          <w:rFonts w:ascii="Times New Roman" w:hAnsi="Times New Roman"/>
          <w:sz w:val="24"/>
          <w:szCs w:val="24"/>
        </w:rPr>
      </w:pPr>
    </w:p>
    <w:p w14:paraId="0EF4A92E" w14:textId="77777777" w:rsidR="002245D5" w:rsidRPr="003D7553" w:rsidRDefault="002245D5" w:rsidP="002245D5">
      <w:pPr>
        <w:spacing w:after="0" w:line="240" w:lineRule="auto"/>
        <w:ind w:firstLine="709"/>
        <w:jc w:val="both"/>
        <w:rPr>
          <w:rFonts w:ascii="Times New Roman" w:hAnsi="Times New Roman"/>
          <w:i/>
          <w:sz w:val="24"/>
          <w:szCs w:val="24"/>
        </w:rPr>
      </w:pPr>
      <w:r w:rsidRPr="003D7553">
        <w:rPr>
          <w:rFonts w:ascii="Times New Roman" w:hAnsi="Times New Roman"/>
          <w:i/>
          <w:sz w:val="24"/>
          <w:szCs w:val="24"/>
        </w:rPr>
        <w:t>На сегодняшний день в условиях санкционного давления западных стран развитие отношений России и Китая приобретает особенное значение. Торгово-экономическое сотрудничество Китая и России развивается ускоренными темпами в последние годы. В статье рассматривается динамика взаимной торговли Китая и России за последнее десятилетие. Сделаны выводы о перспективах дальнейшего сотрудничества в этой области.</w:t>
      </w:r>
    </w:p>
    <w:p w14:paraId="1D76081B" w14:textId="77777777" w:rsidR="002245D5" w:rsidRPr="003D7553" w:rsidRDefault="002245D5" w:rsidP="00F46A43">
      <w:pPr>
        <w:spacing w:line="240" w:lineRule="auto"/>
        <w:ind w:firstLine="708"/>
        <w:jc w:val="both"/>
        <w:rPr>
          <w:rFonts w:ascii="Times New Roman" w:hAnsi="Times New Roman"/>
          <w:i/>
          <w:sz w:val="24"/>
          <w:szCs w:val="24"/>
        </w:rPr>
      </w:pPr>
      <w:r w:rsidRPr="003D7553">
        <w:rPr>
          <w:rFonts w:ascii="Times New Roman" w:hAnsi="Times New Roman"/>
          <w:b/>
          <w:i/>
          <w:sz w:val="24"/>
          <w:szCs w:val="24"/>
        </w:rPr>
        <w:t>Ключевые слова и словосочетания:</w:t>
      </w:r>
      <w:r w:rsidRPr="003D7553">
        <w:rPr>
          <w:rFonts w:ascii="Times New Roman" w:hAnsi="Times New Roman"/>
          <w:i/>
          <w:sz w:val="24"/>
          <w:szCs w:val="24"/>
        </w:rPr>
        <w:t xml:space="preserve"> внешняя торговля, сотрудничество, динамика, российско-китайская торговля.</w:t>
      </w:r>
    </w:p>
    <w:p w14:paraId="10AB7CF9" w14:textId="77777777" w:rsidR="002245D5" w:rsidRPr="003D7553" w:rsidRDefault="00F025EC" w:rsidP="002245D5">
      <w:pPr>
        <w:spacing w:line="240" w:lineRule="auto"/>
        <w:jc w:val="center"/>
        <w:rPr>
          <w:rFonts w:ascii="Book Antiqua" w:hAnsi="Book Antiqua"/>
          <w:b/>
          <w:sz w:val="24"/>
          <w:szCs w:val="24"/>
          <w:lang w:val="en-US"/>
        </w:rPr>
      </w:pPr>
      <w:r w:rsidRPr="003D7553">
        <w:rPr>
          <w:rFonts w:ascii="Book Antiqua" w:hAnsi="Book Antiqua"/>
          <w:b/>
          <w:sz w:val="24"/>
          <w:szCs w:val="24"/>
          <w:lang w:val="en-US"/>
        </w:rPr>
        <w:t>DYNAMICS OF MUTUAL TRADE BETWEEN RUSSIA AND CHINA</w:t>
      </w:r>
    </w:p>
    <w:p w14:paraId="1EFF0F06" w14:textId="77777777" w:rsidR="002245D5" w:rsidRPr="003D7553" w:rsidRDefault="002245D5" w:rsidP="002245D5">
      <w:pPr>
        <w:spacing w:after="0" w:line="240" w:lineRule="auto"/>
        <w:ind w:firstLine="708"/>
        <w:jc w:val="both"/>
        <w:rPr>
          <w:rFonts w:ascii="Times New Roman" w:hAnsi="Times New Roman"/>
          <w:i/>
          <w:sz w:val="24"/>
          <w:szCs w:val="24"/>
          <w:lang w:val="en-US"/>
        </w:rPr>
      </w:pPr>
      <w:r w:rsidRPr="003D7553">
        <w:rPr>
          <w:rFonts w:ascii="Times New Roman" w:hAnsi="Times New Roman"/>
          <w:i/>
          <w:sz w:val="24"/>
          <w:szCs w:val="24"/>
          <w:lang w:val="en-US"/>
        </w:rPr>
        <w:t>Today, in the conditions of sanctions pressure of the Western countries, the development of relations between Russia and China acquires a special importance. Trade and economic cooperation between China and Russia has been developing at an accelerated pace in recent years. The article deals with the dynamics of mutual trade between China and Russia over the past decade. The conclusions about the prospects of further cooperation in this field are made.</w:t>
      </w:r>
    </w:p>
    <w:p w14:paraId="38FBA71A" w14:textId="77777777" w:rsidR="002245D5" w:rsidRPr="003D7553" w:rsidRDefault="002245D5" w:rsidP="00F46A43">
      <w:pPr>
        <w:spacing w:line="240" w:lineRule="auto"/>
        <w:ind w:firstLine="708"/>
        <w:jc w:val="both"/>
        <w:rPr>
          <w:rFonts w:ascii="Times New Roman" w:hAnsi="Times New Roman"/>
          <w:i/>
          <w:sz w:val="24"/>
          <w:szCs w:val="24"/>
          <w:lang w:val="en-US"/>
        </w:rPr>
      </w:pPr>
      <w:r w:rsidRPr="003D7553">
        <w:rPr>
          <w:rFonts w:ascii="Times New Roman" w:hAnsi="Times New Roman"/>
          <w:b/>
          <w:i/>
          <w:sz w:val="24"/>
          <w:szCs w:val="24"/>
          <w:lang w:val="en-US"/>
        </w:rPr>
        <w:t>Keywords</w:t>
      </w:r>
      <w:r w:rsidRPr="003D7553">
        <w:rPr>
          <w:rFonts w:ascii="Times New Roman" w:hAnsi="Times New Roman"/>
          <w:i/>
          <w:sz w:val="24"/>
          <w:szCs w:val="24"/>
          <w:lang w:val="en-US"/>
        </w:rPr>
        <w:t>:</w:t>
      </w:r>
      <w:r w:rsidRPr="003D7553">
        <w:rPr>
          <w:i/>
          <w:sz w:val="24"/>
          <w:szCs w:val="24"/>
          <w:lang w:val="en-US"/>
        </w:rPr>
        <w:t xml:space="preserve"> </w:t>
      </w:r>
      <w:r w:rsidRPr="003D7553">
        <w:rPr>
          <w:rFonts w:ascii="Times New Roman" w:hAnsi="Times New Roman"/>
          <w:i/>
          <w:sz w:val="24"/>
          <w:szCs w:val="24"/>
          <w:lang w:val="en-US"/>
        </w:rPr>
        <w:t>foreign trade, cooperation, dynamics, Russian-Chinese trade.</w:t>
      </w:r>
    </w:p>
    <w:p w14:paraId="34B82433"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На протяжении всего своего существования Китай и Россия рассматривали и продолжают рассматривать друг друга в качестве партнеров. Сегодня партнерство наших стран расширяется и углубляется. Российско-китайские отношения получают новые импульсы развития, в том числе и на региональном уровне. Самым очевидным свидетельством стратегического партнерства Китая и России выступают показатели увеличения объемов взаимной торговли.</w:t>
      </w:r>
    </w:p>
    <w:p w14:paraId="577AAC94"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В развитии торгового оборота с Китаем можно выделить несколько периодов. Начиная с 1999 по 2008 г. внешнеторговый оборот между Китаем и Россией ежегодно увеличивался, причем до 2006 г. рост достигался преимущественно за счет экспорта из Россий, положительное торговое сальдо подтверждает данную ситуацию. Однако импорт товаров из Китая увеличивался более быстрыми темпами и в 2007 г. впервые превысил российский экспорт, что привело к формированию отрицательного торгового сальдо в торговле между двумя странами.  </w:t>
      </w:r>
    </w:p>
    <w:p w14:paraId="33C6E2FA" w14:textId="77777777" w:rsidR="002245D5" w:rsidRPr="003D7553" w:rsidRDefault="002245D5" w:rsidP="002245D5">
      <w:pPr>
        <w:spacing w:line="240" w:lineRule="auto"/>
        <w:jc w:val="right"/>
        <w:rPr>
          <w:rFonts w:ascii="Times New Roman" w:hAnsi="Times New Roman" w:cs="Times New Roman"/>
          <w:i/>
          <w:color w:val="000000" w:themeColor="text1"/>
          <w:sz w:val="24"/>
          <w:szCs w:val="24"/>
        </w:rPr>
      </w:pPr>
      <w:r w:rsidRPr="003D7553">
        <w:rPr>
          <w:rFonts w:ascii="Times New Roman" w:hAnsi="Times New Roman" w:cs="Times New Roman"/>
          <w:i/>
          <w:color w:val="000000" w:themeColor="text1"/>
          <w:sz w:val="24"/>
          <w:szCs w:val="24"/>
        </w:rPr>
        <w:t>Таблица 1</w:t>
      </w:r>
    </w:p>
    <w:p w14:paraId="3CA68E97" w14:textId="77777777" w:rsidR="002245D5" w:rsidRPr="003D7553" w:rsidRDefault="002245D5" w:rsidP="002245D5">
      <w:pPr>
        <w:spacing w:line="240" w:lineRule="auto"/>
        <w:jc w:val="center"/>
        <w:rPr>
          <w:rFonts w:ascii="Times New Roman" w:hAnsi="Times New Roman" w:cs="Times New Roman"/>
          <w:b/>
          <w:color w:val="000000" w:themeColor="text1"/>
          <w:sz w:val="24"/>
          <w:szCs w:val="24"/>
        </w:rPr>
      </w:pPr>
      <w:r w:rsidRPr="003D7553">
        <w:rPr>
          <w:rFonts w:ascii="Times New Roman" w:hAnsi="Times New Roman" w:cs="Times New Roman"/>
          <w:b/>
          <w:color w:val="000000" w:themeColor="text1"/>
          <w:sz w:val="24"/>
          <w:szCs w:val="24"/>
        </w:rPr>
        <w:t>Товарооборот между Россией и Китаем в 2007-2017 гг. (млрд. долларов США)</w:t>
      </w:r>
    </w:p>
    <w:tbl>
      <w:tblPr>
        <w:tblStyle w:val="a3"/>
        <w:tblW w:w="9776" w:type="dxa"/>
        <w:tblLayout w:type="fixed"/>
        <w:tblLook w:val="04A0" w:firstRow="1" w:lastRow="0" w:firstColumn="1" w:lastColumn="0" w:noHBand="0" w:noVBand="1"/>
      </w:tblPr>
      <w:tblGrid>
        <w:gridCol w:w="1980"/>
        <w:gridCol w:w="709"/>
        <w:gridCol w:w="708"/>
        <w:gridCol w:w="709"/>
        <w:gridCol w:w="709"/>
        <w:gridCol w:w="709"/>
        <w:gridCol w:w="708"/>
        <w:gridCol w:w="709"/>
        <w:gridCol w:w="709"/>
        <w:gridCol w:w="709"/>
        <w:gridCol w:w="708"/>
        <w:gridCol w:w="709"/>
      </w:tblGrid>
      <w:tr w:rsidR="002245D5" w:rsidRPr="003D7553" w14:paraId="501AC04A" w14:textId="77777777" w:rsidTr="002245D5">
        <w:tc>
          <w:tcPr>
            <w:tcW w:w="1980" w:type="dxa"/>
          </w:tcPr>
          <w:p w14:paraId="50895670" w14:textId="77777777" w:rsidR="002245D5" w:rsidRPr="003D7553" w:rsidRDefault="002245D5" w:rsidP="002245D5">
            <w:pPr>
              <w:jc w:val="both"/>
              <w:rPr>
                <w:rFonts w:ascii="Times New Roman" w:hAnsi="Times New Roman" w:cs="Times New Roman"/>
                <w:color w:val="000000" w:themeColor="text1"/>
                <w:sz w:val="24"/>
                <w:szCs w:val="24"/>
              </w:rPr>
            </w:pPr>
          </w:p>
        </w:tc>
        <w:tc>
          <w:tcPr>
            <w:tcW w:w="709" w:type="dxa"/>
            <w:tcMar>
              <w:left w:w="28" w:type="dxa"/>
              <w:right w:w="28" w:type="dxa"/>
            </w:tcMar>
          </w:tcPr>
          <w:p w14:paraId="23E11415"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2007</w:t>
            </w:r>
          </w:p>
        </w:tc>
        <w:tc>
          <w:tcPr>
            <w:tcW w:w="708" w:type="dxa"/>
            <w:tcMar>
              <w:left w:w="28" w:type="dxa"/>
              <w:right w:w="28" w:type="dxa"/>
            </w:tcMar>
          </w:tcPr>
          <w:p w14:paraId="5EB85B82"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2008</w:t>
            </w:r>
          </w:p>
        </w:tc>
        <w:tc>
          <w:tcPr>
            <w:tcW w:w="709" w:type="dxa"/>
            <w:tcMar>
              <w:left w:w="28" w:type="dxa"/>
              <w:right w:w="28" w:type="dxa"/>
            </w:tcMar>
          </w:tcPr>
          <w:p w14:paraId="71BB3591"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2009</w:t>
            </w:r>
          </w:p>
        </w:tc>
        <w:tc>
          <w:tcPr>
            <w:tcW w:w="709" w:type="dxa"/>
            <w:tcMar>
              <w:left w:w="28" w:type="dxa"/>
              <w:right w:w="28" w:type="dxa"/>
            </w:tcMar>
          </w:tcPr>
          <w:p w14:paraId="3B78EC4A"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2010</w:t>
            </w:r>
          </w:p>
        </w:tc>
        <w:tc>
          <w:tcPr>
            <w:tcW w:w="709" w:type="dxa"/>
            <w:tcMar>
              <w:left w:w="28" w:type="dxa"/>
              <w:right w:w="28" w:type="dxa"/>
            </w:tcMar>
          </w:tcPr>
          <w:p w14:paraId="30658528"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2011</w:t>
            </w:r>
          </w:p>
        </w:tc>
        <w:tc>
          <w:tcPr>
            <w:tcW w:w="708" w:type="dxa"/>
            <w:tcMar>
              <w:left w:w="28" w:type="dxa"/>
              <w:right w:w="28" w:type="dxa"/>
            </w:tcMar>
          </w:tcPr>
          <w:p w14:paraId="1F8139E9"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2012</w:t>
            </w:r>
          </w:p>
        </w:tc>
        <w:tc>
          <w:tcPr>
            <w:tcW w:w="709" w:type="dxa"/>
            <w:tcMar>
              <w:left w:w="28" w:type="dxa"/>
              <w:right w:w="28" w:type="dxa"/>
            </w:tcMar>
          </w:tcPr>
          <w:p w14:paraId="3AD90078"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2013</w:t>
            </w:r>
          </w:p>
        </w:tc>
        <w:tc>
          <w:tcPr>
            <w:tcW w:w="709" w:type="dxa"/>
            <w:tcMar>
              <w:left w:w="28" w:type="dxa"/>
              <w:right w:w="28" w:type="dxa"/>
            </w:tcMar>
          </w:tcPr>
          <w:p w14:paraId="4545C546"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2014</w:t>
            </w:r>
          </w:p>
        </w:tc>
        <w:tc>
          <w:tcPr>
            <w:tcW w:w="709" w:type="dxa"/>
            <w:tcMar>
              <w:left w:w="28" w:type="dxa"/>
              <w:right w:w="28" w:type="dxa"/>
            </w:tcMar>
          </w:tcPr>
          <w:p w14:paraId="5BB12B56"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2015</w:t>
            </w:r>
          </w:p>
        </w:tc>
        <w:tc>
          <w:tcPr>
            <w:tcW w:w="708" w:type="dxa"/>
            <w:tcMar>
              <w:left w:w="28" w:type="dxa"/>
              <w:right w:w="28" w:type="dxa"/>
            </w:tcMar>
          </w:tcPr>
          <w:p w14:paraId="00C07840"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2016</w:t>
            </w:r>
          </w:p>
        </w:tc>
        <w:tc>
          <w:tcPr>
            <w:tcW w:w="709" w:type="dxa"/>
            <w:tcMar>
              <w:left w:w="28" w:type="dxa"/>
              <w:right w:w="28" w:type="dxa"/>
            </w:tcMar>
          </w:tcPr>
          <w:p w14:paraId="6CD3E1A9"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2017</w:t>
            </w:r>
          </w:p>
        </w:tc>
      </w:tr>
      <w:tr w:rsidR="002245D5" w:rsidRPr="003D7553" w14:paraId="648A26AA" w14:textId="77777777" w:rsidTr="002245D5">
        <w:tc>
          <w:tcPr>
            <w:tcW w:w="1980" w:type="dxa"/>
          </w:tcPr>
          <w:p w14:paraId="04128C8E"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ОБОРОТ</w:t>
            </w:r>
          </w:p>
        </w:tc>
        <w:tc>
          <w:tcPr>
            <w:tcW w:w="709" w:type="dxa"/>
            <w:tcMar>
              <w:left w:w="28" w:type="dxa"/>
              <w:right w:w="28" w:type="dxa"/>
            </w:tcMar>
            <w:vAlign w:val="center"/>
          </w:tcPr>
          <w:p w14:paraId="2CB6E2A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40,3</w:t>
            </w:r>
          </w:p>
        </w:tc>
        <w:tc>
          <w:tcPr>
            <w:tcW w:w="708" w:type="dxa"/>
            <w:tcMar>
              <w:left w:w="28" w:type="dxa"/>
              <w:right w:w="28" w:type="dxa"/>
            </w:tcMar>
            <w:vAlign w:val="center"/>
          </w:tcPr>
          <w:p w14:paraId="759A357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55,9</w:t>
            </w:r>
          </w:p>
        </w:tc>
        <w:tc>
          <w:tcPr>
            <w:tcW w:w="709" w:type="dxa"/>
            <w:tcMar>
              <w:left w:w="28" w:type="dxa"/>
              <w:right w:w="28" w:type="dxa"/>
            </w:tcMar>
            <w:vAlign w:val="center"/>
          </w:tcPr>
          <w:p w14:paraId="5108968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39,5</w:t>
            </w:r>
          </w:p>
        </w:tc>
        <w:tc>
          <w:tcPr>
            <w:tcW w:w="709" w:type="dxa"/>
            <w:tcMar>
              <w:left w:w="28" w:type="dxa"/>
              <w:right w:w="28" w:type="dxa"/>
            </w:tcMar>
            <w:vAlign w:val="center"/>
          </w:tcPr>
          <w:p w14:paraId="191DF22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59,3</w:t>
            </w:r>
          </w:p>
        </w:tc>
        <w:tc>
          <w:tcPr>
            <w:tcW w:w="709" w:type="dxa"/>
            <w:tcMar>
              <w:left w:w="28" w:type="dxa"/>
              <w:right w:w="28" w:type="dxa"/>
            </w:tcMar>
            <w:vAlign w:val="center"/>
          </w:tcPr>
          <w:p w14:paraId="528FD69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83,5</w:t>
            </w:r>
          </w:p>
        </w:tc>
        <w:tc>
          <w:tcPr>
            <w:tcW w:w="708" w:type="dxa"/>
            <w:tcMar>
              <w:left w:w="28" w:type="dxa"/>
              <w:right w:w="28" w:type="dxa"/>
            </w:tcMar>
            <w:vAlign w:val="center"/>
          </w:tcPr>
          <w:p w14:paraId="17A1DB0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87,5</w:t>
            </w:r>
          </w:p>
        </w:tc>
        <w:tc>
          <w:tcPr>
            <w:tcW w:w="709" w:type="dxa"/>
            <w:tcMar>
              <w:left w:w="28" w:type="dxa"/>
              <w:right w:w="28" w:type="dxa"/>
            </w:tcMar>
            <w:vAlign w:val="center"/>
          </w:tcPr>
          <w:p w14:paraId="67520CC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88,8</w:t>
            </w:r>
          </w:p>
        </w:tc>
        <w:tc>
          <w:tcPr>
            <w:tcW w:w="709" w:type="dxa"/>
            <w:tcMar>
              <w:left w:w="28" w:type="dxa"/>
              <w:right w:w="28" w:type="dxa"/>
            </w:tcMar>
            <w:vAlign w:val="center"/>
          </w:tcPr>
          <w:p w14:paraId="16E88C9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88,4</w:t>
            </w:r>
          </w:p>
        </w:tc>
        <w:tc>
          <w:tcPr>
            <w:tcW w:w="709" w:type="dxa"/>
            <w:tcMar>
              <w:left w:w="28" w:type="dxa"/>
              <w:right w:w="28" w:type="dxa"/>
            </w:tcMar>
            <w:vAlign w:val="center"/>
          </w:tcPr>
          <w:p w14:paraId="70322CF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63,6</w:t>
            </w:r>
          </w:p>
        </w:tc>
        <w:tc>
          <w:tcPr>
            <w:tcW w:w="708" w:type="dxa"/>
            <w:tcMar>
              <w:left w:w="28" w:type="dxa"/>
              <w:right w:w="28" w:type="dxa"/>
            </w:tcMar>
            <w:vAlign w:val="center"/>
          </w:tcPr>
          <w:p w14:paraId="4CEE42E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66,1</w:t>
            </w:r>
          </w:p>
        </w:tc>
        <w:tc>
          <w:tcPr>
            <w:tcW w:w="709" w:type="dxa"/>
            <w:tcMar>
              <w:left w:w="28" w:type="dxa"/>
              <w:right w:w="28" w:type="dxa"/>
            </w:tcMar>
            <w:vAlign w:val="center"/>
          </w:tcPr>
          <w:p w14:paraId="419F705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87,0</w:t>
            </w:r>
          </w:p>
        </w:tc>
      </w:tr>
      <w:tr w:rsidR="002245D5" w:rsidRPr="003D7553" w14:paraId="04214655" w14:textId="77777777" w:rsidTr="002245D5">
        <w:tc>
          <w:tcPr>
            <w:tcW w:w="1980" w:type="dxa"/>
          </w:tcPr>
          <w:p w14:paraId="7F6C2090"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темпы роста в %</w:t>
            </w:r>
          </w:p>
        </w:tc>
        <w:tc>
          <w:tcPr>
            <w:tcW w:w="709" w:type="dxa"/>
            <w:tcMar>
              <w:left w:w="28" w:type="dxa"/>
              <w:right w:w="28" w:type="dxa"/>
            </w:tcMar>
            <w:vAlign w:val="center"/>
          </w:tcPr>
          <w:p w14:paraId="151FF86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140,6</w:t>
            </w:r>
          </w:p>
        </w:tc>
        <w:tc>
          <w:tcPr>
            <w:tcW w:w="708" w:type="dxa"/>
            <w:tcMar>
              <w:left w:w="28" w:type="dxa"/>
              <w:right w:w="28" w:type="dxa"/>
            </w:tcMar>
            <w:vAlign w:val="center"/>
          </w:tcPr>
          <w:p w14:paraId="503F0F3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138,7</w:t>
            </w:r>
          </w:p>
        </w:tc>
        <w:tc>
          <w:tcPr>
            <w:tcW w:w="709" w:type="dxa"/>
            <w:tcMar>
              <w:left w:w="28" w:type="dxa"/>
              <w:right w:w="28" w:type="dxa"/>
            </w:tcMar>
            <w:vAlign w:val="center"/>
          </w:tcPr>
          <w:p w14:paraId="5742E53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70,6</w:t>
            </w:r>
          </w:p>
        </w:tc>
        <w:tc>
          <w:tcPr>
            <w:tcW w:w="709" w:type="dxa"/>
            <w:tcMar>
              <w:left w:w="28" w:type="dxa"/>
              <w:right w:w="28" w:type="dxa"/>
            </w:tcMar>
            <w:vAlign w:val="center"/>
          </w:tcPr>
          <w:p w14:paraId="7501683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150,3</w:t>
            </w:r>
          </w:p>
        </w:tc>
        <w:tc>
          <w:tcPr>
            <w:tcW w:w="709" w:type="dxa"/>
            <w:tcMar>
              <w:left w:w="28" w:type="dxa"/>
              <w:right w:w="28" w:type="dxa"/>
            </w:tcMar>
            <w:vAlign w:val="center"/>
          </w:tcPr>
          <w:p w14:paraId="1211845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140,8</w:t>
            </w:r>
          </w:p>
        </w:tc>
        <w:tc>
          <w:tcPr>
            <w:tcW w:w="708" w:type="dxa"/>
            <w:tcMar>
              <w:left w:w="28" w:type="dxa"/>
              <w:right w:w="28" w:type="dxa"/>
            </w:tcMar>
            <w:vAlign w:val="center"/>
          </w:tcPr>
          <w:p w14:paraId="4A394C0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104,8</w:t>
            </w:r>
          </w:p>
        </w:tc>
        <w:tc>
          <w:tcPr>
            <w:tcW w:w="709" w:type="dxa"/>
            <w:tcMar>
              <w:left w:w="28" w:type="dxa"/>
              <w:right w:w="28" w:type="dxa"/>
            </w:tcMar>
            <w:vAlign w:val="center"/>
          </w:tcPr>
          <w:p w14:paraId="3E37A2F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101,5</w:t>
            </w:r>
          </w:p>
        </w:tc>
        <w:tc>
          <w:tcPr>
            <w:tcW w:w="709" w:type="dxa"/>
            <w:tcMar>
              <w:left w:w="28" w:type="dxa"/>
              <w:right w:w="28" w:type="dxa"/>
            </w:tcMar>
            <w:vAlign w:val="center"/>
          </w:tcPr>
          <w:p w14:paraId="40E049D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99,5</w:t>
            </w:r>
          </w:p>
        </w:tc>
        <w:tc>
          <w:tcPr>
            <w:tcW w:w="709" w:type="dxa"/>
            <w:tcMar>
              <w:left w:w="28" w:type="dxa"/>
              <w:right w:w="28" w:type="dxa"/>
            </w:tcMar>
            <w:vAlign w:val="center"/>
          </w:tcPr>
          <w:p w14:paraId="6B5F170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71,9</w:t>
            </w:r>
          </w:p>
        </w:tc>
        <w:tc>
          <w:tcPr>
            <w:tcW w:w="708" w:type="dxa"/>
            <w:tcMar>
              <w:left w:w="28" w:type="dxa"/>
              <w:right w:w="28" w:type="dxa"/>
            </w:tcMar>
            <w:vAlign w:val="center"/>
          </w:tcPr>
          <w:p w14:paraId="229A232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103,9</w:t>
            </w:r>
          </w:p>
        </w:tc>
        <w:tc>
          <w:tcPr>
            <w:tcW w:w="709" w:type="dxa"/>
            <w:tcMar>
              <w:left w:w="28" w:type="dxa"/>
              <w:right w:w="28" w:type="dxa"/>
            </w:tcMar>
            <w:vAlign w:val="center"/>
          </w:tcPr>
          <w:p w14:paraId="71520A6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131,6</w:t>
            </w:r>
          </w:p>
        </w:tc>
      </w:tr>
      <w:tr w:rsidR="002245D5" w:rsidRPr="003D7553" w14:paraId="2FD1BA56" w14:textId="77777777" w:rsidTr="002245D5">
        <w:tc>
          <w:tcPr>
            <w:tcW w:w="1980" w:type="dxa"/>
          </w:tcPr>
          <w:p w14:paraId="535FED8E"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ЭКСПОРТ</w:t>
            </w:r>
          </w:p>
        </w:tc>
        <w:tc>
          <w:tcPr>
            <w:tcW w:w="709" w:type="dxa"/>
            <w:tcMar>
              <w:left w:w="28" w:type="dxa"/>
              <w:right w:w="28" w:type="dxa"/>
            </w:tcMar>
            <w:vAlign w:val="center"/>
          </w:tcPr>
          <w:p w14:paraId="1FD462A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15,9</w:t>
            </w:r>
          </w:p>
        </w:tc>
        <w:tc>
          <w:tcPr>
            <w:tcW w:w="708" w:type="dxa"/>
            <w:tcMar>
              <w:left w:w="28" w:type="dxa"/>
              <w:right w:w="28" w:type="dxa"/>
            </w:tcMar>
            <w:vAlign w:val="center"/>
          </w:tcPr>
          <w:p w14:paraId="4A75DDF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21,1</w:t>
            </w:r>
          </w:p>
        </w:tc>
        <w:tc>
          <w:tcPr>
            <w:tcW w:w="709" w:type="dxa"/>
            <w:tcMar>
              <w:left w:w="28" w:type="dxa"/>
              <w:right w:w="28" w:type="dxa"/>
            </w:tcMar>
            <w:vAlign w:val="center"/>
          </w:tcPr>
          <w:p w14:paraId="1CC7D86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16,7</w:t>
            </w:r>
          </w:p>
        </w:tc>
        <w:tc>
          <w:tcPr>
            <w:tcW w:w="709" w:type="dxa"/>
            <w:tcMar>
              <w:left w:w="28" w:type="dxa"/>
              <w:right w:w="28" w:type="dxa"/>
            </w:tcMar>
            <w:vAlign w:val="center"/>
          </w:tcPr>
          <w:p w14:paraId="0FCE6D0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20,3</w:t>
            </w:r>
          </w:p>
        </w:tc>
        <w:tc>
          <w:tcPr>
            <w:tcW w:w="709" w:type="dxa"/>
            <w:tcMar>
              <w:left w:w="28" w:type="dxa"/>
              <w:right w:w="28" w:type="dxa"/>
            </w:tcMar>
            <w:vAlign w:val="center"/>
          </w:tcPr>
          <w:p w14:paraId="34D49E7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35,2</w:t>
            </w:r>
          </w:p>
        </w:tc>
        <w:tc>
          <w:tcPr>
            <w:tcW w:w="708" w:type="dxa"/>
            <w:tcMar>
              <w:left w:w="28" w:type="dxa"/>
              <w:right w:w="28" w:type="dxa"/>
            </w:tcMar>
            <w:vAlign w:val="center"/>
          </w:tcPr>
          <w:p w14:paraId="725EA31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35,7</w:t>
            </w:r>
          </w:p>
        </w:tc>
        <w:tc>
          <w:tcPr>
            <w:tcW w:w="709" w:type="dxa"/>
            <w:tcMar>
              <w:left w:w="28" w:type="dxa"/>
              <w:right w:w="28" w:type="dxa"/>
            </w:tcMar>
            <w:vAlign w:val="center"/>
          </w:tcPr>
          <w:p w14:paraId="30A9C4B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35,6</w:t>
            </w:r>
          </w:p>
        </w:tc>
        <w:tc>
          <w:tcPr>
            <w:tcW w:w="709" w:type="dxa"/>
            <w:tcMar>
              <w:left w:w="28" w:type="dxa"/>
              <w:right w:w="28" w:type="dxa"/>
            </w:tcMar>
            <w:vAlign w:val="center"/>
          </w:tcPr>
          <w:p w14:paraId="013EC4F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37,5</w:t>
            </w:r>
          </w:p>
        </w:tc>
        <w:tc>
          <w:tcPr>
            <w:tcW w:w="709" w:type="dxa"/>
            <w:tcMar>
              <w:left w:w="28" w:type="dxa"/>
              <w:right w:w="28" w:type="dxa"/>
            </w:tcMar>
            <w:vAlign w:val="center"/>
          </w:tcPr>
          <w:p w14:paraId="3CABAA9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28,6</w:t>
            </w:r>
          </w:p>
        </w:tc>
        <w:tc>
          <w:tcPr>
            <w:tcW w:w="708" w:type="dxa"/>
            <w:tcMar>
              <w:left w:w="28" w:type="dxa"/>
              <w:right w:w="28" w:type="dxa"/>
            </w:tcMar>
            <w:vAlign w:val="center"/>
          </w:tcPr>
          <w:p w14:paraId="1F50CEE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28,0</w:t>
            </w:r>
          </w:p>
        </w:tc>
        <w:tc>
          <w:tcPr>
            <w:tcW w:w="709" w:type="dxa"/>
            <w:tcMar>
              <w:left w:w="28" w:type="dxa"/>
              <w:right w:w="28" w:type="dxa"/>
            </w:tcMar>
            <w:vAlign w:val="center"/>
          </w:tcPr>
          <w:p w14:paraId="2E81A58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38,9</w:t>
            </w:r>
          </w:p>
        </w:tc>
      </w:tr>
      <w:tr w:rsidR="002245D5" w:rsidRPr="003D7553" w14:paraId="041C3207" w14:textId="77777777" w:rsidTr="002245D5">
        <w:tc>
          <w:tcPr>
            <w:tcW w:w="1980" w:type="dxa"/>
          </w:tcPr>
          <w:p w14:paraId="502E01FA"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темпы роста в %</w:t>
            </w:r>
          </w:p>
        </w:tc>
        <w:tc>
          <w:tcPr>
            <w:tcW w:w="709" w:type="dxa"/>
            <w:tcMar>
              <w:left w:w="28" w:type="dxa"/>
              <w:right w:w="28" w:type="dxa"/>
            </w:tcMar>
            <w:vAlign w:val="center"/>
          </w:tcPr>
          <w:p w14:paraId="44997C7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100,9</w:t>
            </w:r>
          </w:p>
        </w:tc>
        <w:tc>
          <w:tcPr>
            <w:tcW w:w="708" w:type="dxa"/>
            <w:tcMar>
              <w:left w:w="28" w:type="dxa"/>
              <w:right w:w="28" w:type="dxa"/>
            </w:tcMar>
            <w:vAlign w:val="center"/>
          </w:tcPr>
          <w:p w14:paraId="766322F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133,0</w:t>
            </w:r>
          </w:p>
        </w:tc>
        <w:tc>
          <w:tcPr>
            <w:tcW w:w="709" w:type="dxa"/>
            <w:tcMar>
              <w:left w:w="28" w:type="dxa"/>
              <w:right w:w="28" w:type="dxa"/>
            </w:tcMar>
            <w:vAlign w:val="center"/>
          </w:tcPr>
          <w:p w14:paraId="0FDF857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78,8</w:t>
            </w:r>
          </w:p>
        </w:tc>
        <w:tc>
          <w:tcPr>
            <w:tcW w:w="709" w:type="dxa"/>
            <w:tcMar>
              <w:left w:w="28" w:type="dxa"/>
              <w:right w:w="28" w:type="dxa"/>
            </w:tcMar>
            <w:vAlign w:val="center"/>
          </w:tcPr>
          <w:p w14:paraId="7BECB72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121,8</w:t>
            </w:r>
          </w:p>
        </w:tc>
        <w:tc>
          <w:tcPr>
            <w:tcW w:w="709" w:type="dxa"/>
            <w:tcMar>
              <w:left w:w="28" w:type="dxa"/>
              <w:right w:w="28" w:type="dxa"/>
            </w:tcMar>
            <w:vAlign w:val="center"/>
          </w:tcPr>
          <w:p w14:paraId="16A1BDA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173,4</w:t>
            </w:r>
          </w:p>
        </w:tc>
        <w:tc>
          <w:tcPr>
            <w:tcW w:w="708" w:type="dxa"/>
            <w:tcMar>
              <w:left w:w="28" w:type="dxa"/>
              <w:right w:w="28" w:type="dxa"/>
            </w:tcMar>
            <w:vAlign w:val="center"/>
          </w:tcPr>
          <w:p w14:paraId="0B4D3F8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102,0</w:t>
            </w:r>
          </w:p>
        </w:tc>
        <w:tc>
          <w:tcPr>
            <w:tcW w:w="709" w:type="dxa"/>
            <w:tcMar>
              <w:left w:w="28" w:type="dxa"/>
              <w:right w:w="28" w:type="dxa"/>
            </w:tcMar>
            <w:vAlign w:val="center"/>
          </w:tcPr>
          <w:p w14:paraId="4552561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99,7</w:t>
            </w:r>
          </w:p>
        </w:tc>
        <w:tc>
          <w:tcPr>
            <w:tcW w:w="709" w:type="dxa"/>
            <w:tcMar>
              <w:left w:w="28" w:type="dxa"/>
              <w:right w:w="28" w:type="dxa"/>
            </w:tcMar>
            <w:vAlign w:val="center"/>
          </w:tcPr>
          <w:p w14:paraId="57BDDAF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105,3</w:t>
            </w:r>
          </w:p>
        </w:tc>
        <w:tc>
          <w:tcPr>
            <w:tcW w:w="709" w:type="dxa"/>
            <w:tcMar>
              <w:left w:w="28" w:type="dxa"/>
              <w:right w:w="28" w:type="dxa"/>
            </w:tcMar>
            <w:vAlign w:val="center"/>
          </w:tcPr>
          <w:p w14:paraId="6582577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76,3</w:t>
            </w:r>
          </w:p>
        </w:tc>
        <w:tc>
          <w:tcPr>
            <w:tcW w:w="708" w:type="dxa"/>
            <w:tcMar>
              <w:left w:w="28" w:type="dxa"/>
              <w:right w:w="28" w:type="dxa"/>
            </w:tcMar>
            <w:vAlign w:val="center"/>
          </w:tcPr>
          <w:p w14:paraId="24B6B70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97,9</w:t>
            </w:r>
          </w:p>
        </w:tc>
        <w:tc>
          <w:tcPr>
            <w:tcW w:w="709" w:type="dxa"/>
            <w:tcMar>
              <w:left w:w="28" w:type="dxa"/>
              <w:right w:w="28" w:type="dxa"/>
            </w:tcMar>
            <w:vAlign w:val="center"/>
          </w:tcPr>
          <w:p w14:paraId="6491354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138,9</w:t>
            </w:r>
          </w:p>
        </w:tc>
      </w:tr>
      <w:tr w:rsidR="002245D5" w:rsidRPr="003D7553" w14:paraId="7DF0D0F6" w14:textId="77777777" w:rsidTr="002245D5">
        <w:tc>
          <w:tcPr>
            <w:tcW w:w="1980" w:type="dxa"/>
          </w:tcPr>
          <w:p w14:paraId="5FD8117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ИМПОРТ</w:t>
            </w:r>
          </w:p>
        </w:tc>
        <w:tc>
          <w:tcPr>
            <w:tcW w:w="709" w:type="dxa"/>
            <w:tcMar>
              <w:left w:w="28" w:type="dxa"/>
              <w:right w:w="28" w:type="dxa"/>
            </w:tcMar>
            <w:vAlign w:val="center"/>
          </w:tcPr>
          <w:p w14:paraId="1F0A69D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24,4</w:t>
            </w:r>
          </w:p>
        </w:tc>
        <w:tc>
          <w:tcPr>
            <w:tcW w:w="708" w:type="dxa"/>
            <w:tcMar>
              <w:left w:w="28" w:type="dxa"/>
              <w:right w:w="28" w:type="dxa"/>
            </w:tcMar>
            <w:vAlign w:val="center"/>
          </w:tcPr>
          <w:p w14:paraId="011994E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34,8</w:t>
            </w:r>
          </w:p>
        </w:tc>
        <w:tc>
          <w:tcPr>
            <w:tcW w:w="709" w:type="dxa"/>
            <w:tcMar>
              <w:left w:w="28" w:type="dxa"/>
              <w:right w:w="28" w:type="dxa"/>
            </w:tcMar>
            <w:vAlign w:val="center"/>
          </w:tcPr>
          <w:p w14:paraId="0A331C5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22,8</w:t>
            </w:r>
          </w:p>
        </w:tc>
        <w:tc>
          <w:tcPr>
            <w:tcW w:w="709" w:type="dxa"/>
            <w:tcMar>
              <w:left w:w="28" w:type="dxa"/>
              <w:right w:w="28" w:type="dxa"/>
            </w:tcMar>
            <w:vAlign w:val="center"/>
          </w:tcPr>
          <w:p w14:paraId="2C2C259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39,0</w:t>
            </w:r>
          </w:p>
        </w:tc>
        <w:tc>
          <w:tcPr>
            <w:tcW w:w="709" w:type="dxa"/>
            <w:tcMar>
              <w:left w:w="28" w:type="dxa"/>
              <w:right w:w="28" w:type="dxa"/>
            </w:tcMar>
            <w:vAlign w:val="center"/>
          </w:tcPr>
          <w:p w14:paraId="7ADFDA6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48,3</w:t>
            </w:r>
          </w:p>
        </w:tc>
        <w:tc>
          <w:tcPr>
            <w:tcW w:w="708" w:type="dxa"/>
            <w:tcMar>
              <w:left w:w="28" w:type="dxa"/>
              <w:right w:w="28" w:type="dxa"/>
            </w:tcMar>
            <w:vAlign w:val="center"/>
          </w:tcPr>
          <w:p w14:paraId="348FBCB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51,8</w:t>
            </w:r>
          </w:p>
        </w:tc>
        <w:tc>
          <w:tcPr>
            <w:tcW w:w="709" w:type="dxa"/>
            <w:tcMar>
              <w:left w:w="28" w:type="dxa"/>
              <w:right w:w="28" w:type="dxa"/>
            </w:tcMar>
            <w:vAlign w:val="center"/>
          </w:tcPr>
          <w:p w14:paraId="7626E3E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53,2</w:t>
            </w:r>
          </w:p>
        </w:tc>
        <w:tc>
          <w:tcPr>
            <w:tcW w:w="709" w:type="dxa"/>
            <w:tcMar>
              <w:left w:w="28" w:type="dxa"/>
              <w:right w:w="28" w:type="dxa"/>
            </w:tcMar>
            <w:vAlign w:val="center"/>
          </w:tcPr>
          <w:p w14:paraId="0234768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50,9</w:t>
            </w:r>
          </w:p>
        </w:tc>
        <w:tc>
          <w:tcPr>
            <w:tcW w:w="709" w:type="dxa"/>
            <w:tcMar>
              <w:left w:w="28" w:type="dxa"/>
              <w:right w:w="28" w:type="dxa"/>
            </w:tcMar>
            <w:vAlign w:val="center"/>
          </w:tcPr>
          <w:p w14:paraId="1A2C9E5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35,0</w:t>
            </w:r>
          </w:p>
        </w:tc>
        <w:tc>
          <w:tcPr>
            <w:tcW w:w="708" w:type="dxa"/>
            <w:tcMar>
              <w:left w:w="28" w:type="dxa"/>
              <w:right w:w="28" w:type="dxa"/>
            </w:tcMar>
            <w:vAlign w:val="center"/>
          </w:tcPr>
          <w:p w14:paraId="1472AD9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38,1</w:t>
            </w:r>
          </w:p>
        </w:tc>
        <w:tc>
          <w:tcPr>
            <w:tcW w:w="709" w:type="dxa"/>
            <w:tcMar>
              <w:left w:w="28" w:type="dxa"/>
              <w:right w:w="28" w:type="dxa"/>
            </w:tcMar>
            <w:vAlign w:val="center"/>
          </w:tcPr>
          <w:p w14:paraId="2F78318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48,0</w:t>
            </w:r>
          </w:p>
        </w:tc>
      </w:tr>
      <w:tr w:rsidR="002245D5" w:rsidRPr="003D7553" w14:paraId="3D2E274A" w14:textId="77777777" w:rsidTr="002245D5">
        <w:tc>
          <w:tcPr>
            <w:tcW w:w="1980" w:type="dxa"/>
          </w:tcPr>
          <w:p w14:paraId="0BCC8313"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темпы роста в %</w:t>
            </w:r>
          </w:p>
        </w:tc>
        <w:tc>
          <w:tcPr>
            <w:tcW w:w="709" w:type="dxa"/>
            <w:tcMar>
              <w:left w:w="28" w:type="dxa"/>
              <w:right w:w="28" w:type="dxa"/>
            </w:tcMar>
            <w:vAlign w:val="center"/>
          </w:tcPr>
          <w:p w14:paraId="0F4B605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189,1</w:t>
            </w:r>
          </w:p>
        </w:tc>
        <w:tc>
          <w:tcPr>
            <w:tcW w:w="708" w:type="dxa"/>
            <w:tcMar>
              <w:left w:w="28" w:type="dxa"/>
              <w:right w:w="28" w:type="dxa"/>
            </w:tcMar>
            <w:vAlign w:val="center"/>
          </w:tcPr>
          <w:p w14:paraId="346314F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142,4</w:t>
            </w:r>
          </w:p>
        </w:tc>
        <w:tc>
          <w:tcPr>
            <w:tcW w:w="709" w:type="dxa"/>
            <w:tcMar>
              <w:left w:w="28" w:type="dxa"/>
              <w:right w:w="28" w:type="dxa"/>
            </w:tcMar>
            <w:vAlign w:val="center"/>
          </w:tcPr>
          <w:p w14:paraId="1DE5F36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65,7</w:t>
            </w:r>
          </w:p>
        </w:tc>
        <w:tc>
          <w:tcPr>
            <w:tcW w:w="709" w:type="dxa"/>
            <w:tcMar>
              <w:left w:w="28" w:type="dxa"/>
              <w:right w:w="28" w:type="dxa"/>
            </w:tcMar>
            <w:vAlign w:val="center"/>
          </w:tcPr>
          <w:p w14:paraId="1F38156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171,2</w:t>
            </w:r>
          </w:p>
        </w:tc>
        <w:tc>
          <w:tcPr>
            <w:tcW w:w="709" w:type="dxa"/>
            <w:tcMar>
              <w:left w:w="28" w:type="dxa"/>
              <w:right w:w="28" w:type="dxa"/>
            </w:tcMar>
            <w:vAlign w:val="center"/>
          </w:tcPr>
          <w:p w14:paraId="08E2388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123,9</w:t>
            </w:r>
          </w:p>
        </w:tc>
        <w:tc>
          <w:tcPr>
            <w:tcW w:w="708" w:type="dxa"/>
            <w:tcMar>
              <w:left w:w="28" w:type="dxa"/>
              <w:right w:w="28" w:type="dxa"/>
            </w:tcMar>
            <w:vAlign w:val="center"/>
          </w:tcPr>
          <w:p w14:paraId="34E3A8D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107,6</w:t>
            </w:r>
          </w:p>
        </w:tc>
        <w:tc>
          <w:tcPr>
            <w:tcW w:w="709" w:type="dxa"/>
            <w:tcMar>
              <w:left w:w="28" w:type="dxa"/>
              <w:right w:w="28" w:type="dxa"/>
            </w:tcMar>
            <w:vAlign w:val="center"/>
          </w:tcPr>
          <w:p w14:paraId="58AEBA1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102,7</w:t>
            </w:r>
          </w:p>
        </w:tc>
        <w:tc>
          <w:tcPr>
            <w:tcW w:w="709" w:type="dxa"/>
            <w:tcMar>
              <w:left w:w="28" w:type="dxa"/>
              <w:right w:w="28" w:type="dxa"/>
            </w:tcMar>
            <w:vAlign w:val="center"/>
          </w:tcPr>
          <w:p w14:paraId="0E65C65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95,7</w:t>
            </w:r>
          </w:p>
        </w:tc>
        <w:tc>
          <w:tcPr>
            <w:tcW w:w="709" w:type="dxa"/>
            <w:tcMar>
              <w:left w:w="28" w:type="dxa"/>
              <w:right w:w="28" w:type="dxa"/>
            </w:tcMar>
            <w:vAlign w:val="center"/>
          </w:tcPr>
          <w:p w14:paraId="220FDA4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68</w:t>
            </w:r>
            <w:r w:rsidRPr="003D7553">
              <w:rPr>
                <w:rFonts w:ascii="Times New Roman" w:hAnsi="Times New Roman" w:cs="Times New Roman"/>
                <w:color w:val="000000" w:themeColor="text1"/>
                <w:sz w:val="24"/>
                <w:szCs w:val="24"/>
              </w:rPr>
              <w:t>,</w:t>
            </w:r>
            <w:r w:rsidRPr="003D7553">
              <w:rPr>
                <w:rFonts w:ascii="Times New Roman" w:hAnsi="Times New Roman" w:cs="Times New Roman"/>
                <w:color w:val="000000" w:themeColor="text1"/>
                <w:sz w:val="24"/>
                <w:szCs w:val="24"/>
                <w:lang w:val="en-US"/>
              </w:rPr>
              <w:t>8</w:t>
            </w:r>
          </w:p>
        </w:tc>
        <w:tc>
          <w:tcPr>
            <w:tcW w:w="708" w:type="dxa"/>
            <w:tcMar>
              <w:left w:w="28" w:type="dxa"/>
              <w:right w:w="28" w:type="dxa"/>
            </w:tcMar>
            <w:vAlign w:val="center"/>
          </w:tcPr>
          <w:p w14:paraId="61CD62E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108,9</w:t>
            </w:r>
          </w:p>
        </w:tc>
        <w:tc>
          <w:tcPr>
            <w:tcW w:w="709" w:type="dxa"/>
            <w:tcMar>
              <w:left w:w="28" w:type="dxa"/>
              <w:right w:w="28" w:type="dxa"/>
            </w:tcMar>
            <w:vAlign w:val="center"/>
          </w:tcPr>
          <w:p w14:paraId="4C34C13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126,0</w:t>
            </w:r>
          </w:p>
        </w:tc>
      </w:tr>
      <w:tr w:rsidR="002245D5" w:rsidRPr="003D7553" w14:paraId="63F8D0BD" w14:textId="77777777" w:rsidTr="002245D5">
        <w:tc>
          <w:tcPr>
            <w:tcW w:w="1980" w:type="dxa"/>
          </w:tcPr>
          <w:p w14:paraId="3154C092"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САЛЬДО (экспорт минус импорт)</w:t>
            </w:r>
          </w:p>
        </w:tc>
        <w:tc>
          <w:tcPr>
            <w:tcW w:w="709" w:type="dxa"/>
            <w:tcMar>
              <w:left w:w="28" w:type="dxa"/>
              <w:right w:w="28" w:type="dxa"/>
            </w:tcMar>
            <w:vAlign w:val="center"/>
          </w:tcPr>
          <w:p w14:paraId="662088C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-8,5</w:t>
            </w:r>
          </w:p>
        </w:tc>
        <w:tc>
          <w:tcPr>
            <w:tcW w:w="708" w:type="dxa"/>
            <w:tcMar>
              <w:left w:w="28" w:type="dxa"/>
              <w:right w:w="28" w:type="dxa"/>
            </w:tcMar>
            <w:vAlign w:val="center"/>
          </w:tcPr>
          <w:p w14:paraId="65D4746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-13,6</w:t>
            </w:r>
          </w:p>
        </w:tc>
        <w:tc>
          <w:tcPr>
            <w:tcW w:w="709" w:type="dxa"/>
            <w:tcMar>
              <w:left w:w="28" w:type="dxa"/>
              <w:right w:w="28" w:type="dxa"/>
            </w:tcMar>
            <w:vAlign w:val="center"/>
          </w:tcPr>
          <w:p w14:paraId="62D9240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-6,2</w:t>
            </w:r>
          </w:p>
        </w:tc>
        <w:tc>
          <w:tcPr>
            <w:tcW w:w="709" w:type="dxa"/>
            <w:tcMar>
              <w:left w:w="28" w:type="dxa"/>
              <w:right w:w="28" w:type="dxa"/>
            </w:tcMar>
            <w:vAlign w:val="center"/>
          </w:tcPr>
          <w:p w14:paraId="15155EE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-18,7</w:t>
            </w:r>
          </w:p>
        </w:tc>
        <w:tc>
          <w:tcPr>
            <w:tcW w:w="709" w:type="dxa"/>
            <w:tcMar>
              <w:left w:w="28" w:type="dxa"/>
              <w:right w:w="28" w:type="dxa"/>
            </w:tcMar>
            <w:vAlign w:val="center"/>
          </w:tcPr>
          <w:p w14:paraId="63BE5BA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-13,1</w:t>
            </w:r>
          </w:p>
        </w:tc>
        <w:tc>
          <w:tcPr>
            <w:tcW w:w="708" w:type="dxa"/>
            <w:tcMar>
              <w:left w:w="28" w:type="dxa"/>
              <w:right w:w="28" w:type="dxa"/>
            </w:tcMar>
            <w:vAlign w:val="center"/>
          </w:tcPr>
          <w:p w14:paraId="5747331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-16,1</w:t>
            </w:r>
          </w:p>
        </w:tc>
        <w:tc>
          <w:tcPr>
            <w:tcW w:w="709" w:type="dxa"/>
            <w:tcMar>
              <w:left w:w="28" w:type="dxa"/>
              <w:right w:w="28" w:type="dxa"/>
            </w:tcMar>
            <w:vAlign w:val="center"/>
          </w:tcPr>
          <w:p w14:paraId="0447338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-17,6</w:t>
            </w:r>
          </w:p>
        </w:tc>
        <w:tc>
          <w:tcPr>
            <w:tcW w:w="709" w:type="dxa"/>
            <w:tcMar>
              <w:left w:w="28" w:type="dxa"/>
              <w:right w:w="28" w:type="dxa"/>
            </w:tcMar>
            <w:vAlign w:val="center"/>
          </w:tcPr>
          <w:p w14:paraId="61C8F9D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-13,4</w:t>
            </w:r>
          </w:p>
        </w:tc>
        <w:tc>
          <w:tcPr>
            <w:tcW w:w="709" w:type="dxa"/>
            <w:tcMar>
              <w:left w:w="28" w:type="dxa"/>
              <w:right w:w="28" w:type="dxa"/>
            </w:tcMar>
            <w:vAlign w:val="center"/>
          </w:tcPr>
          <w:p w14:paraId="3A865FF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-6,4</w:t>
            </w:r>
          </w:p>
        </w:tc>
        <w:tc>
          <w:tcPr>
            <w:tcW w:w="708" w:type="dxa"/>
            <w:tcMar>
              <w:left w:w="28" w:type="dxa"/>
              <w:right w:w="28" w:type="dxa"/>
            </w:tcMar>
            <w:vAlign w:val="center"/>
          </w:tcPr>
          <w:p w14:paraId="629685D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-10,1</w:t>
            </w:r>
          </w:p>
        </w:tc>
        <w:tc>
          <w:tcPr>
            <w:tcW w:w="709" w:type="dxa"/>
            <w:tcMar>
              <w:left w:w="28" w:type="dxa"/>
              <w:right w:w="28" w:type="dxa"/>
            </w:tcMar>
            <w:vAlign w:val="center"/>
          </w:tcPr>
          <w:p w14:paraId="40FFDFA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-9,1</w:t>
            </w:r>
          </w:p>
        </w:tc>
      </w:tr>
      <w:tr w:rsidR="002245D5" w:rsidRPr="003D7553" w14:paraId="07B79C84" w14:textId="77777777" w:rsidTr="002245D5">
        <w:tc>
          <w:tcPr>
            <w:tcW w:w="1980" w:type="dxa"/>
          </w:tcPr>
          <w:p w14:paraId="6A3C861F"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Коэффициент несбалансирован</w:t>
            </w:r>
            <w:r w:rsidRPr="003D7553">
              <w:rPr>
                <w:rFonts w:ascii="Times New Roman" w:hAnsi="Times New Roman" w:cs="Times New Roman"/>
                <w:color w:val="000000" w:themeColor="text1"/>
                <w:sz w:val="24"/>
                <w:szCs w:val="24"/>
              </w:rPr>
              <w:lastRenderedPageBreak/>
              <w:t>ности (сальдо / оборот)</w:t>
            </w:r>
          </w:p>
        </w:tc>
        <w:tc>
          <w:tcPr>
            <w:tcW w:w="709" w:type="dxa"/>
            <w:tcMar>
              <w:left w:w="28" w:type="dxa"/>
              <w:right w:w="28" w:type="dxa"/>
            </w:tcMar>
            <w:vAlign w:val="center"/>
          </w:tcPr>
          <w:p w14:paraId="773B9E1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lastRenderedPageBreak/>
              <w:t>-0,21</w:t>
            </w:r>
          </w:p>
        </w:tc>
        <w:tc>
          <w:tcPr>
            <w:tcW w:w="708" w:type="dxa"/>
            <w:tcMar>
              <w:left w:w="28" w:type="dxa"/>
              <w:right w:w="28" w:type="dxa"/>
            </w:tcMar>
            <w:vAlign w:val="center"/>
          </w:tcPr>
          <w:p w14:paraId="1260BCE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-0,24</w:t>
            </w:r>
          </w:p>
        </w:tc>
        <w:tc>
          <w:tcPr>
            <w:tcW w:w="709" w:type="dxa"/>
            <w:tcMar>
              <w:left w:w="28" w:type="dxa"/>
              <w:right w:w="28" w:type="dxa"/>
            </w:tcMar>
            <w:vAlign w:val="center"/>
          </w:tcPr>
          <w:p w14:paraId="3C54C32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-0,16</w:t>
            </w:r>
          </w:p>
        </w:tc>
        <w:tc>
          <w:tcPr>
            <w:tcW w:w="709" w:type="dxa"/>
            <w:tcMar>
              <w:left w:w="28" w:type="dxa"/>
              <w:right w:w="28" w:type="dxa"/>
            </w:tcMar>
            <w:vAlign w:val="center"/>
          </w:tcPr>
          <w:p w14:paraId="6284D83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-0,32</w:t>
            </w:r>
          </w:p>
        </w:tc>
        <w:tc>
          <w:tcPr>
            <w:tcW w:w="709" w:type="dxa"/>
            <w:tcMar>
              <w:left w:w="28" w:type="dxa"/>
              <w:right w:w="28" w:type="dxa"/>
            </w:tcMar>
            <w:vAlign w:val="center"/>
          </w:tcPr>
          <w:p w14:paraId="79D680E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-0,16</w:t>
            </w:r>
          </w:p>
        </w:tc>
        <w:tc>
          <w:tcPr>
            <w:tcW w:w="708" w:type="dxa"/>
            <w:tcMar>
              <w:left w:w="28" w:type="dxa"/>
              <w:right w:w="28" w:type="dxa"/>
            </w:tcMar>
            <w:vAlign w:val="center"/>
          </w:tcPr>
          <w:p w14:paraId="4F2B573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-0,18</w:t>
            </w:r>
          </w:p>
        </w:tc>
        <w:tc>
          <w:tcPr>
            <w:tcW w:w="709" w:type="dxa"/>
            <w:tcMar>
              <w:left w:w="28" w:type="dxa"/>
              <w:right w:w="28" w:type="dxa"/>
            </w:tcMar>
            <w:vAlign w:val="center"/>
          </w:tcPr>
          <w:p w14:paraId="646ACAB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0,20</w:t>
            </w:r>
          </w:p>
        </w:tc>
        <w:tc>
          <w:tcPr>
            <w:tcW w:w="709" w:type="dxa"/>
            <w:tcMar>
              <w:left w:w="28" w:type="dxa"/>
              <w:right w:w="28" w:type="dxa"/>
            </w:tcMar>
            <w:vAlign w:val="center"/>
          </w:tcPr>
          <w:p w14:paraId="16890A6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-0,15</w:t>
            </w:r>
          </w:p>
        </w:tc>
        <w:tc>
          <w:tcPr>
            <w:tcW w:w="709" w:type="dxa"/>
            <w:tcMar>
              <w:left w:w="28" w:type="dxa"/>
              <w:right w:w="28" w:type="dxa"/>
            </w:tcMar>
            <w:vAlign w:val="center"/>
          </w:tcPr>
          <w:p w14:paraId="365907A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-0,10</w:t>
            </w:r>
          </w:p>
        </w:tc>
        <w:tc>
          <w:tcPr>
            <w:tcW w:w="708" w:type="dxa"/>
            <w:tcMar>
              <w:left w:w="28" w:type="dxa"/>
              <w:right w:w="28" w:type="dxa"/>
            </w:tcMar>
            <w:vAlign w:val="center"/>
          </w:tcPr>
          <w:p w14:paraId="43A3013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-0,15</w:t>
            </w:r>
          </w:p>
        </w:tc>
        <w:tc>
          <w:tcPr>
            <w:tcW w:w="709" w:type="dxa"/>
            <w:tcMar>
              <w:left w:w="28" w:type="dxa"/>
              <w:right w:w="28" w:type="dxa"/>
            </w:tcMar>
            <w:vAlign w:val="center"/>
          </w:tcPr>
          <w:p w14:paraId="7552049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-0,10</w:t>
            </w:r>
          </w:p>
        </w:tc>
      </w:tr>
    </w:tbl>
    <w:p w14:paraId="7BC41B2E" w14:textId="77777777" w:rsidR="002245D5" w:rsidRPr="003D7553" w:rsidRDefault="002245D5" w:rsidP="002245D5">
      <w:pPr>
        <w:spacing w:line="240" w:lineRule="auto"/>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lastRenderedPageBreak/>
        <w:t>Источник [6]</w:t>
      </w:r>
    </w:p>
    <w:p w14:paraId="5EB0322B"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Начиная с 2007 г. Китай становится третьим партнером по объемам внешнеторгового оборота России, а с 2010 г. — занимает первое место (в 2011 г. на Китай приходилось 10% всего торгового оборота РФ, что соответствует 79,25 млрд долл. США).</w:t>
      </w:r>
    </w:p>
    <w:p w14:paraId="6D031865"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В 2009 г. по отношению к 2008 г. товарооборот сократился на 31,8%, что было обусловлено в том числе кризисной ситуацией 2008 года. Изменение товарооборота сказалось и на удельном весе РФ в общем объеме внешней торговли Китая. По информации МЭР: «В 2008 г. Россия была девятым торговым партнером КНР, в 2009 г. она спустилась на 14-е место. При этом доля КНР в совокупном российском экспорте составила 5,5 %, а в российском импорте - 12%» [3]. </w:t>
      </w:r>
    </w:p>
    <w:p w14:paraId="517FFFE3"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За 2010-2012 годы темпы прироста двустороннего товарооборота восстановились (10-30%). Однако в 2013 г. темпы роста российско-китайской торговли замедлились до 1,1% (за год товарооборот увеличился с $88,1 до $89,2 млрд.). В Китае основной причиной такого снижения считают «медленное восстановление мировой экономики». Вместе с тем, при анализе данных следует также учитывать падение мировых цен на сырье. Например, за 2013 г. экспорт российской нефти в Китай в физическом выражении увеличился, а в стоимостном – сократился.</w:t>
      </w:r>
    </w:p>
    <w:p w14:paraId="7C4A1EF0"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Данные китайской таможенной статистики за первые три квартала 2014 г. свидетельствуют о том, что России совместно с Китаем удалось остановить негативные тенденции, стабилизировать ситуацию во взаимной торговле и обеспечить устойчивые темпы прироста товарооборота [4].</w:t>
      </w:r>
    </w:p>
    <w:p w14:paraId="5BE6562A"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В 2015 году товарооборот составил $63,6 млрд. долларов США. Таким образом, товарооборот между двумя странами снизился на 30% по сравнению с 2014 годом, когда товарооборот составлял $88,4 млрд долларов. Российский экспорт в Китай за этот период сократился на 27% по сравнению с 2014 годом до объёма в $27,3 млрд долларов. Импорт из Китая - $34,1 млрд долларов США (-33%). </w:t>
      </w:r>
    </w:p>
    <w:p w14:paraId="589910D1"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 2016 году товарооборот России с Китаем составил 66 долл. США, увеличившись на 4,02% по сравнению с 2015 годом. Товарооборот между Китаем и Россией по итогам 2017 года в долларовом эквиваленте вырос на 20,8% по сравнению с прошлым годом, свидетельствуют данные главного таможенного управления КНР. Общий объем двусторонней торговли по итогам прошлого года составил 84 миллиарда долларов [2].</w:t>
      </w:r>
    </w:p>
    <w:p w14:paraId="3AF37DC9" w14:textId="77777777" w:rsidR="002245D5" w:rsidRPr="003D7553" w:rsidRDefault="002245D5" w:rsidP="002245D5">
      <w:pPr>
        <w:spacing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 структуре основных импортных товаров России в основная доля поставок пришлась на следующие виды товаров: автомобили легковые, грузовые, черные металлы и изделия из них. Основные товары импорта Китая: нефть и нефтепродукты, руда железная и медная.</w:t>
      </w:r>
    </w:p>
    <w:p w14:paraId="07F7FA4D" w14:textId="77777777" w:rsidR="002245D5" w:rsidRPr="003D7553" w:rsidRDefault="002245D5" w:rsidP="002245D5">
      <w:pPr>
        <w:spacing w:line="240" w:lineRule="auto"/>
        <w:jc w:val="right"/>
        <w:rPr>
          <w:rFonts w:ascii="Times New Roman" w:hAnsi="Times New Roman" w:cs="Times New Roman"/>
          <w:i/>
          <w:color w:val="000000" w:themeColor="text1"/>
          <w:sz w:val="24"/>
          <w:szCs w:val="24"/>
        </w:rPr>
      </w:pPr>
      <w:r w:rsidRPr="003D7553">
        <w:rPr>
          <w:rFonts w:ascii="Times New Roman" w:hAnsi="Times New Roman" w:cs="Times New Roman"/>
          <w:i/>
          <w:color w:val="000000" w:themeColor="text1"/>
          <w:sz w:val="24"/>
          <w:szCs w:val="24"/>
        </w:rPr>
        <w:t>Таблица 2</w:t>
      </w:r>
    </w:p>
    <w:p w14:paraId="6CC73876" w14:textId="77777777" w:rsidR="002245D5" w:rsidRPr="003D7553" w:rsidRDefault="002245D5" w:rsidP="002245D5">
      <w:pPr>
        <w:spacing w:line="240" w:lineRule="auto"/>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Основные импортные товары РФ и Китая</w:t>
      </w:r>
    </w:p>
    <w:tbl>
      <w:tblPr>
        <w:tblStyle w:val="a3"/>
        <w:tblW w:w="9776" w:type="dxa"/>
        <w:tblLayout w:type="fixed"/>
        <w:tblLook w:val="04A0" w:firstRow="1" w:lastRow="0" w:firstColumn="1" w:lastColumn="0" w:noHBand="0" w:noVBand="1"/>
      </w:tblPr>
      <w:tblGrid>
        <w:gridCol w:w="3964"/>
        <w:gridCol w:w="851"/>
        <w:gridCol w:w="709"/>
        <w:gridCol w:w="708"/>
        <w:gridCol w:w="709"/>
        <w:gridCol w:w="709"/>
        <w:gridCol w:w="709"/>
        <w:gridCol w:w="708"/>
        <w:gridCol w:w="709"/>
      </w:tblGrid>
      <w:tr w:rsidR="002245D5" w:rsidRPr="003D7553" w14:paraId="4B90846C" w14:textId="77777777" w:rsidTr="002245D5">
        <w:tc>
          <w:tcPr>
            <w:tcW w:w="3964" w:type="dxa"/>
            <w:vMerge w:val="restart"/>
          </w:tcPr>
          <w:p w14:paraId="1AF0EB3B"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Наименование</w:t>
            </w:r>
          </w:p>
        </w:tc>
        <w:tc>
          <w:tcPr>
            <w:tcW w:w="5812" w:type="dxa"/>
            <w:gridSpan w:val="8"/>
          </w:tcPr>
          <w:p w14:paraId="0E0CD851"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Объем импорта, млрд. долл.</w:t>
            </w:r>
          </w:p>
        </w:tc>
      </w:tr>
      <w:tr w:rsidR="002245D5" w:rsidRPr="003D7553" w14:paraId="0C5CC111" w14:textId="77777777" w:rsidTr="002245D5">
        <w:tc>
          <w:tcPr>
            <w:tcW w:w="3964" w:type="dxa"/>
            <w:vMerge/>
          </w:tcPr>
          <w:p w14:paraId="38C1F859" w14:textId="77777777" w:rsidR="002245D5" w:rsidRPr="003D7553" w:rsidRDefault="002245D5" w:rsidP="002245D5">
            <w:pPr>
              <w:jc w:val="both"/>
              <w:rPr>
                <w:rFonts w:ascii="Times New Roman" w:hAnsi="Times New Roman" w:cs="Times New Roman"/>
                <w:color w:val="000000" w:themeColor="text1"/>
                <w:sz w:val="24"/>
                <w:szCs w:val="24"/>
              </w:rPr>
            </w:pPr>
          </w:p>
        </w:tc>
        <w:tc>
          <w:tcPr>
            <w:tcW w:w="851" w:type="dxa"/>
          </w:tcPr>
          <w:p w14:paraId="47767A1A"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2006</w:t>
            </w:r>
          </w:p>
        </w:tc>
        <w:tc>
          <w:tcPr>
            <w:tcW w:w="709" w:type="dxa"/>
          </w:tcPr>
          <w:p w14:paraId="3CDDCB03"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2007</w:t>
            </w:r>
          </w:p>
        </w:tc>
        <w:tc>
          <w:tcPr>
            <w:tcW w:w="708" w:type="dxa"/>
          </w:tcPr>
          <w:p w14:paraId="38B0008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2008</w:t>
            </w:r>
          </w:p>
        </w:tc>
        <w:tc>
          <w:tcPr>
            <w:tcW w:w="709" w:type="dxa"/>
          </w:tcPr>
          <w:p w14:paraId="53E8E83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2009</w:t>
            </w:r>
          </w:p>
        </w:tc>
        <w:tc>
          <w:tcPr>
            <w:tcW w:w="709" w:type="dxa"/>
          </w:tcPr>
          <w:p w14:paraId="1722D7B3"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2010</w:t>
            </w:r>
          </w:p>
        </w:tc>
        <w:tc>
          <w:tcPr>
            <w:tcW w:w="709" w:type="dxa"/>
          </w:tcPr>
          <w:p w14:paraId="43A9C17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2011</w:t>
            </w:r>
          </w:p>
        </w:tc>
        <w:tc>
          <w:tcPr>
            <w:tcW w:w="708" w:type="dxa"/>
          </w:tcPr>
          <w:p w14:paraId="722A85A9"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2012</w:t>
            </w:r>
          </w:p>
        </w:tc>
        <w:tc>
          <w:tcPr>
            <w:tcW w:w="709" w:type="dxa"/>
          </w:tcPr>
          <w:p w14:paraId="012E42A5"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2013</w:t>
            </w:r>
          </w:p>
        </w:tc>
      </w:tr>
      <w:tr w:rsidR="002245D5" w:rsidRPr="003D7553" w14:paraId="08B104DD" w14:textId="77777777" w:rsidTr="002245D5">
        <w:tc>
          <w:tcPr>
            <w:tcW w:w="9776" w:type="dxa"/>
            <w:gridSpan w:val="9"/>
          </w:tcPr>
          <w:p w14:paraId="65AA0EAA"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Импорт Россией</w:t>
            </w:r>
          </w:p>
        </w:tc>
      </w:tr>
      <w:tr w:rsidR="002245D5" w:rsidRPr="003D7553" w14:paraId="431DD7D5" w14:textId="77777777" w:rsidTr="002245D5">
        <w:tc>
          <w:tcPr>
            <w:tcW w:w="3964" w:type="dxa"/>
          </w:tcPr>
          <w:p w14:paraId="6B62EE6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Автомобили легковые, грузовые, части и принадлежности к ним</w:t>
            </w:r>
          </w:p>
        </w:tc>
        <w:tc>
          <w:tcPr>
            <w:tcW w:w="851" w:type="dxa"/>
            <w:tcMar>
              <w:left w:w="28" w:type="dxa"/>
              <w:right w:w="28" w:type="dxa"/>
            </w:tcMar>
            <w:vAlign w:val="center"/>
          </w:tcPr>
          <w:p w14:paraId="2A921D2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rPr>
              <w:t>16</w:t>
            </w:r>
            <w:r w:rsidRPr="003D7553">
              <w:rPr>
                <w:rFonts w:ascii="Times New Roman" w:hAnsi="Times New Roman" w:cs="Times New Roman"/>
                <w:color w:val="000000" w:themeColor="text1"/>
                <w:sz w:val="24"/>
                <w:szCs w:val="24"/>
                <w:lang w:val="en-US"/>
              </w:rPr>
              <w:t>,65</w:t>
            </w:r>
          </w:p>
        </w:tc>
        <w:tc>
          <w:tcPr>
            <w:tcW w:w="709" w:type="dxa"/>
            <w:tcMar>
              <w:left w:w="28" w:type="dxa"/>
              <w:right w:w="28" w:type="dxa"/>
            </w:tcMar>
            <w:vAlign w:val="center"/>
          </w:tcPr>
          <w:p w14:paraId="0703565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28,9</w:t>
            </w:r>
          </w:p>
        </w:tc>
        <w:tc>
          <w:tcPr>
            <w:tcW w:w="708" w:type="dxa"/>
            <w:tcMar>
              <w:left w:w="28" w:type="dxa"/>
              <w:right w:w="28" w:type="dxa"/>
            </w:tcMar>
            <w:vAlign w:val="center"/>
          </w:tcPr>
          <w:p w14:paraId="181E7E5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40,74</w:t>
            </w:r>
          </w:p>
        </w:tc>
        <w:tc>
          <w:tcPr>
            <w:tcW w:w="709" w:type="dxa"/>
            <w:tcMar>
              <w:left w:w="28" w:type="dxa"/>
              <w:right w:w="28" w:type="dxa"/>
            </w:tcMar>
            <w:vAlign w:val="center"/>
          </w:tcPr>
          <w:p w14:paraId="1F45A6C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2,3</w:t>
            </w:r>
          </w:p>
        </w:tc>
        <w:tc>
          <w:tcPr>
            <w:tcW w:w="709" w:type="dxa"/>
            <w:tcMar>
              <w:left w:w="28" w:type="dxa"/>
              <w:right w:w="28" w:type="dxa"/>
            </w:tcMar>
            <w:vAlign w:val="center"/>
          </w:tcPr>
          <w:p w14:paraId="0316FAB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19,06</w:t>
            </w:r>
          </w:p>
        </w:tc>
        <w:tc>
          <w:tcPr>
            <w:tcW w:w="709" w:type="dxa"/>
            <w:tcMar>
              <w:left w:w="28" w:type="dxa"/>
              <w:right w:w="28" w:type="dxa"/>
            </w:tcMar>
            <w:vAlign w:val="center"/>
          </w:tcPr>
          <w:p w14:paraId="04C9043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32,6</w:t>
            </w:r>
          </w:p>
        </w:tc>
        <w:tc>
          <w:tcPr>
            <w:tcW w:w="708" w:type="dxa"/>
            <w:tcMar>
              <w:left w:w="28" w:type="dxa"/>
              <w:right w:w="28" w:type="dxa"/>
            </w:tcMar>
            <w:vAlign w:val="center"/>
          </w:tcPr>
          <w:p w14:paraId="4FF2FDE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34,9</w:t>
            </w:r>
          </w:p>
        </w:tc>
        <w:tc>
          <w:tcPr>
            <w:tcW w:w="709" w:type="dxa"/>
            <w:tcMar>
              <w:left w:w="28" w:type="dxa"/>
              <w:right w:w="28" w:type="dxa"/>
            </w:tcMar>
            <w:vAlign w:val="center"/>
          </w:tcPr>
          <w:p w14:paraId="62865E5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31,4</w:t>
            </w:r>
          </w:p>
        </w:tc>
      </w:tr>
      <w:tr w:rsidR="002245D5" w:rsidRPr="003D7553" w14:paraId="4E85C33B" w14:textId="77777777" w:rsidTr="002245D5">
        <w:tc>
          <w:tcPr>
            <w:tcW w:w="3964" w:type="dxa"/>
          </w:tcPr>
          <w:p w14:paraId="1C13E78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Черные металлы и изделия из них</w:t>
            </w:r>
          </w:p>
        </w:tc>
        <w:tc>
          <w:tcPr>
            <w:tcW w:w="851" w:type="dxa"/>
            <w:tcMar>
              <w:left w:w="28" w:type="dxa"/>
              <w:right w:w="28" w:type="dxa"/>
            </w:tcMar>
            <w:vAlign w:val="center"/>
          </w:tcPr>
          <w:p w14:paraId="642FCC2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7,85</w:t>
            </w:r>
          </w:p>
        </w:tc>
        <w:tc>
          <w:tcPr>
            <w:tcW w:w="709" w:type="dxa"/>
            <w:tcMar>
              <w:left w:w="28" w:type="dxa"/>
              <w:right w:w="28" w:type="dxa"/>
            </w:tcMar>
            <w:vAlign w:val="center"/>
          </w:tcPr>
          <w:p w14:paraId="18D4474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9,08</w:t>
            </w:r>
          </w:p>
        </w:tc>
        <w:tc>
          <w:tcPr>
            <w:tcW w:w="708" w:type="dxa"/>
            <w:tcMar>
              <w:left w:w="28" w:type="dxa"/>
              <w:right w:w="28" w:type="dxa"/>
            </w:tcMar>
            <w:vAlign w:val="center"/>
          </w:tcPr>
          <w:p w14:paraId="52DC97B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13,54</w:t>
            </w:r>
          </w:p>
        </w:tc>
        <w:tc>
          <w:tcPr>
            <w:tcW w:w="709" w:type="dxa"/>
            <w:tcMar>
              <w:left w:w="28" w:type="dxa"/>
              <w:right w:w="28" w:type="dxa"/>
            </w:tcMar>
            <w:vAlign w:val="center"/>
          </w:tcPr>
          <w:p w14:paraId="10828FA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7,46</w:t>
            </w:r>
          </w:p>
        </w:tc>
        <w:tc>
          <w:tcPr>
            <w:tcW w:w="709" w:type="dxa"/>
            <w:tcMar>
              <w:left w:w="28" w:type="dxa"/>
              <w:right w:w="28" w:type="dxa"/>
            </w:tcMar>
            <w:vAlign w:val="center"/>
          </w:tcPr>
          <w:p w14:paraId="072F407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11,81</w:t>
            </w:r>
          </w:p>
        </w:tc>
        <w:tc>
          <w:tcPr>
            <w:tcW w:w="709" w:type="dxa"/>
            <w:tcMar>
              <w:left w:w="28" w:type="dxa"/>
              <w:right w:w="28" w:type="dxa"/>
            </w:tcMar>
            <w:vAlign w:val="center"/>
          </w:tcPr>
          <w:p w14:paraId="269EFC8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15,74</w:t>
            </w:r>
          </w:p>
        </w:tc>
        <w:tc>
          <w:tcPr>
            <w:tcW w:w="708" w:type="dxa"/>
            <w:tcMar>
              <w:left w:w="28" w:type="dxa"/>
              <w:right w:w="28" w:type="dxa"/>
            </w:tcMar>
            <w:vAlign w:val="center"/>
          </w:tcPr>
          <w:p w14:paraId="0137760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14,03</w:t>
            </w:r>
          </w:p>
        </w:tc>
        <w:tc>
          <w:tcPr>
            <w:tcW w:w="709" w:type="dxa"/>
            <w:tcMar>
              <w:left w:w="28" w:type="dxa"/>
              <w:right w:w="28" w:type="dxa"/>
            </w:tcMar>
            <w:vAlign w:val="center"/>
          </w:tcPr>
          <w:p w14:paraId="0973F11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14,1</w:t>
            </w:r>
          </w:p>
        </w:tc>
      </w:tr>
      <w:tr w:rsidR="002245D5" w:rsidRPr="003D7553" w14:paraId="13AB6570" w14:textId="77777777" w:rsidTr="002245D5">
        <w:tc>
          <w:tcPr>
            <w:tcW w:w="3964" w:type="dxa"/>
          </w:tcPr>
          <w:p w14:paraId="3F452402"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Полимерные материалы, пластмассы, изделия их них</w:t>
            </w:r>
          </w:p>
        </w:tc>
        <w:tc>
          <w:tcPr>
            <w:tcW w:w="851" w:type="dxa"/>
            <w:tcMar>
              <w:left w:w="28" w:type="dxa"/>
              <w:right w:w="28" w:type="dxa"/>
            </w:tcMar>
            <w:vAlign w:val="center"/>
          </w:tcPr>
          <w:p w14:paraId="3DDF841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5,25</w:t>
            </w:r>
          </w:p>
        </w:tc>
        <w:tc>
          <w:tcPr>
            <w:tcW w:w="709" w:type="dxa"/>
            <w:tcMar>
              <w:left w:w="28" w:type="dxa"/>
              <w:right w:w="28" w:type="dxa"/>
            </w:tcMar>
            <w:vAlign w:val="center"/>
          </w:tcPr>
          <w:p w14:paraId="35456D7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7,12</w:t>
            </w:r>
          </w:p>
        </w:tc>
        <w:tc>
          <w:tcPr>
            <w:tcW w:w="708" w:type="dxa"/>
            <w:tcMar>
              <w:left w:w="28" w:type="dxa"/>
              <w:right w:w="28" w:type="dxa"/>
            </w:tcMar>
            <w:vAlign w:val="center"/>
          </w:tcPr>
          <w:p w14:paraId="42605B9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8,93</w:t>
            </w:r>
          </w:p>
        </w:tc>
        <w:tc>
          <w:tcPr>
            <w:tcW w:w="709" w:type="dxa"/>
            <w:tcMar>
              <w:left w:w="28" w:type="dxa"/>
              <w:right w:w="28" w:type="dxa"/>
            </w:tcMar>
            <w:vAlign w:val="center"/>
          </w:tcPr>
          <w:p w14:paraId="6BBF296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6,13</w:t>
            </w:r>
          </w:p>
        </w:tc>
        <w:tc>
          <w:tcPr>
            <w:tcW w:w="709" w:type="dxa"/>
            <w:tcMar>
              <w:left w:w="28" w:type="dxa"/>
              <w:right w:w="28" w:type="dxa"/>
            </w:tcMar>
            <w:vAlign w:val="center"/>
          </w:tcPr>
          <w:p w14:paraId="4148DBE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8,7</w:t>
            </w:r>
          </w:p>
        </w:tc>
        <w:tc>
          <w:tcPr>
            <w:tcW w:w="709" w:type="dxa"/>
            <w:tcMar>
              <w:left w:w="28" w:type="dxa"/>
              <w:right w:w="28" w:type="dxa"/>
            </w:tcMar>
            <w:vAlign w:val="center"/>
          </w:tcPr>
          <w:p w14:paraId="147D266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10,75</w:t>
            </w:r>
          </w:p>
        </w:tc>
        <w:tc>
          <w:tcPr>
            <w:tcW w:w="708" w:type="dxa"/>
            <w:tcMar>
              <w:left w:w="28" w:type="dxa"/>
              <w:right w:w="28" w:type="dxa"/>
            </w:tcMar>
            <w:vAlign w:val="center"/>
          </w:tcPr>
          <w:p w14:paraId="094BF35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11,51</w:t>
            </w:r>
          </w:p>
        </w:tc>
        <w:tc>
          <w:tcPr>
            <w:tcW w:w="709" w:type="dxa"/>
            <w:tcMar>
              <w:left w:w="28" w:type="dxa"/>
              <w:right w:w="28" w:type="dxa"/>
            </w:tcMar>
            <w:vAlign w:val="center"/>
          </w:tcPr>
          <w:p w14:paraId="5D112EC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11,47</w:t>
            </w:r>
          </w:p>
        </w:tc>
      </w:tr>
      <w:tr w:rsidR="002245D5" w:rsidRPr="003D7553" w14:paraId="6E00E900" w14:textId="77777777" w:rsidTr="002245D5">
        <w:tc>
          <w:tcPr>
            <w:tcW w:w="3964" w:type="dxa"/>
          </w:tcPr>
          <w:p w14:paraId="03EDF54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Лекарственные средства</w:t>
            </w:r>
          </w:p>
        </w:tc>
        <w:tc>
          <w:tcPr>
            <w:tcW w:w="851" w:type="dxa"/>
            <w:tcMar>
              <w:left w:w="28" w:type="dxa"/>
              <w:right w:w="28" w:type="dxa"/>
            </w:tcMar>
            <w:vAlign w:val="center"/>
          </w:tcPr>
          <w:p w14:paraId="154747A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5,33</w:t>
            </w:r>
          </w:p>
        </w:tc>
        <w:tc>
          <w:tcPr>
            <w:tcW w:w="709" w:type="dxa"/>
            <w:tcMar>
              <w:left w:w="28" w:type="dxa"/>
              <w:right w:w="28" w:type="dxa"/>
            </w:tcMar>
            <w:vAlign w:val="center"/>
          </w:tcPr>
          <w:p w14:paraId="0A5F0AC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5,55</w:t>
            </w:r>
          </w:p>
        </w:tc>
        <w:tc>
          <w:tcPr>
            <w:tcW w:w="708" w:type="dxa"/>
            <w:tcMar>
              <w:left w:w="28" w:type="dxa"/>
              <w:right w:w="28" w:type="dxa"/>
            </w:tcMar>
            <w:vAlign w:val="center"/>
          </w:tcPr>
          <w:p w14:paraId="3CF4A70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7,51</w:t>
            </w:r>
          </w:p>
        </w:tc>
        <w:tc>
          <w:tcPr>
            <w:tcW w:w="709" w:type="dxa"/>
            <w:tcMar>
              <w:left w:w="28" w:type="dxa"/>
              <w:right w:w="28" w:type="dxa"/>
            </w:tcMar>
            <w:vAlign w:val="center"/>
          </w:tcPr>
          <w:p w14:paraId="5B95BA0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7,14</w:t>
            </w:r>
          </w:p>
        </w:tc>
        <w:tc>
          <w:tcPr>
            <w:tcW w:w="709" w:type="dxa"/>
            <w:tcMar>
              <w:left w:w="28" w:type="dxa"/>
              <w:right w:w="28" w:type="dxa"/>
            </w:tcMar>
            <w:vAlign w:val="center"/>
          </w:tcPr>
          <w:p w14:paraId="644D7C0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9,35</w:t>
            </w:r>
          </w:p>
        </w:tc>
        <w:tc>
          <w:tcPr>
            <w:tcW w:w="709" w:type="dxa"/>
            <w:tcMar>
              <w:left w:w="28" w:type="dxa"/>
              <w:right w:w="28" w:type="dxa"/>
            </w:tcMar>
            <w:vAlign w:val="center"/>
          </w:tcPr>
          <w:p w14:paraId="7338D43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10,96</w:t>
            </w:r>
          </w:p>
        </w:tc>
        <w:tc>
          <w:tcPr>
            <w:tcW w:w="708" w:type="dxa"/>
            <w:tcMar>
              <w:left w:w="28" w:type="dxa"/>
              <w:right w:w="28" w:type="dxa"/>
            </w:tcMar>
            <w:vAlign w:val="center"/>
          </w:tcPr>
          <w:p w14:paraId="198A9E8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10,79</w:t>
            </w:r>
          </w:p>
        </w:tc>
        <w:tc>
          <w:tcPr>
            <w:tcW w:w="709" w:type="dxa"/>
            <w:tcMar>
              <w:left w:w="28" w:type="dxa"/>
              <w:right w:w="28" w:type="dxa"/>
            </w:tcMar>
            <w:vAlign w:val="center"/>
          </w:tcPr>
          <w:p w14:paraId="4889D9C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11,8</w:t>
            </w:r>
          </w:p>
        </w:tc>
      </w:tr>
      <w:tr w:rsidR="002245D5" w:rsidRPr="003D7553" w14:paraId="4B7764E6" w14:textId="77777777" w:rsidTr="002245D5">
        <w:tc>
          <w:tcPr>
            <w:tcW w:w="3964" w:type="dxa"/>
          </w:tcPr>
          <w:p w14:paraId="70D907BA"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Телефонные аппараты для сотовых сетей связи и других беспроводных </w:t>
            </w:r>
            <w:r w:rsidRPr="003D7553">
              <w:rPr>
                <w:rFonts w:ascii="Times New Roman" w:hAnsi="Times New Roman" w:cs="Times New Roman"/>
                <w:color w:val="000000" w:themeColor="text1"/>
                <w:sz w:val="24"/>
                <w:szCs w:val="24"/>
              </w:rPr>
              <w:lastRenderedPageBreak/>
              <w:t>сетей</w:t>
            </w:r>
          </w:p>
        </w:tc>
        <w:tc>
          <w:tcPr>
            <w:tcW w:w="851" w:type="dxa"/>
            <w:tcMar>
              <w:left w:w="28" w:type="dxa"/>
              <w:right w:w="28" w:type="dxa"/>
            </w:tcMar>
            <w:vAlign w:val="center"/>
          </w:tcPr>
          <w:p w14:paraId="2105729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lastRenderedPageBreak/>
              <w:t>4,52</w:t>
            </w:r>
          </w:p>
        </w:tc>
        <w:tc>
          <w:tcPr>
            <w:tcW w:w="709" w:type="dxa"/>
            <w:tcMar>
              <w:left w:w="28" w:type="dxa"/>
              <w:right w:w="28" w:type="dxa"/>
            </w:tcMar>
            <w:vAlign w:val="center"/>
          </w:tcPr>
          <w:p w14:paraId="693046A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5,2</w:t>
            </w:r>
          </w:p>
        </w:tc>
        <w:tc>
          <w:tcPr>
            <w:tcW w:w="708" w:type="dxa"/>
            <w:tcMar>
              <w:left w:w="28" w:type="dxa"/>
              <w:right w:w="28" w:type="dxa"/>
            </w:tcMar>
            <w:vAlign w:val="center"/>
          </w:tcPr>
          <w:p w14:paraId="0385369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w:t>
            </w:r>
          </w:p>
        </w:tc>
        <w:tc>
          <w:tcPr>
            <w:tcW w:w="709" w:type="dxa"/>
            <w:tcMar>
              <w:left w:w="28" w:type="dxa"/>
              <w:right w:w="28" w:type="dxa"/>
            </w:tcMar>
            <w:vAlign w:val="center"/>
          </w:tcPr>
          <w:p w14:paraId="5B6AF42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w:t>
            </w:r>
          </w:p>
        </w:tc>
        <w:tc>
          <w:tcPr>
            <w:tcW w:w="709" w:type="dxa"/>
            <w:tcMar>
              <w:left w:w="28" w:type="dxa"/>
              <w:right w:w="28" w:type="dxa"/>
            </w:tcMar>
            <w:vAlign w:val="center"/>
          </w:tcPr>
          <w:p w14:paraId="12779F1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3,55</w:t>
            </w:r>
          </w:p>
        </w:tc>
        <w:tc>
          <w:tcPr>
            <w:tcW w:w="709" w:type="dxa"/>
            <w:tcMar>
              <w:left w:w="28" w:type="dxa"/>
              <w:right w:w="28" w:type="dxa"/>
            </w:tcMar>
            <w:vAlign w:val="center"/>
          </w:tcPr>
          <w:p w14:paraId="3F4E61C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3,83</w:t>
            </w:r>
          </w:p>
        </w:tc>
        <w:tc>
          <w:tcPr>
            <w:tcW w:w="708" w:type="dxa"/>
            <w:tcMar>
              <w:left w:w="28" w:type="dxa"/>
              <w:right w:w="28" w:type="dxa"/>
            </w:tcMar>
            <w:vAlign w:val="center"/>
          </w:tcPr>
          <w:p w14:paraId="720A26B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4,04</w:t>
            </w:r>
          </w:p>
        </w:tc>
        <w:tc>
          <w:tcPr>
            <w:tcW w:w="709" w:type="dxa"/>
            <w:tcMar>
              <w:left w:w="28" w:type="dxa"/>
              <w:right w:w="28" w:type="dxa"/>
            </w:tcMar>
            <w:vAlign w:val="center"/>
          </w:tcPr>
          <w:p w14:paraId="47140CC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4,7</w:t>
            </w:r>
          </w:p>
        </w:tc>
      </w:tr>
      <w:tr w:rsidR="002245D5" w:rsidRPr="003D7553" w14:paraId="55BB83F0" w14:textId="77777777" w:rsidTr="002245D5">
        <w:tc>
          <w:tcPr>
            <w:tcW w:w="3964" w:type="dxa"/>
          </w:tcPr>
          <w:p w14:paraId="32F5EB66"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lastRenderedPageBreak/>
              <w:t>Мясо свежее и мороженое</w:t>
            </w:r>
          </w:p>
        </w:tc>
        <w:tc>
          <w:tcPr>
            <w:tcW w:w="851" w:type="dxa"/>
            <w:tcMar>
              <w:left w:w="28" w:type="dxa"/>
              <w:right w:w="28" w:type="dxa"/>
            </w:tcMar>
            <w:vAlign w:val="center"/>
          </w:tcPr>
          <w:p w14:paraId="3972C30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4,23</w:t>
            </w:r>
          </w:p>
        </w:tc>
        <w:tc>
          <w:tcPr>
            <w:tcW w:w="709" w:type="dxa"/>
            <w:tcMar>
              <w:left w:w="28" w:type="dxa"/>
              <w:right w:w="28" w:type="dxa"/>
            </w:tcMar>
            <w:vAlign w:val="center"/>
          </w:tcPr>
          <w:p w14:paraId="62BE406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4,7</w:t>
            </w:r>
          </w:p>
        </w:tc>
        <w:tc>
          <w:tcPr>
            <w:tcW w:w="708" w:type="dxa"/>
            <w:tcMar>
              <w:left w:w="28" w:type="dxa"/>
              <w:right w:w="28" w:type="dxa"/>
            </w:tcMar>
            <w:vAlign w:val="center"/>
          </w:tcPr>
          <w:p w14:paraId="1E2424C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6,61</w:t>
            </w:r>
          </w:p>
        </w:tc>
        <w:tc>
          <w:tcPr>
            <w:tcW w:w="709" w:type="dxa"/>
            <w:tcMar>
              <w:left w:w="28" w:type="dxa"/>
              <w:right w:w="28" w:type="dxa"/>
            </w:tcMar>
            <w:vAlign w:val="center"/>
          </w:tcPr>
          <w:p w14:paraId="3AA10ED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5,82</w:t>
            </w:r>
          </w:p>
        </w:tc>
        <w:tc>
          <w:tcPr>
            <w:tcW w:w="709" w:type="dxa"/>
            <w:tcMar>
              <w:left w:w="28" w:type="dxa"/>
              <w:right w:w="28" w:type="dxa"/>
            </w:tcMar>
            <w:vAlign w:val="center"/>
          </w:tcPr>
          <w:p w14:paraId="33D7E5C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5,67</w:t>
            </w:r>
          </w:p>
        </w:tc>
        <w:tc>
          <w:tcPr>
            <w:tcW w:w="709" w:type="dxa"/>
            <w:tcMar>
              <w:left w:w="28" w:type="dxa"/>
              <w:right w:w="28" w:type="dxa"/>
            </w:tcMar>
            <w:vAlign w:val="center"/>
          </w:tcPr>
          <w:p w14:paraId="7F3080F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6,03</w:t>
            </w:r>
          </w:p>
        </w:tc>
        <w:tc>
          <w:tcPr>
            <w:tcW w:w="708" w:type="dxa"/>
            <w:tcMar>
              <w:left w:w="28" w:type="dxa"/>
              <w:right w:w="28" w:type="dxa"/>
            </w:tcMar>
            <w:vAlign w:val="center"/>
          </w:tcPr>
          <w:p w14:paraId="7E4C68D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6,33</w:t>
            </w:r>
          </w:p>
        </w:tc>
        <w:tc>
          <w:tcPr>
            <w:tcW w:w="709" w:type="dxa"/>
            <w:tcMar>
              <w:left w:w="28" w:type="dxa"/>
              <w:right w:w="28" w:type="dxa"/>
            </w:tcMar>
            <w:vAlign w:val="center"/>
          </w:tcPr>
          <w:p w14:paraId="1168BD9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5,9</w:t>
            </w:r>
          </w:p>
        </w:tc>
      </w:tr>
      <w:tr w:rsidR="002245D5" w:rsidRPr="003D7553" w14:paraId="033DF392" w14:textId="77777777" w:rsidTr="002245D5">
        <w:tc>
          <w:tcPr>
            <w:tcW w:w="3964" w:type="dxa"/>
          </w:tcPr>
          <w:p w14:paraId="2BC44546"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Тракторы</w:t>
            </w:r>
          </w:p>
        </w:tc>
        <w:tc>
          <w:tcPr>
            <w:tcW w:w="851" w:type="dxa"/>
            <w:tcMar>
              <w:left w:w="28" w:type="dxa"/>
              <w:right w:w="28" w:type="dxa"/>
            </w:tcMar>
            <w:vAlign w:val="center"/>
          </w:tcPr>
          <w:p w14:paraId="537CD29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1,64</w:t>
            </w:r>
          </w:p>
        </w:tc>
        <w:tc>
          <w:tcPr>
            <w:tcW w:w="709" w:type="dxa"/>
            <w:tcMar>
              <w:left w:w="28" w:type="dxa"/>
              <w:right w:w="28" w:type="dxa"/>
            </w:tcMar>
            <w:vAlign w:val="center"/>
          </w:tcPr>
          <w:p w14:paraId="22FAAF4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2,89</w:t>
            </w:r>
          </w:p>
        </w:tc>
        <w:tc>
          <w:tcPr>
            <w:tcW w:w="708" w:type="dxa"/>
            <w:tcMar>
              <w:left w:w="28" w:type="dxa"/>
              <w:right w:w="28" w:type="dxa"/>
            </w:tcMar>
            <w:vAlign w:val="center"/>
          </w:tcPr>
          <w:p w14:paraId="72F0523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4,3</w:t>
            </w:r>
          </w:p>
        </w:tc>
        <w:tc>
          <w:tcPr>
            <w:tcW w:w="709" w:type="dxa"/>
            <w:tcMar>
              <w:left w:w="28" w:type="dxa"/>
              <w:right w:w="28" w:type="dxa"/>
            </w:tcMar>
            <w:vAlign w:val="center"/>
          </w:tcPr>
          <w:p w14:paraId="6CAA0D5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0,56</w:t>
            </w:r>
          </w:p>
        </w:tc>
        <w:tc>
          <w:tcPr>
            <w:tcW w:w="709" w:type="dxa"/>
            <w:tcMar>
              <w:left w:w="28" w:type="dxa"/>
              <w:right w:w="28" w:type="dxa"/>
            </w:tcMar>
            <w:vAlign w:val="center"/>
          </w:tcPr>
          <w:p w14:paraId="081882B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1,18</w:t>
            </w:r>
          </w:p>
        </w:tc>
        <w:tc>
          <w:tcPr>
            <w:tcW w:w="709" w:type="dxa"/>
            <w:tcMar>
              <w:left w:w="28" w:type="dxa"/>
              <w:right w:w="28" w:type="dxa"/>
            </w:tcMar>
            <w:vAlign w:val="center"/>
          </w:tcPr>
          <w:p w14:paraId="575AB7E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3,14</w:t>
            </w:r>
          </w:p>
        </w:tc>
        <w:tc>
          <w:tcPr>
            <w:tcW w:w="708" w:type="dxa"/>
            <w:tcMar>
              <w:left w:w="28" w:type="dxa"/>
              <w:right w:w="28" w:type="dxa"/>
            </w:tcMar>
            <w:vAlign w:val="center"/>
          </w:tcPr>
          <w:p w14:paraId="379961A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2,66</w:t>
            </w:r>
          </w:p>
        </w:tc>
        <w:tc>
          <w:tcPr>
            <w:tcW w:w="709" w:type="dxa"/>
            <w:tcMar>
              <w:left w:w="28" w:type="dxa"/>
              <w:right w:w="28" w:type="dxa"/>
            </w:tcMar>
            <w:vAlign w:val="center"/>
          </w:tcPr>
          <w:p w14:paraId="43F49A7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1,67</w:t>
            </w:r>
          </w:p>
        </w:tc>
      </w:tr>
      <w:tr w:rsidR="002245D5" w:rsidRPr="003D7553" w14:paraId="6AEB7475" w14:textId="77777777" w:rsidTr="002245D5">
        <w:tc>
          <w:tcPr>
            <w:tcW w:w="3964" w:type="dxa"/>
          </w:tcPr>
          <w:p w14:paraId="755F49A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Вычислительные машины и их блоки</w:t>
            </w:r>
          </w:p>
        </w:tc>
        <w:tc>
          <w:tcPr>
            <w:tcW w:w="851" w:type="dxa"/>
            <w:tcMar>
              <w:left w:w="28" w:type="dxa"/>
              <w:right w:w="28" w:type="dxa"/>
            </w:tcMar>
            <w:vAlign w:val="center"/>
          </w:tcPr>
          <w:p w14:paraId="5E67E32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2,06</w:t>
            </w:r>
          </w:p>
        </w:tc>
        <w:tc>
          <w:tcPr>
            <w:tcW w:w="709" w:type="dxa"/>
            <w:tcMar>
              <w:left w:w="28" w:type="dxa"/>
              <w:right w:w="28" w:type="dxa"/>
            </w:tcMar>
            <w:vAlign w:val="center"/>
          </w:tcPr>
          <w:p w14:paraId="2092583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2,64</w:t>
            </w:r>
          </w:p>
        </w:tc>
        <w:tc>
          <w:tcPr>
            <w:tcW w:w="708" w:type="dxa"/>
            <w:tcMar>
              <w:left w:w="28" w:type="dxa"/>
              <w:right w:w="28" w:type="dxa"/>
            </w:tcMar>
            <w:vAlign w:val="center"/>
          </w:tcPr>
          <w:p w14:paraId="5ED3C39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3,8</w:t>
            </w:r>
          </w:p>
        </w:tc>
        <w:tc>
          <w:tcPr>
            <w:tcW w:w="709" w:type="dxa"/>
            <w:tcMar>
              <w:left w:w="28" w:type="dxa"/>
              <w:right w:w="28" w:type="dxa"/>
            </w:tcMar>
            <w:vAlign w:val="center"/>
          </w:tcPr>
          <w:p w14:paraId="071BD76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2,86</w:t>
            </w:r>
          </w:p>
        </w:tc>
        <w:tc>
          <w:tcPr>
            <w:tcW w:w="709" w:type="dxa"/>
            <w:tcMar>
              <w:left w:w="28" w:type="dxa"/>
              <w:right w:w="28" w:type="dxa"/>
            </w:tcMar>
            <w:vAlign w:val="center"/>
          </w:tcPr>
          <w:p w14:paraId="21D588A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4,82</w:t>
            </w:r>
          </w:p>
        </w:tc>
        <w:tc>
          <w:tcPr>
            <w:tcW w:w="709" w:type="dxa"/>
            <w:tcMar>
              <w:left w:w="28" w:type="dxa"/>
              <w:right w:w="28" w:type="dxa"/>
            </w:tcMar>
            <w:vAlign w:val="center"/>
          </w:tcPr>
          <w:p w14:paraId="5A09EFD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5,27</w:t>
            </w:r>
          </w:p>
        </w:tc>
        <w:tc>
          <w:tcPr>
            <w:tcW w:w="708" w:type="dxa"/>
            <w:tcMar>
              <w:left w:w="28" w:type="dxa"/>
              <w:right w:w="28" w:type="dxa"/>
            </w:tcMar>
            <w:vAlign w:val="center"/>
          </w:tcPr>
          <w:p w14:paraId="736596F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5,83</w:t>
            </w:r>
          </w:p>
        </w:tc>
        <w:tc>
          <w:tcPr>
            <w:tcW w:w="709" w:type="dxa"/>
            <w:tcMar>
              <w:left w:w="28" w:type="dxa"/>
              <w:right w:w="28" w:type="dxa"/>
            </w:tcMar>
            <w:vAlign w:val="center"/>
          </w:tcPr>
          <w:p w14:paraId="50EDE0D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4,9</w:t>
            </w:r>
          </w:p>
        </w:tc>
      </w:tr>
      <w:tr w:rsidR="002245D5" w:rsidRPr="003D7553" w14:paraId="5EADAFEC" w14:textId="77777777" w:rsidTr="002245D5">
        <w:tc>
          <w:tcPr>
            <w:tcW w:w="3964" w:type="dxa"/>
          </w:tcPr>
          <w:p w14:paraId="0B43264E"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Одежда, белье, обувь</w:t>
            </w:r>
          </w:p>
        </w:tc>
        <w:tc>
          <w:tcPr>
            <w:tcW w:w="851" w:type="dxa"/>
            <w:tcMar>
              <w:left w:w="28" w:type="dxa"/>
              <w:right w:w="28" w:type="dxa"/>
            </w:tcMar>
            <w:vAlign w:val="center"/>
          </w:tcPr>
          <w:p w14:paraId="15B5DCB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2,6</w:t>
            </w:r>
          </w:p>
        </w:tc>
        <w:tc>
          <w:tcPr>
            <w:tcW w:w="709" w:type="dxa"/>
            <w:tcMar>
              <w:left w:w="28" w:type="dxa"/>
              <w:right w:w="28" w:type="dxa"/>
            </w:tcMar>
            <w:vAlign w:val="center"/>
          </w:tcPr>
          <w:p w14:paraId="3359EFA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4,87</w:t>
            </w:r>
          </w:p>
        </w:tc>
        <w:tc>
          <w:tcPr>
            <w:tcW w:w="708" w:type="dxa"/>
            <w:tcMar>
              <w:left w:w="28" w:type="dxa"/>
              <w:right w:w="28" w:type="dxa"/>
            </w:tcMar>
            <w:vAlign w:val="center"/>
          </w:tcPr>
          <w:p w14:paraId="0E5A461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6,91</w:t>
            </w:r>
          </w:p>
        </w:tc>
        <w:tc>
          <w:tcPr>
            <w:tcW w:w="709" w:type="dxa"/>
            <w:tcMar>
              <w:left w:w="28" w:type="dxa"/>
              <w:right w:w="28" w:type="dxa"/>
            </w:tcMar>
            <w:vAlign w:val="center"/>
          </w:tcPr>
          <w:p w14:paraId="0D85EC7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5,6</w:t>
            </w:r>
          </w:p>
        </w:tc>
        <w:tc>
          <w:tcPr>
            <w:tcW w:w="709" w:type="dxa"/>
            <w:tcMar>
              <w:left w:w="28" w:type="dxa"/>
              <w:right w:w="28" w:type="dxa"/>
            </w:tcMar>
            <w:vAlign w:val="center"/>
          </w:tcPr>
          <w:p w14:paraId="2498369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8,81</w:t>
            </w:r>
          </w:p>
        </w:tc>
        <w:tc>
          <w:tcPr>
            <w:tcW w:w="709" w:type="dxa"/>
            <w:tcMar>
              <w:left w:w="28" w:type="dxa"/>
              <w:right w:w="28" w:type="dxa"/>
            </w:tcMar>
            <w:vAlign w:val="center"/>
          </w:tcPr>
          <w:p w14:paraId="7F431FB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10,26</w:t>
            </w:r>
          </w:p>
        </w:tc>
        <w:tc>
          <w:tcPr>
            <w:tcW w:w="708" w:type="dxa"/>
            <w:tcMar>
              <w:left w:w="28" w:type="dxa"/>
              <w:right w:w="28" w:type="dxa"/>
            </w:tcMar>
            <w:vAlign w:val="center"/>
          </w:tcPr>
          <w:p w14:paraId="71F01D2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11,22</w:t>
            </w:r>
          </w:p>
        </w:tc>
        <w:tc>
          <w:tcPr>
            <w:tcW w:w="709" w:type="dxa"/>
            <w:tcMar>
              <w:left w:w="28" w:type="dxa"/>
              <w:right w:w="28" w:type="dxa"/>
            </w:tcMar>
            <w:vAlign w:val="center"/>
          </w:tcPr>
          <w:p w14:paraId="1758B70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11,3</w:t>
            </w:r>
          </w:p>
        </w:tc>
      </w:tr>
      <w:tr w:rsidR="002245D5" w:rsidRPr="003D7553" w14:paraId="6C2EC0C7" w14:textId="77777777" w:rsidTr="002245D5">
        <w:tc>
          <w:tcPr>
            <w:tcW w:w="3964" w:type="dxa"/>
          </w:tcPr>
          <w:p w14:paraId="2BD8BABB"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Авиационная техника</w:t>
            </w:r>
          </w:p>
        </w:tc>
        <w:tc>
          <w:tcPr>
            <w:tcW w:w="851" w:type="dxa"/>
            <w:tcMar>
              <w:left w:w="28" w:type="dxa"/>
              <w:right w:w="28" w:type="dxa"/>
            </w:tcMar>
            <w:vAlign w:val="center"/>
          </w:tcPr>
          <w:p w14:paraId="2460E68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1,58</w:t>
            </w:r>
          </w:p>
        </w:tc>
        <w:tc>
          <w:tcPr>
            <w:tcW w:w="709" w:type="dxa"/>
            <w:tcMar>
              <w:left w:w="28" w:type="dxa"/>
              <w:right w:w="28" w:type="dxa"/>
            </w:tcMar>
            <w:vAlign w:val="center"/>
          </w:tcPr>
          <w:p w14:paraId="232690E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1,57</w:t>
            </w:r>
          </w:p>
        </w:tc>
        <w:tc>
          <w:tcPr>
            <w:tcW w:w="708" w:type="dxa"/>
            <w:tcMar>
              <w:left w:w="28" w:type="dxa"/>
              <w:right w:w="28" w:type="dxa"/>
            </w:tcMar>
            <w:vAlign w:val="center"/>
          </w:tcPr>
          <w:p w14:paraId="6BB5761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2,1</w:t>
            </w:r>
          </w:p>
        </w:tc>
        <w:tc>
          <w:tcPr>
            <w:tcW w:w="709" w:type="dxa"/>
            <w:tcMar>
              <w:left w:w="28" w:type="dxa"/>
              <w:right w:w="28" w:type="dxa"/>
            </w:tcMar>
            <w:vAlign w:val="center"/>
          </w:tcPr>
          <w:p w14:paraId="62DB775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3,2</w:t>
            </w:r>
          </w:p>
        </w:tc>
        <w:tc>
          <w:tcPr>
            <w:tcW w:w="709" w:type="dxa"/>
            <w:tcMar>
              <w:left w:w="28" w:type="dxa"/>
              <w:right w:w="28" w:type="dxa"/>
            </w:tcMar>
            <w:vAlign w:val="center"/>
          </w:tcPr>
          <w:p w14:paraId="1D2C94B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3,9</w:t>
            </w:r>
          </w:p>
        </w:tc>
        <w:tc>
          <w:tcPr>
            <w:tcW w:w="709" w:type="dxa"/>
            <w:tcMar>
              <w:left w:w="28" w:type="dxa"/>
              <w:right w:w="28" w:type="dxa"/>
            </w:tcMar>
            <w:vAlign w:val="center"/>
          </w:tcPr>
          <w:p w14:paraId="7EFAE4A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5,99</w:t>
            </w:r>
          </w:p>
        </w:tc>
        <w:tc>
          <w:tcPr>
            <w:tcW w:w="708" w:type="dxa"/>
            <w:tcMar>
              <w:left w:w="28" w:type="dxa"/>
              <w:right w:w="28" w:type="dxa"/>
            </w:tcMar>
            <w:vAlign w:val="center"/>
          </w:tcPr>
          <w:p w14:paraId="0284222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4,77</w:t>
            </w:r>
          </w:p>
        </w:tc>
        <w:tc>
          <w:tcPr>
            <w:tcW w:w="709" w:type="dxa"/>
            <w:tcMar>
              <w:left w:w="28" w:type="dxa"/>
              <w:right w:w="28" w:type="dxa"/>
            </w:tcMar>
            <w:vAlign w:val="center"/>
          </w:tcPr>
          <w:p w14:paraId="415E630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5,8</w:t>
            </w:r>
          </w:p>
        </w:tc>
      </w:tr>
      <w:tr w:rsidR="002245D5" w:rsidRPr="003D7553" w14:paraId="732E52E9" w14:textId="77777777" w:rsidTr="002245D5">
        <w:tc>
          <w:tcPr>
            <w:tcW w:w="3964" w:type="dxa"/>
          </w:tcPr>
          <w:p w14:paraId="2FFCB33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Насосы и компрессоры</w:t>
            </w:r>
          </w:p>
        </w:tc>
        <w:tc>
          <w:tcPr>
            <w:tcW w:w="851" w:type="dxa"/>
            <w:tcMar>
              <w:left w:w="28" w:type="dxa"/>
              <w:right w:w="28" w:type="dxa"/>
            </w:tcMar>
            <w:vAlign w:val="center"/>
          </w:tcPr>
          <w:p w14:paraId="490541A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1,64</w:t>
            </w:r>
          </w:p>
        </w:tc>
        <w:tc>
          <w:tcPr>
            <w:tcW w:w="709" w:type="dxa"/>
            <w:tcMar>
              <w:left w:w="28" w:type="dxa"/>
              <w:right w:w="28" w:type="dxa"/>
            </w:tcMar>
            <w:vAlign w:val="center"/>
          </w:tcPr>
          <w:p w14:paraId="4F5BB17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w:t>
            </w:r>
          </w:p>
        </w:tc>
        <w:tc>
          <w:tcPr>
            <w:tcW w:w="708" w:type="dxa"/>
            <w:tcMar>
              <w:left w:w="28" w:type="dxa"/>
              <w:right w:w="28" w:type="dxa"/>
            </w:tcMar>
            <w:vAlign w:val="center"/>
          </w:tcPr>
          <w:p w14:paraId="4C34E8C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3,2</w:t>
            </w:r>
          </w:p>
        </w:tc>
        <w:tc>
          <w:tcPr>
            <w:tcW w:w="709" w:type="dxa"/>
            <w:tcMar>
              <w:left w:w="28" w:type="dxa"/>
              <w:right w:w="28" w:type="dxa"/>
            </w:tcMar>
            <w:vAlign w:val="center"/>
          </w:tcPr>
          <w:p w14:paraId="02106B5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2,2</w:t>
            </w:r>
          </w:p>
        </w:tc>
        <w:tc>
          <w:tcPr>
            <w:tcW w:w="709" w:type="dxa"/>
            <w:tcMar>
              <w:left w:w="28" w:type="dxa"/>
              <w:right w:w="28" w:type="dxa"/>
            </w:tcMar>
            <w:vAlign w:val="center"/>
          </w:tcPr>
          <w:p w14:paraId="54717CD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3,9</w:t>
            </w:r>
          </w:p>
        </w:tc>
        <w:tc>
          <w:tcPr>
            <w:tcW w:w="709" w:type="dxa"/>
            <w:tcMar>
              <w:left w:w="28" w:type="dxa"/>
              <w:right w:w="28" w:type="dxa"/>
            </w:tcMar>
            <w:vAlign w:val="center"/>
          </w:tcPr>
          <w:p w14:paraId="0F82653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3,9</w:t>
            </w:r>
          </w:p>
        </w:tc>
        <w:tc>
          <w:tcPr>
            <w:tcW w:w="708" w:type="dxa"/>
            <w:tcMar>
              <w:left w:w="28" w:type="dxa"/>
              <w:right w:w="28" w:type="dxa"/>
            </w:tcMar>
            <w:vAlign w:val="center"/>
          </w:tcPr>
          <w:p w14:paraId="1AAF969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4,15</w:t>
            </w:r>
          </w:p>
        </w:tc>
        <w:tc>
          <w:tcPr>
            <w:tcW w:w="709" w:type="dxa"/>
            <w:tcMar>
              <w:left w:w="28" w:type="dxa"/>
              <w:right w:w="28" w:type="dxa"/>
            </w:tcMar>
            <w:vAlign w:val="center"/>
          </w:tcPr>
          <w:p w14:paraId="2F91A2D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4,65</w:t>
            </w:r>
          </w:p>
        </w:tc>
      </w:tr>
      <w:tr w:rsidR="002245D5" w:rsidRPr="003D7553" w14:paraId="3E077F75" w14:textId="77777777" w:rsidTr="002245D5">
        <w:tc>
          <w:tcPr>
            <w:tcW w:w="9776" w:type="dxa"/>
            <w:gridSpan w:val="9"/>
          </w:tcPr>
          <w:p w14:paraId="6EA4606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Импорт Китаем</w:t>
            </w:r>
          </w:p>
        </w:tc>
      </w:tr>
      <w:tr w:rsidR="002245D5" w:rsidRPr="003D7553" w14:paraId="787CD211" w14:textId="77777777" w:rsidTr="002245D5">
        <w:tc>
          <w:tcPr>
            <w:tcW w:w="3964" w:type="dxa"/>
          </w:tcPr>
          <w:p w14:paraId="1AF403F2"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Нефть и нефтепродукты</w:t>
            </w:r>
          </w:p>
        </w:tc>
        <w:tc>
          <w:tcPr>
            <w:tcW w:w="851" w:type="dxa"/>
            <w:tcMar>
              <w:left w:w="28" w:type="dxa"/>
              <w:right w:w="28" w:type="dxa"/>
            </w:tcMar>
            <w:vAlign w:val="center"/>
          </w:tcPr>
          <w:p w14:paraId="1CCE2F9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76,8</w:t>
            </w:r>
          </w:p>
        </w:tc>
        <w:tc>
          <w:tcPr>
            <w:tcW w:w="709" w:type="dxa"/>
            <w:tcMar>
              <w:left w:w="28" w:type="dxa"/>
              <w:right w:w="28" w:type="dxa"/>
            </w:tcMar>
            <w:vAlign w:val="center"/>
          </w:tcPr>
          <w:p w14:paraId="1ED3DA1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96,2</w:t>
            </w:r>
          </w:p>
        </w:tc>
        <w:tc>
          <w:tcPr>
            <w:tcW w:w="708" w:type="dxa"/>
            <w:tcMar>
              <w:left w:w="28" w:type="dxa"/>
              <w:right w:w="28" w:type="dxa"/>
            </w:tcMar>
            <w:vAlign w:val="center"/>
          </w:tcPr>
          <w:p w14:paraId="70B7B6D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159,4</w:t>
            </w:r>
          </w:p>
        </w:tc>
        <w:tc>
          <w:tcPr>
            <w:tcW w:w="709" w:type="dxa"/>
            <w:tcMar>
              <w:left w:w="28" w:type="dxa"/>
              <w:right w:w="28" w:type="dxa"/>
            </w:tcMar>
            <w:vAlign w:val="center"/>
          </w:tcPr>
          <w:p w14:paraId="2E4A1DB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106,2</w:t>
            </w:r>
          </w:p>
        </w:tc>
        <w:tc>
          <w:tcPr>
            <w:tcW w:w="709" w:type="dxa"/>
            <w:tcMar>
              <w:left w:w="28" w:type="dxa"/>
              <w:right w:w="28" w:type="dxa"/>
            </w:tcMar>
            <w:vAlign w:val="center"/>
          </w:tcPr>
          <w:p w14:paraId="406564B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157,7</w:t>
            </w:r>
          </w:p>
        </w:tc>
        <w:tc>
          <w:tcPr>
            <w:tcW w:w="709" w:type="dxa"/>
            <w:tcMar>
              <w:left w:w="28" w:type="dxa"/>
              <w:right w:w="28" w:type="dxa"/>
            </w:tcMar>
            <w:vAlign w:val="center"/>
          </w:tcPr>
          <w:p w14:paraId="26955BF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229,4</w:t>
            </w:r>
          </w:p>
        </w:tc>
        <w:tc>
          <w:tcPr>
            <w:tcW w:w="708" w:type="dxa"/>
            <w:tcMar>
              <w:left w:w="28" w:type="dxa"/>
              <w:right w:w="28" w:type="dxa"/>
            </w:tcMar>
            <w:vAlign w:val="center"/>
          </w:tcPr>
          <w:p w14:paraId="1A0B057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253,9</w:t>
            </w:r>
          </w:p>
        </w:tc>
        <w:tc>
          <w:tcPr>
            <w:tcW w:w="709" w:type="dxa"/>
            <w:tcMar>
              <w:left w:w="28" w:type="dxa"/>
              <w:right w:w="28" w:type="dxa"/>
            </w:tcMar>
            <w:vAlign w:val="center"/>
          </w:tcPr>
          <w:p w14:paraId="7E2F85C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251,7</w:t>
            </w:r>
          </w:p>
        </w:tc>
      </w:tr>
      <w:tr w:rsidR="002245D5" w:rsidRPr="003D7553" w14:paraId="0324D513" w14:textId="77777777" w:rsidTr="002245D5">
        <w:tc>
          <w:tcPr>
            <w:tcW w:w="3964" w:type="dxa"/>
          </w:tcPr>
          <w:p w14:paraId="347FDD03"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Руда железная и медная</w:t>
            </w:r>
          </w:p>
        </w:tc>
        <w:tc>
          <w:tcPr>
            <w:tcW w:w="851" w:type="dxa"/>
            <w:tcMar>
              <w:left w:w="28" w:type="dxa"/>
              <w:right w:w="28" w:type="dxa"/>
            </w:tcMar>
            <w:vAlign w:val="center"/>
          </w:tcPr>
          <w:p w14:paraId="41C0AA5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27</w:t>
            </w:r>
          </w:p>
        </w:tc>
        <w:tc>
          <w:tcPr>
            <w:tcW w:w="709" w:type="dxa"/>
            <w:tcMar>
              <w:left w:w="28" w:type="dxa"/>
              <w:right w:w="28" w:type="dxa"/>
            </w:tcMar>
            <w:vAlign w:val="center"/>
          </w:tcPr>
          <w:p w14:paraId="0FB93F1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42,6</w:t>
            </w:r>
          </w:p>
        </w:tc>
        <w:tc>
          <w:tcPr>
            <w:tcW w:w="708" w:type="dxa"/>
            <w:tcMar>
              <w:left w:w="28" w:type="dxa"/>
              <w:right w:w="28" w:type="dxa"/>
            </w:tcMar>
            <w:vAlign w:val="center"/>
          </w:tcPr>
          <w:p w14:paraId="2A4CBA1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71</w:t>
            </w:r>
          </w:p>
        </w:tc>
        <w:tc>
          <w:tcPr>
            <w:tcW w:w="709" w:type="dxa"/>
            <w:tcMar>
              <w:left w:w="28" w:type="dxa"/>
              <w:right w:w="28" w:type="dxa"/>
            </w:tcMar>
            <w:vAlign w:val="center"/>
          </w:tcPr>
          <w:p w14:paraId="11F4DA3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58,6</w:t>
            </w:r>
          </w:p>
        </w:tc>
        <w:tc>
          <w:tcPr>
            <w:tcW w:w="709" w:type="dxa"/>
            <w:tcMar>
              <w:left w:w="28" w:type="dxa"/>
              <w:right w:w="28" w:type="dxa"/>
            </w:tcMar>
            <w:vAlign w:val="center"/>
          </w:tcPr>
          <w:p w14:paraId="1D33038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92,1</w:t>
            </w:r>
          </w:p>
        </w:tc>
        <w:tc>
          <w:tcPr>
            <w:tcW w:w="709" w:type="dxa"/>
            <w:tcMar>
              <w:left w:w="28" w:type="dxa"/>
              <w:right w:w="28" w:type="dxa"/>
            </w:tcMar>
            <w:vAlign w:val="center"/>
          </w:tcPr>
          <w:p w14:paraId="210E7F8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127,9</w:t>
            </w:r>
          </w:p>
        </w:tc>
        <w:tc>
          <w:tcPr>
            <w:tcW w:w="708" w:type="dxa"/>
            <w:tcMar>
              <w:left w:w="28" w:type="dxa"/>
              <w:right w:w="28" w:type="dxa"/>
            </w:tcMar>
            <w:vAlign w:val="center"/>
          </w:tcPr>
          <w:p w14:paraId="55163CC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112,7</w:t>
            </w:r>
          </w:p>
        </w:tc>
        <w:tc>
          <w:tcPr>
            <w:tcW w:w="709" w:type="dxa"/>
            <w:tcMar>
              <w:left w:w="28" w:type="dxa"/>
              <w:right w:w="28" w:type="dxa"/>
            </w:tcMar>
            <w:vAlign w:val="center"/>
          </w:tcPr>
          <w:p w14:paraId="5ACA890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125,7</w:t>
            </w:r>
          </w:p>
        </w:tc>
      </w:tr>
      <w:tr w:rsidR="002245D5" w:rsidRPr="003D7553" w14:paraId="0AD6E9CA" w14:textId="77777777" w:rsidTr="002245D5">
        <w:tc>
          <w:tcPr>
            <w:tcW w:w="3964" w:type="dxa"/>
          </w:tcPr>
          <w:p w14:paraId="09F039B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Автомобили и части к ним</w:t>
            </w:r>
          </w:p>
        </w:tc>
        <w:tc>
          <w:tcPr>
            <w:tcW w:w="851" w:type="dxa"/>
            <w:tcMar>
              <w:left w:w="28" w:type="dxa"/>
              <w:right w:w="28" w:type="dxa"/>
            </w:tcMar>
            <w:vAlign w:val="center"/>
          </w:tcPr>
          <w:p w14:paraId="652A6E7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16,5</w:t>
            </w:r>
          </w:p>
        </w:tc>
        <w:tc>
          <w:tcPr>
            <w:tcW w:w="709" w:type="dxa"/>
            <w:tcMar>
              <w:left w:w="28" w:type="dxa"/>
              <w:right w:w="28" w:type="dxa"/>
            </w:tcMar>
            <w:vAlign w:val="center"/>
          </w:tcPr>
          <w:p w14:paraId="30098F8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21,5</w:t>
            </w:r>
          </w:p>
        </w:tc>
        <w:tc>
          <w:tcPr>
            <w:tcW w:w="708" w:type="dxa"/>
            <w:tcMar>
              <w:left w:w="28" w:type="dxa"/>
              <w:right w:w="28" w:type="dxa"/>
            </w:tcMar>
            <w:vAlign w:val="center"/>
          </w:tcPr>
          <w:p w14:paraId="361C4D7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26,2</w:t>
            </w:r>
          </w:p>
        </w:tc>
        <w:tc>
          <w:tcPr>
            <w:tcW w:w="709" w:type="dxa"/>
            <w:tcMar>
              <w:left w:w="28" w:type="dxa"/>
              <w:right w:w="28" w:type="dxa"/>
            </w:tcMar>
            <w:vAlign w:val="center"/>
          </w:tcPr>
          <w:p w14:paraId="70354EB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28,2</w:t>
            </w:r>
          </w:p>
        </w:tc>
        <w:tc>
          <w:tcPr>
            <w:tcW w:w="709" w:type="dxa"/>
            <w:tcMar>
              <w:left w:w="28" w:type="dxa"/>
              <w:right w:w="28" w:type="dxa"/>
            </w:tcMar>
            <w:vAlign w:val="center"/>
          </w:tcPr>
          <w:p w14:paraId="38C1222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49,2</w:t>
            </w:r>
          </w:p>
        </w:tc>
        <w:tc>
          <w:tcPr>
            <w:tcW w:w="709" w:type="dxa"/>
            <w:tcMar>
              <w:left w:w="28" w:type="dxa"/>
              <w:right w:w="28" w:type="dxa"/>
            </w:tcMar>
            <w:vAlign w:val="center"/>
          </w:tcPr>
          <w:p w14:paraId="4316A2D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65,2</w:t>
            </w:r>
          </w:p>
        </w:tc>
        <w:tc>
          <w:tcPr>
            <w:tcW w:w="708" w:type="dxa"/>
            <w:tcMar>
              <w:left w:w="28" w:type="dxa"/>
              <w:right w:w="28" w:type="dxa"/>
            </w:tcMar>
            <w:vAlign w:val="center"/>
          </w:tcPr>
          <w:p w14:paraId="7A96C73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70,5</w:t>
            </w:r>
          </w:p>
        </w:tc>
        <w:tc>
          <w:tcPr>
            <w:tcW w:w="709" w:type="dxa"/>
            <w:tcMar>
              <w:left w:w="28" w:type="dxa"/>
              <w:right w:w="28" w:type="dxa"/>
            </w:tcMar>
            <w:vAlign w:val="center"/>
          </w:tcPr>
          <w:p w14:paraId="17709378"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74,1</w:t>
            </w:r>
          </w:p>
        </w:tc>
      </w:tr>
      <w:tr w:rsidR="002245D5" w:rsidRPr="003D7553" w14:paraId="6F9911AF" w14:textId="77777777" w:rsidTr="002245D5">
        <w:tc>
          <w:tcPr>
            <w:tcW w:w="3964" w:type="dxa"/>
          </w:tcPr>
          <w:p w14:paraId="1F337686"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Вычислительные машины и их элементы</w:t>
            </w:r>
          </w:p>
        </w:tc>
        <w:tc>
          <w:tcPr>
            <w:tcW w:w="851" w:type="dxa"/>
            <w:tcMar>
              <w:left w:w="28" w:type="dxa"/>
              <w:right w:w="28" w:type="dxa"/>
            </w:tcMar>
            <w:vAlign w:val="center"/>
          </w:tcPr>
          <w:p w14:paraId="43999590"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19,9</w:t>
            </w:r>
          </w:p>
        </w:tc>
        <w:tc>
          <w:tcPr>
            <w:tcW w:w="709" w:type="dxa"/>
            <w:tcMar>
              <w:left w:w="28" w:type="dxa"/>
              <w:right w:w="28" w:type="dxa"/>
            </w:tcMar>
            <w:vAlign w:val="center"/>
          </w:tcPr>
          <w:p w14:paraId="18ACAF0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22,4</w:t>
            </w:r>
          </w:p>
        </w:tc>
        <w:tc>
          <w:tcPr>
            <w:tcW w:w="708" w:type="dxa"/>
            <w:tcMar>
              <w:left w:w="28" w:type="dxa"/>
              <w:right w:w="28" w:type="dxa"/>
            </w:tcMar>
            <w:vAlign w:val="center"/>
          </w:tcPr>
          <w:p w14:paraId="32F1D91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25,4</w:t>
            </w:r>
          </w:p>
        </w:tc>
        <w:tc>
          <w:tcPr>
            <w:tcW w:w="709" w:type="dxa"/>
            <w:tcMar>
              <w:left w:w="28" w:type="dxa"/>
              <w:right w:w="28" w:type="dxa"/>
            </w:tcMar>
            <w:vAlign w:val="center"/>
          </w:tcPr>
          <w:p w14:paraId="10D272B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23,8</w:t>
            </w:r>
          </w:p>
        </w:tc>
        <w:tc>
          <w:tcPr>
            <w:tcW w:w="709" w:type="dxa"/>
            <w:tcMar>
              <w:left w:w="28" w:type="dxa"/>
              <w:right w:w="28" w:type="dxa"/>
            </w:tcMar>
            <w:vAlign w:val="center"/>
          </w:tcPr>
          <w:p w14:paraId="039CB56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29,2</w:t>
            </w:r>
          </w:p>
        </w:tc>
        <w:tc>
          <w:tcPr>
            <w:tcW w:w="709" w:type="dxa"/>
            <w:tcMar>
              <w:left w:w="28" w:type="dxa"/>
              <w:right w:w="28" w:type="dxa"/>
            </w:tcMar>
            <w:vAlign w:val="center"/>
          </w:tcPr>
          <w:p w14:paraId="0D34966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31,7</w:t>
            </w:r>
          </w:p>
        </w:tc>
        <w:tc>
          <w:tcPr>
            <w:tcW w:w="708" w:type="dxa"/>
            <w:tcMar>
              <w:left w:w="28" w:type="dxa"/>
              <w:right w:w="28" w:type="dxa"/>
            </w:tcMar>
            <w:vAlign w:val="center"/>
          </w:tcPr>
          <w:p w14:paraId="0F9C4A12"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36,9</w:t>
            </w:r>
          </w:p>
        </w:tc>
        <w:tc>
          <w:tcPr>
            <w:tcW w:w="709" w:type="dxa"/>
            <w:tcMar>
              <w:left w:w="28" w:type="dxa"/>
              <w:right w:w="28" w:type="dxa"/>
            </w:tcMar>
            <w:vAlign w:val="center"/>
          </w:tcPr>
          <w:p w14:paraId="0C3F894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30,8</w:t>
            </w:r>
          </w:p>
        </w:tc>
      </w:tr>
      <w:tr w:rsidR="002245D5" w:rsidRPr="003D7553" w14:paraId="31E29C81" w14:textId="77777777" w:rsidTr="002245D5">
        <w:tc>
          <w:tcPr>
            <w:tcW w:w="3964" w:type="dxa"/>
          </w:tcPr>
          <w:p w14:paraId="7B19543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Соя</w:t>
            </w:r>
          </w:p>
        </w:tc>
        <w:tc>
          <w:tcPr>
            <w:tcW w:w="851" w:type="dxa"/>
            <w:tcMar>
              <w:left w:w="28" w:type="dxa"/>
              <w:right w:w="28" w:type="dxa"/>
            </w:tcMar>
            <w:vAlign w:val="center"/>
          </w:tcPr>
          <w:p w14:paraId="7E7FE0C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7,5</w:t>
            </w:r>
          </w:p>
        </w:tc>
        <w:tc>
          <w:tcPr>
            <w:tcW w:w="709" w:type="dxa"/>
            <w:tcMar>
              <w:left w:w="28" w:type="dxa"/>
              <w:right w:w="28" w:type="dxa"/>
            </w:tcMar>
            <w:vAlign w:val="center"/>
          </w:tcPr>
          <w:p w14:paraId="5380247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11,5</w:t>
            </w:r>
          </w:p>
        </w:tc>
        <w:tc>
          <w:tcPr>
            <w:tcW w:w="708" w:type="dxa"/>
            <w:tcMar>
              <w:left w:w="28" w:type="dxa"/>
              <w:right w:w="28" w:type="dxa"/>
            </w:tcMar>
            <w:vAlign w:val="center"/>
          </w:tcPr>
          <w:p w14:paraId="4FD0AD5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21,8</w:t>
            </w:r>
          </w:p>
        </w:tc>
        <w:tc>
          <w:tcPr>
            <w:tcW w:w="709" w:type="dxa"/>
            <w:tcMar>
              <w:left w:w="28" w:type="dxa"/>
              <w:right w:w="28" w:type="dxa"/>
            </w:tcMar>
            <w:vAlign w:val="center"/>
          </w:tcPr>
          <w:p w14:paraId="1D816C1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18,8</w:t>
            </w:r>
          </w:p>
        </w:tc>
        <w:tc>
          <w:tcPr>
            <w:tcW w:w="709" w:type="dxa"/>
            <w:tcMar>
              <w:left w:w="28" w:type="dxa"/>
              <w:right w:w="28" w:type="dxa"/>
            </w:tcMar>
            <w:vAlign w:val="center"/>
          </w:tcPr>
          <w:p w14:paraId="0F1F71F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25,1</w:t>
            </w:r>
          </w:p>
        </w:tc>
        <w:tc>
          <w:tcPr>
            <w:tcW w:w="709" w:type="dxa"/>
            <w:tcMar>
              <w:left w:w="28" w:type="dxa"/>
              <w:right w:w="28" w:type="dxa"/>
            </w:tcMar>
            <w:vAlign w:val="center"/>
          </w:tcPr>
          <w:p w14:paraId="6F56BB5B"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29,8</w:t>
            </w:r>
          </w:p>
        </w:tc>
        <w:tc>
          <w:tcPr>
            <w:tcW w:w="708" w:type="dxa"/>
            <w:tcMar>
              <w:left w:w="28" w:type="dxa"/>
              <w:right w:w="28" w:type="dxa"/>
            </w:tcMar>
            <w:vAlign w:val="center"/>
          </w:tcPr>
          <w:p w14:paraId="17032B2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35,0</w:t>
            </w:r>
          </w:p>
        </w:tc>
        <w:tc>
          <w:tcPr>
            <w:tcW w:w="709" w:type="dxa"/>
            <w:tcMar>
              <w:left w:w="28" w:type="dxa"/>
              <w:right w:w="28" w:type="dxa"/>
            </w:tcMar>
            <w:vAlign w:val="center"/>
          </w:tcPr>
          <w:p w14:paraId="388EAD5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38,0</w:t>
            </w:r>
          </w:p>
        </w:tc>
      </w:tr>
    </w:tbl>
    <w:p w14:paraId="33DC25E0" w14:textId="77777777" w:rsidR="002245D5" w:rsidRPr="003D7553" w:rsidRDefault="002245D5" w:rsidP="002245D5">
      <w:pPr>
        <w:spacing w:line="240" w:lineRule="auto"/>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Источник [4]</w:t>
      </w:r>
    </w:p>
    <w:p w14:paraId="5E4BCD8C"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 общем объеме российского импорта машины и оборудование (их доля выросла с 51,6 % до 56 %). Продукция химической промышленности составила 16,6 % импорта в 2006 г. и 13,8 % в 2008 г. Доля продовольствия в российском импорте упала с 15,7 % в 2006 г. до 12,9 % в 2008 г. В 2009 г. ввиду наступления мирового финансового кризиса импорт РФ впервые с начала рассматриваемого периода сократился на 37,3 % по сравнению с 2008 г., составив 167,4 млрд. долл. США. Это снижение произошло за счет падение физического объема ввозимых товаров, в то время как цены на них оставались стабильными. В 2010 г. объем импорта составил уже 136,8 % от уровня 2009 г. за счет реального увеличения поставок. С 2010 по 2012 гг., удельный вес машин и оборудования в импорте повышался. В 2009 г. по сравнению с 2008 г. Резко выросла доля продовольствия в составе импорта (+4,2 %) [2].</w:t>
      </w:r>
    </w:p>
    <w:p w14:paraId="575A6386"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Между Россией и Китаем за последние десятилетия сложилась специфическая модель отношений, в которых Россия выполняет роль поставщика сырья и продукции незначительной степени переработки, в то время как Китай поставляет в Россию готовую продукцию, причем не только потребительские товары (хотя их большинство), но и машины, оборудование. Данное соотношение в торговле двух наших стран считается нерациональным, хотя и отражает общероссийские тенденции. По мнению ряда специалистов, даже при финансировании инвестиционных проектов в России, Китай заинтересован  только лишь в сотрудничестве в отношении сырья. Китайские специалисты отмечают: «Россия является партнером Китая с огромными потенциальными возможностями» [4].</w:t>
      </w:r>
    </w:p>
    <w:p w14:paraId="7F4956B1" w14:textId="77777777" w:rsidR="002245D5" w:rsidRPr="003D7553" w:rsidRDefault="002245D5" w:rsidP="002245D5">
      <w:pPr>
        <w:spacing w:line="240" w:lineRule="auto"/>
        <w:jc w:val="right"/>
        <w:rPr>
          <w:rFonts w:ascii="Times New Roman" w:hAnsi="Times New Roman" w:cs="Times New Roman"/>
          <w:i/>
          <w:color w:val="000000" w:themeColor="text1"/>
          <w:sz w:val="24"/>
          <w:szCs w:val="24"/>
        </w:rPr>
      </w:pPr>
      <w:r w:rsidRPr="003D7553">
        <w:rPr>
          <w:rFonts w:ascii="Times New Roman" w:hAnsi="Times New Roman" w:cs="Times New Roman"/>
          <w:i/>
          <w:color w:val="000000" w:themeColor="text1"/>
          <w:sz w:val="24"/>
          <w:szCs w:val="24"/>
        </w:rPr>
        <w:t>Таблица 3</w:t>
      </w:r>
    </w:p>
    <w:p w14:paraId="1A59E6C6" w14:textId="77777777" w:rsidR="002245D5" w:rsidRPr="003D7553" w:rsidRDefault="002245D5" w:rsidP="002245D5">
      <w:pPr>
        <w:spacing w:line="240" w:lineRule="auto"/>
        <w:jc w:val="center"/>
        <w:rPr>
          <w:rFonts w:ascii="Times New Roman" w:hAnsi="Times New Roman" w:cs="Times New Roman"/>
          <w:b/>
          <w:color w:val="000000" w:themeColor="text1"/>
          <w:sz w:val="24"/>
          <w:szCs w:val="24"/>
        </w:rPr>
      </w:pPr>
      <w:r w:rsidRPr="003D7553">
        <w:rPr>
          <w:rFonts w:ascii="Times New Roman" w:hAnsi="Times New Roman" w:cs="Times New Roman"/>
          <w:b/>
          <w:color w:val="000000" w:themeColor="text1"/>
          <w:sz w:val="24"/>
          <w:szCs w:val="24"/>
        </w:rPr>
        <w:t>Основные виды экспортируемой продукции из России в Китай (тыс. долл. США)</w:t>
      </w:r>
    </w:p>
    <w:tbl>
      <w:tblPr>
        <w:tblStyle w:val="a3"/>
        <w:tblW w:w="0" w:type="auto"/>
        <w:tblLook w:val="04A0" w:firstRow="1" w:lastRow="0" w:firstColumn="1" w:lastColumn="0" w:noHBand="0" w:noVBand="1"/>
      </w:tblPr>
      <w:tblGrid>
        <w:gridCol w:w="699"/>
        <w:gridCol w:w="3516"/>
        <w:gridCol w:w="1416"/>
        <w:gridCol w:w="1416"/>
        <w:gridCol w:w="1345"/>
        <w:gridCol w:w="1417"/>
      </w:tblGrid>
      <w:tr w:rsidR="002245D5" w:rsidRPr="003D7553" w14:paraId="14180A54" w14:textId="77777777" w:rsidTr="002245D5">
        <w:tc>
          <w:tcPr>
            <w:tcW w:w="699" w:type="dxa"/>
            <w:vMerge w:val="restart"/>
            <w:vAlign w:val="center"/>
          </w:tcPr>
          <w:p w14:paraId="259BD149"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ТН</w:t>
            </w:r>
          </w:p>
          <w:p w14:paraId="1719962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ВЭД</w:t>
            </w:r>
          </w:p>
        </w:tc>
        <w:tc>
          <w:tcPr>
            <w:tcW w:w="3516" w:type="dxa"/>
            <w:vMerge w:val="restart"/>
            <w:vAlign w:val="center"/>
          </w:tcPr>
          <w:p w14:paraId="582350A1"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Продукция</w:t>
            </w:r>
          </w:p>
        </w:tc>
        <w:tc>
          <w:tcPr>
            <w:tcW w:w="2832" w:type="dxa"/>
            <w:gridSpan w:val="2"/>
            <w:vAlign w:val="center"/>
          </w:tcPr>
          <w:p w14:paraId="3A97655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Год</w:t>
            </w:r>
          </w:p>
        </w:tc>
        <w:tc>
          <w:tcPr>
            <w:tcW w:w="1283" w:type="dxa"/>
            <w:vMerge w:val="restart"/>
            <w:vAlign w:val="center"/>
          </w:tcPr>
          <w:p w14:paraId="25278BFA"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lang w:val="en-US"/>
              </w:rPr>
              <w:t>Изменения за год</w:t>
            </w:r>
            <w:r w:rsidRPr="003D7553">
              <w:rPr>
                <w:rFonts w:ascii="Times New Roman" w:hAnsi="Times New Roman" w:cs="Times New Roman"/>
                <w:color w:val="000000" w:themeColor="text1"/>
                <w:sz w:val="24"/>
                <w:szCs w:val="24"/>
              </w:rPr>
              <w:t>, %</w:t>
            </w:r>
          </w:p>
        </w:tc>
        <w:tc>
          <w:tcPr>
            <w:tcW w:w="1417" w:type="dxa"/>
            <w:vMerge w:val="restart"/>
            <w:vAlign w:val="center"/>
          </w:tcPr>
          <w:p w14:paraId="795F84CC"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lang w:val="en-US"/>
              </w:rPr>
              <w:t>Дол</w:t>
            </w:r>
            <w:r w:rsidRPr="003D7553">
              <w:rPr>
                <w:rFonts w:ascii="Times New Roman" w:hAnsi="Times New Roman" w:cs="Times New Roman"/>
                <w:color w:val="000000" w:themeColor="text1"/>
                <w:sz w:val="24"/>
                <w:szCs w:val="24"/>
              </w:rPr>
              <w:t>я</w:t>
            </w:r>
            <w:r w:rsidRPr="003D7553">
              <w:rPr>
                <w:rFonts w:ascii="Times New Roman" w:hAnsi="Times New Roman" w:cs="Times New Roman"/>
                <w:color w:val="000000" w:themeColor="text1"/>
                <w:sz w:val="24"/>
                <w:szCs w:val="24"/>
                <w:lang w:val="en-US"/>
              </w:rPr>
              <w:t xml:space="preserve"> в структуре экспорта</w:t>
            </w:r>
            <w:r w:rsidRPr="003D7553">
              <w:rPr>
                <w:rFonts w:ascii="Times New Roman" w:hAnsi="Times New Roman" w:cs="Times New Roman"/>
                <w:color w:val="000000" w:themeColor="text1"/>
                <w:sz w:val="24"/>
                <w:szCs w:val="24"/>
              </w:rPr>
              <w:t>, %</w:t>
            </w:r>
          </w:p>
        </w:tc>
      </w:tr>
      <w:tr w:rsidR="002245D5" w:rsidRPr="003D7553" w14:paraId="6B449DD0" w14:textId="77777777" w:rsidTr="002245D5">
        <w:tc>
          <w:tcPr>
            <w:tcW w:w="699" w:type="dxa"/>
            <w:vMerge/>
          </w:tcPr>
          <w:p w14:paraId="0C8FE7CE" w14:textId="77777777" w:rsidR="002245D5" w:rsidRPr="003D7553" w:rsidRDefault="002245D5" w:rsidP="002245D5">
            <w:pPr>
              <w:jc w:val="both"/>
              <w:rPr>
                <w:rFonts w:ascii="Times New Roman" w:hAnsi="Times New Roman" w:cs="Times New Roman"/>
                <w:color w:val="000000" w:themeColor="text1"/>
                <w:sz w:val="24"/>
                <w:szCs w:val="24"/>
                <w:lang w:val="en-US"/>
              </w:rPr>
            </w:pPr>
          </w:p>
        </w:tc>
        <w:tc>
          <w:tcPr>
            <w:tcW w:w="3516" w:type="dxa"/>
            <w:vMerge/>
          </w:tcPr>
          <w:p w14:paraId="41004F19" w14:textId="77777777" w:rsidR="002245D5" w:rsidRPr="003D7553" w:rsidRDefault="002245D5" w:rsidP="002245D5">
            <w:pPr>
              <w:jc w:val="both"/>
              <w:rPr>
                <w:rFonts w:ascii="Times New Roman" w:hAnsi="Times New Roman" w:cs="Times New Roman"/>
                <w:color w:val="000000" w:themeColor="text1"/>
                <w:sz w:val="24"/>
                <w:szCs w:val="24"/>
                <w:lang w:val="en-US"/>
              </w:rPr>
            </w:pPr>
          </w:p>
        </w:tc>
        <w:tc>
          <w:tcPr>
            <w:tcW w:w="1416" w:type="dxa"/>
          </w:tcPr>
          <w:p w14:paraId="0CC047A7"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2014 (тыс. долл. США)</w:t>
            </w:r>
          </w:p>
        </w:tc>
        <w:tc>
          <w:tcPr>
            <w:tcW w:w="1416" w:type="dxa"/>
          </w:tcPr>
          <w:p w14:paraId="4FB8BFEE"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2015 (тыс. долл. США)</w:t>
            </w:r>
          </w:p>
        </w:tc>
        <w:tc>
          <w:tcPr>
            <w:tcW w:w="1283" w:type="dxa"/>
            <w:vMerge/>
          </w:tcPr>
          <w:p w14:paraId="67C0C651" w14:textId="77777777" w:rsidR="002245D5" w:rsidRPr="003D7553" w:rsidRDefault="002245D5" w:rsidP="002245D5">
            <w:pPr>
              <w:jc w:val="both"/>
              <w:rPr>
                <w:rFonts w:ascii="Times New Roman" w:hAnsi="Times New Roman" w:cs="Times New Roman"/>
                <w:color w:val="000000" w:themeColor="text1"/>
                <w:sz w:val="24"/>
                <w:szCs w:val="24"/>
              </w:rPr>
            </w:pPr>
          </w:p>
        </w:tc>
        <w:tc>
          <w:tcPr>
            <w:tcW w:w="1417" w:type="dxa"/>
            <w:vMerge/>
          </w:tcPr>
          <w:p w14:paraId="308D56CC" w14:textId="77777777" w:rsidR="002245D5" w:rsidRPr="003D7553" w:rsidRDefault="002245D5" w:rsidP="002245D5">
            <w:pPr>
              <w:jc w:val="both"/>
              <w:rPr>
                <w:rFonts w:ascii="Times New Roman" w:hAnsi="Times New Roman" w:cs="Times New Roman"/>
                <w:color w:val="000000" w:themeColor="text1"/>
                <w:sz w:val="24"/>
                <w:szCs w:val="24"/>
              </w:rPr>
            </w:pPr>
          </w:p>
        </w:tc>
      </w:tr>
      <w:tr w:rsidR="00F025EC" w:rsidRPr="003D7553" w14:paraId="786FC2FB" w14:textId="77777777" w:rsidTr="002245D5">
        <w:tc>
          <w:tcPr>
            <w:tcW w:w="699" w:type="dxa"/>
          </w:tcPr>
          <w:p w14:paraId="67F78040"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27</w:t>
            </w:r>
          </w:p>
        </w:tc>
        <w:tc>
          <w:tcPr>
            <w:tcW w:w="3516" w:type="dxa"/>
          </w:tcPr>
          <w:p w14:paraId="4995F9AF"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Топливо минеральное, нефть и продукты их перегонки; битуминозные вещества; воски минеральные</w:t>
            </w:r>
          </w:p>
        </w:tc>
        <w:tc>
          <w:tcPr>
            <w:tcW w:w="1416" w:type="dxa"/>
            <w:vAlign w:val="center"/>
          </w:tcPr>
          <w:p w14:paraId="67572C4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$27,754,212</w:t>
            </w:r>
          </w:p>
        </w:tc>
        <w:tc>
          <w:tcPr>
            <w:tcW w:w="1416" w:type="dxa"/>
            <w:vAlign w:val="center"/>
          </w:tcPr>
          <w:p w14:paraId="763250E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$17,784,496</w:t>
            </w:r>
          </w:p>
        </w:tc>
        <w:tc>
          <w:tcPr>
            <w:tcW w:w="1283" w:type="dxa"/>
            <w:vAlign w:val="center"/>
          </w:tcPr>
          <w:p w14:paraId="2B1BC48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-36</w:t>
            </w:r>
          </w:p>
        </w:tc>
        <w:tc>
          <w:tcPr>
            <w:tcW w:w="1417" w:type="dxa"/>
            <w:vAlign w:val="center"/>
          </w:tcPr>
          <w:p w14:paraId="2E5122AC"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-65</w:t>
            </w:r>
          </w:p>
        </w:tc>
      </w:tr>
      <w:tr w:rsidR="00F025EC" w:rsidRPr="003D7553" w14:paraId="60E1BF15" w14:textId="77777777" w:rsidTr="002245D5">
        <w:tc>
          <w:tcPr>
            <w:tcW w:w="699" w:type="dxa"/>
          </w:tcPr>
          <w:p w14:paraId="64397A95"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44</w:t>
            </w:r>
          </w:p>
        </w:tc>
        <w:tc>
          <w:tcPr>
            <w:tcW w:w="3516" w:type="dxa"/>
          </w:tcPr>
          <w:p w14:paraId="0C1B8FBF"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Древесина и изделия из нее; древесный уголь</w:t>
            </w:r>
          </w:p>
        </w:tc>
        <w:tc>
          <w:tcPr>
            <w:tcW w:w="1416" w:type="dxa"/>
            <w:vAlign w:val="center"/>
          </w:tcPr>
          <w:p w14:paraId="1E7C4F9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$2,510,419</w:t>
            </w:r>
          </w:p>
        </w:tc>
        <w:tc>
          <w:tcPr>
            <w:tcW w:w="1416" w:type="dxa"/>
            <w:vAlign w:val="center"/>
          </w:tcPr>
          <w:p w14:paraId="48FA751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$2,177,357</w:t>
            </w:r>
          </w:p>
        </w:tc>
        <w:tc>
          <w:tcPr>
            <w:tcW w:w="1283" w:type="dxa"/>
            <w:vAlign w:val="center"/>
          </w:tcPr>
          <w:p w14:paraId="18C5D181"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-13</w:t>
            </w:r>
          </w:p>
        </w:tc>
        <w:tc>
          <w:tcPr>
            <w:tcW w:w="1417" w:type="dxa"/>
            <w:vAlign w:val="center"/>
          </w:tcPr>
          <w:p w14:paraId="49832D11"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lang w:val="en-US"/>
              </w:rPr>
              <w:t>8</w:t>
            </w:r>
          </w:p>
        </w:tc>
      </w:tr>
      <w:tr w:rsidR="00F025EC" w:rsidRPr="003D7553" w14:paraId="15A2552C" w14:textId="77777777" w:rsidTr="002245D5">
        <w:tc>
          <w:tcPr>
            <w:tcW w:w="699" w:type="dxa"/>
          </w:tcPr>
          <w:p w14:paraId="31B2963F"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lastRenderedPageBreak/>
              <w:t>84</w:t>
            </w:r>
          </w:p>
        </w:tc>
        <w:tc>
          <w:tcPr>
            <w:tcW w:w="3516" w:type="dxa"/>
          </w:tcPr>
          <w:p w14:paraId="3584FB1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Реакторы ядерные, котлы, оборудование и механические устройства; их части</w:t>
            </w:r>
          </w:p>
        </w:tc>
        <w:tc>
          <w:tcPr>
            <w:tcW w:w="1416" w:type="dxa"/>
            <w:vAlign w:val="center"/>
          </w:tcPr>
          <w:p w14:paraId="42E235E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$1,370,608</w:t>
            </w:r>
          </w:p>
        </w:tc>
        <w:tc>
          <w:tcPr>
            <w:tcW w:w="1416" w:type="dxa"/>
            <w:vAlign w:val="center"/>
          </w:tcPr>
          <w:p w14:paraId="524987EE"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$1,496,355</w:t>
            </w:r>
          </w:p>
        </w:tc>
        <w:tc>
          <w:tcPr>
            <w:tcW w:w="1283" w:type="dxa"/>
            <w:vAlign w:val="center"/>
          </w:tcPr>
          <w:p w14:paraId="089009E4"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9</w:t>
            </w:r>
          </w:p>
        </w:tc>
        <w:tc>
          <w:tcPr>
            <w:tcW w:w="1417" w:type="dxa"/>
            <w:vAlign w:val="center"/>
          </w:tcPr>
          <w:p w14:paraId="44240AAE"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5</w:t>
            </w:r>
          </w:p>
        </w:tc>
      </w:tr>
      <w:tr w:rsidR="00F025EC" w:rsidRPr="003D7553" w14:paraId="00143D91" w14:textId="77777777" w:rsidTr="002245D5">
        <w:tc>
          <w:tcPr>
            <w:tcW w:w="699" w:type="dxa"/>
          </w:tcPr>
          <w:p w14:paraId="2953FD3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03</w:t>
            </w:r>
          </w:p>
        </w:tc>
        <w:tc>
          <w:tcPr>
            <w:tcW w:w="3516" w:type="dxa"/>
          </w:tcPr>
          <w:p w14:paraId="66CA690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Рыба и ракообразные, моллюски и прочие водные беспозвоночные</w:t>
            </w:r>
          </w:p>
        </w:tc>
        <w:tc>
          <w:tcPr>
            <w:tcW w:w="1416" w:type="dxa"/>
            <w:vAlign w:val="center"/>
          </w:tcPr>
          <w:p w14:paraId="37D43D6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$914,734</w:t>
            </w:r>
          </w:p>
        </w:tc>
        <w:tc>
          <w:tcPr>
            <w:tcW w:w="1416" w:type="dxa"/>
            <w:vAlign w:val="center"/>
          </w:tcPr>
          <w:p w14:paraId="4658633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$968,785</w:t>
            </w:r>
          </w:p>
        </w:tc>
        <w:tc>
          <w:tcPr>
            <w:tcW w:w="1283" w:type="dxa"/>
            <w:vAlign w:val="center"/>
          </w:tcPr>
          <w:p w14:paraId="1B87E3DE"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6</w:t>
            </w:r>
          </w:p>
        </w:tc>
        <w:tc>
          <w:tcPr>
            <w:tcW w:w="1417" w:type="dxa"/>
            <w:vAlign w:val="center"/>
          </w:tcPr>
          <w:p w14:paraId="279935FF"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w:t>
            </w:r>
          </w:p>
        </w:tc>
      </w:tr>
      <w:tr w:rsidR="00F025EC" w:rsidRPr="003D7553" w14:paraId="44143C25" w14:textId="77777777" w:rsidTr="002245D5">
        <w:tc>
          <w:tcPr>
            <w:tcW w:w="699" w:type="dxa"/>
          </w:tcPr>
          <w:p w14:paraId="2C8B330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31</w:t>
            </w:r>
          </w:p>
        </w:tc>
        <w:tc>
          <w:tcPr>
            <w:tcW w:w="3516" w:type="dxa"/>
          </w:tcPr>
          <w:p w14:paraId="3AAD7AFC"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Удобрения</w:t>
            </w:r>
          </w:p>
        </w:tc>
        <w:tc>
          <w:tcPr>
            <w:tcW w:w="1416" w:type="dxa"/>
            <w:vAlign w:val="center"/>
          </w:tcPr>
          <w:p w14:paraId="38D2918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$959,759</w:t>
            </w:r>
          </w:p>
        </w:tc>
        <w:tc>
          <w:tcPr>
            <w:tcW w:w="1416" w:type="dxa"/>
            <w:vAlign w:val="center"/>
          </w:tcPr>
          <w:p w14:paraId="6DDFB6F6"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$794,562</w:t>
            </w:r>
          </w:p>
        </w:tc>
        <w:tc>
          <w:tcPr>
            <w:tcW w:w="1283" w:type="dxa"/>
            <w:vAlign w:val="center"/>
          </w:tcPr>
          <w:p w14:paraId="106C0672"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-17</w:t>
            </w:r>
          </w:p>
        </w:tc>
        <w:tc>
          <w:tcPr>
            <w:tcW w:w="1417" w:type="dxa"/>
            <w:vAlign w:val="center"/>
          </w:tcPr>
          <w:p w14:paraId="0B778152"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14C73461" w14:textId="77777777" w:rsidTr="002245D5">
        <w:tc>
          <w:tcPr>
            <w:tcW w:w="699" w:type="dxa"/>
          </w:tcPr>
          <w:p w14:paraId="36334656"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26</w:t>
            </w:r>
          </w:p>
        </w:tc>
        <w:tc>
          <w:tcPr>
            <w:tcW w:w="3516" w:type="dxa"/>
          </w:tcPr>
          <w:p w14:paraId="3A0F4BFC"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Руды, шлак и зола</w:t>
            </w:r>
          </w:p>
        </w:tc>
        <w:tc>
          <w:tcPr>
            <w:tcW w:w="1416" w:type="dxa"/>
            <w:vAlign w:val="center"/>
          </w:tcPr>
          <w:p w14:paraId="379A1CD7"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$1,034,742</w:t>
            </w:r>
          </w:p>
        </w:tc>
        <w:tc>
          <w:tcPr>
            <w:tcW w:w="1416" w:type="dxa"/>
            <w:vAlign w:val="center"/>
          </w:tcPr>
          <w:p w14:paraId="1257C30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$743,088</w:t>
            </w:r>
          </w:p>
        </w:tc>
        <w:tc>
          <w:tcPr>
            <w:tcW w:w="1283" w:type="dxa"/>
            <w:vAlign w:val="center"/>
          </w:tcPr>
          <w:p w14:paraId="2EB5AF4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lang w:val="en-US"/>
              </w:rPr>
              <w:t>-28</w:t>
            </w:r>
          </w:p>
        </w:tc>
        <w:tc>
          <w:tcPr>
            <w:tcW w:w="1417" w:type="dxa"/>
            <w:vAlign w:val="center"/>
          </w:tcPr>
          <w:p w14:paraId="7A036E3D"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6B7018AD" w14:textId="77777777" w:rsidTr="002245D5">
        <w:tc>
          <w:tcPr>
            <w:tcW w:w="699" w:type="dxa"/>
          </w:tcPr>
          <w:p w14:paraId="28E52AA1"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47</w:t>
            </w:r>
          </w:p>
        </w:tc>
        <w:tc>
          <w:tcPr>
            <w:tcW w:w="3516" w:type="dxa"/>
          </w:tcPr>
          <w:p w14:paraId="798B46E5"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Масса из древесины или из других волокнистых целлюлозных материалов; регенерируемые бумага или картон (макулатура и отходы)</w:t>
            </w:r>
          </w:p>
        </w:tc>
        <w:tc>
          <w:tcPr>
            <w:tcW w:w="1416" w:type="dxa"/>
            <w:vAlign w:val="center"/>
          </w:tcPr>
          <w:p w14:paraId="50846665"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$696,089</w:t>
            </w:r>
          </w:p>
        </w:tc>
        <w:tc>
          <w:tcPr>
            <w:tcW w:w="1416" w:type="dxa"/>
            <w:vAlign w:val="center"/>
          </w:tcPr>
          <w:p w14:paraId="1F6C3443"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$704,467</w:t>
            </w:r>
          </w:p>
        </w:tc>
        <w:tc>
          <w:tcPr>
            <w:tcW w:w="1283" w:type="dxa"/>
            <w:vAlign w:val="center"/>
          </w:tcPr>
          <w:p w14:paraId="6B965A47"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w:t>
            </w:r>
          </w:p>
        </w:tc>
        <w:tc>
          <w:tcPr>
            <w:tcW w:w="1417" w:type="dxa"/>
            <w:vAlign w:val="center"/>
          </w:tcPr>
          <w:p w14:paraId="68D9363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5DA0AB0A" w14:textId="77777777" w:rsidTr="002245D5">
        <w:tc>
          <w:tcPr>
            <w:tcW w:w="699" w:type="dxa"/>
          </w:tcPr>
          <w:p w14:paraId="4C1829E2"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99</w:t>
            </w:r>
          </w:p>
        </w:tc>
        <w:tc>
          <w:tcPr>
            <w:tcW w:w="3516" w:type="dxa"/>
          </w:tcPr>
          <w:p w14:paraId="54A78D4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Товары в иных категориях не указанные</w:t>
            </w:r>
          </w:p>
        </w:tc>
        <w:tc>
          <w:tcPr>
            <w:tcW w:w="1416" w:type="dxa"/>
            <w:vAlign w:val="center"/>
          </w:tcPr>
          <w:p w14:paraId="7E3F8F7D"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$0</w:t>
            </w:r>
          </w:p>
        </w:tc>
        <w:tc>
          <w:tcPr>
            <w:tcW w:w="1416" w:type="dxa"/>
            <w:vAlign w:val="center"/>
          </w:tcPr>
          <w:p w14:paraId="774098FA"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$447,563</w:t>
            </w:r>
          </w:p>
        </w:tc>
        <w:tc>
          <w:tcPr>
            <w:tcW w:w="1283" w:type="dxa"/>
            <w:vAlign w:val="center"/>
          </w:tcPr>
          <w:p w14:paraId="6A09E912"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w:t>
            </w:r>
          </w:p>
        </w:tc>
        <w:tc>
          <w:tcPr>
            <w:tcW w:w="1417" w:type="dxa"/>
            <w:vAlign w:val="center"/>
          </w:tcPr>
          <w:p w14:paraId="7144751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w:t>
            </w:r>
          </w:p>
        </w:tc>
      </w:tr>
      <w:tr w:rsidR="00F025EC" w:rsidRPr="003D7553" w14:paraId="45791913" w14:textId="77777777" w:rsidTr="002245D5">
        <w:tc>
          <w:tcPr>
            <w:tcW w:w="699" w:type="dxa"/>
          </w:tcPr>
          <w:p w14:paraId="4B34824B"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29</w:t>
            </w:r>
          </w:p>
        </w:tc>
        <w:tc>
          <w:tcPr>
            <w:tcW w:w="3516" w:type="dxa"/>
          </w:tcPr>
          <w:p w14:paraId="08FA22CD"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Органические химические соединения</w:t>
            </w:r>
          </w:p>
        </w:tc>
        <w:tc>
          <w:tcPr>
            <w:tcW w:w="1416" w:type="dxa"/>
            <w:vAlign w:val="center"/>
          </w:tcPr>
          <w:p w14:paraId="384CEA8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$376,378</w:t>
            </w:r>
          </w:p>
        </w:tc>
        <w:tc>
          <w:tcPr>
            <w:tcW w:w="1416" w:type="dxa"/>
            <w:vAlign w:val="center"/>
          </w:tcPr>
          <w:p w14:paraId="5EF4DF1C"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$300,414</w:t>
            </w:r>
          </w:p>
        </w:tc>
        <w:tc>
          <w:tcPr>
            <w:tcW w:w="1283" w:type="dxa"/>
            <w:vAlign w:val="center"/>
          </w:tcPr>
          <w:p w14:paraId="378D7199"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w:t>
            </w:r>
          </w:p>
        </w:tc>
        <w:tc>
          <w:tcPr>
            <w:tcW w:w="1417" w:type="dxa"/>
            <w:vAlign w:val="center"/>
          </w:tcPr>
          <w:p w14:paraId="511F3AB7"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w:t>
            </w:r>
          </w:p>
        </w:tc>
      </w:tr>
      <w:tr w:rsidR="00F025EC" w:rsidRPr="003D7553" w14:paraId="4284D282" w14:textId="77777777" w:rsidTr="002245D5">
        <w:tc>
          <w:tcPr>
            <w:tcW w:w="699" w:type="dxa"/>
          </w:tcPr>
          <w:p w14:paraId="61A51A7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39</w:t>
            </w:r>
          </w:p>
        </w:tc>
        <w:tc>
          <w:tcPr>
            <w:tcW w:w="3516" w:type="dxa"/>
          </w:tcPr>
          <w:p w14:paraId="0D62953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Пластмассы и изделия из них</w:t>
            </w:r>
          </w:p>
        </w:tc>
        <w:tc>
          <w:tcPr>
            <w:tcW w:w="1416" w:type="dxa"/>
            <w:vAlign w:val="center"/>
          </w:tcPr>
          <w:p w14:paraId="3D441404"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$302,372</w:t>
            </w:r>
          </w:p>
        </w:tc>
        <w:tc>
          <w:tcPr>
            <w:tcW w:w="1416" w:type="dxa"/>
            <w:vAlign w:val="center"/>
          </w:tcPr>
          <w:p w14:paraId="7C380CFF"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$241,892</w:t>
            </w:r>
          </w:p>
        </w:tc>
        <w:tc>
          <w:tcPr>
            <w:tcW w:w="1283" w:type="dxa"/>
            <w:vAlign w:val="center"/>
          </w:tcPr>
          <w:p w14:paraId="0C0FB2D8"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w:t>
            </w:r>
          </w:p>
        </w:tc>
        <w:tc>
          <w:tcPr>
            <w:tcW w:w="1417" w:type="dxa"/>
            <w:vAlign w:val="center"/>
          </w:tcPr>
          <w:p w14:paraId="39507054"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w:t>
            </w:r>
          </w:p>
        </w:tc>
      </w:tr>
      <w:tr w:rsidR="002245D5" w:rsidRPr="003D7553" w14:paraId="02EF88BA" w14:textId="77777777" w:rsidTr="002245D5">
        <w:tc>
          <w:tcPr>
            <w:tcW w:w="699" w:type="dxa"/>
          </w:tcPr>
          <w:p w14:paraId="57393B2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28</w:t>
            </w:r>
          </w:p>
        </w:tc>
        <w:tc>
          <w:tcPr>
            <w:tcW w:w="3516" w:type="dxa"/>
          </w:tcPr>
          <w:p w14:paraId="755F14C6" w14:textId="77777777" w:rsidR="002245D5" w:rsidRPr="003D7553" w:rsidRDefault="002245D5" w:rsidP="002245D5">
            <w:pPr>
              <w:jc w:val="both"/>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Продукты неорганической химии</w:t>
            </w:r>
          </w:p>
        </w:tc>
        <w:tc>
          <w:tcPr>
            <w:tcW w:w="1416" w:type="dxa"/>
            <w:vAlign w:val="center"/>
          </w:tcPr>
          <w:p w14:paraId="66CE557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$108,681</w:t>
            </w:r>
          </w:p>
        </w:tc>
        <w:tc>
          <w:tcPr>
            <w:tcW w:w="1416" w:type="dxa"/>
            <w:vAlign w:val="center"/>
          </w:tcPr>
          <w:p w14:paraId="0C140479" w14:textId="77777777" w:rsidR="002245D5" w:rsidRPr="003D7553" w:rsidRDefault="002245D5" w:rsidP="002245D5">
            <w:pPr>
              <w:jc w:val="center"/>
              <w:rPr>
                <w:rFonts w:ascii="Times New Roman" w:hAnsi="Times New Roman" w:cs="Times New Roman"/>
                <w:color w:val="000000" w:themeColor="text1"/>
                <w:sz w:val="24"/>
                <w:szCs w:val="24"/>
                <w:lang w:val="en-US"/>
              </w:rPr>
            </w:pPr>
            <w:r w:rsidRPr="003D7553">
              <w:rPr>
                <w:rFonts w:ascii="Times New Roman" w:hAnsi="Times New Roman" w:cs="Times New Roman"/>
                <w:color w:val="000000" w:themeColor="text1"/>
                <w:sz w:val="24"/>
                <w:szCs w:val="24"/>
                <w:lang w:val="en-US"/>
              </w:rPr>
              <w:t>$171,260</w:t>
            </w:r>
          </w:p>
        </w:tc>
        <w:tc>
          <w:tcPr>
            <w:tcW w:w="1283" w:type="dxa"/>
            <w:vAlign w:val="center"/>
          </w:tcPr>
          <w:p w14:paraId="68F476B5"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-58</w:t>
            </w:r>
          </w:p>
        </w:tc>
        <w:tc>
          <w:tcPr>
            <w:tcW w:w="1417" w:type="dxa"/>
            <w:vAlign w:val="center"/>
          </w:tcPr>
          <w:p w14:paraId="0295336A"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w:t>
            </w:r>
          </w:p>
        </w:tc>
      </w:tr>
    </w:tbl>
    <w:p w14:paraId="1C9BF51C" w14:textId="77777777" w:rsidR="002245D5" w:rsidRPr="003D7553" w:rsidRDefault="002245D5" w:rsidP="002245D5">
      <w:pPr>
        <w:spacing w:line="240" w:lineRule="auto"/>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Источник [5]</w:t>
      </w:r>
    </w:p>
    <w:p w14:paraId="4AB770BC"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highlight w:val="yellow"/>
        </w:rPr>
      </w:pPr>
      <w:r w:rsidRPr="003D7553">
        <w:rPr>
          <w:rFonts w:ascii="Times New Roman" w:hAnsi="Times New Roman" w:cs="Times New Roman"/>
          <w:color w:val="000000" w:themeColor="text1"/>
          <w:sz w:val="24"/>
          <w:szCs w:val="24"/>
        </w:rPr>
        <w:t>Как видно из таблицы 3 наибольший удельный вес приходится на: топливо минеральное, нефть и продукты их перегонки; битуминозные вещества; воски минеральные – 65% объема экспорта, древесина и изделия из нее занимают 8% от общего объема экспорта России. Наименьшие объемы – у продукции химической промышленности: пластмассы – 1%, продукция органической и неорганической химии по 1% соответственно.</w:t>
      </w:r>
    </w:p>
    <w:p w14:paraId="62C3F495" w14:textId="77777777" w:rsidR="002245D5" w:rsidRPr="003D7553" w:rsidRDefault="002245D5" w:rsidP="002245D5">
      <w:pPr>
        <w:spacing w:line="240" w:lineRule="auto"/>
        <w:jc w:val="right"/>
        <w:rPr>
          <w:rFonts w:ascii="Times New Roman" w:hAnsi="Times New Roman" w:cs="Times New Roman"/>
          <w:i/>
          <w:color w:val="000000" w:themeColor="text1"/>
          <w:sz w:val="24"/>
          <w:szCs w:val="24"/>
        </w:rPr>
      </w:pPr>
      <w:r w:rsidRPr="003D7553">
        <w:rPr>
          <w:rFonts w:ascii="Times New Roman" w:hAnsi="Times New Roman" w:cs="Times New Roman"/>
          <w:i/>
          <w:color w:val="000000" w:themeColor="text1"/>
          <w:sz w:val="24"/>
          <w:szCs w:val="24"/>
        </w:rPr>
        <w:t>Таблица 4</w:t>
      </w:r>
    </w:p>
    <w:p w14:paraId="42872164" w14:textId="77777777" w:rsidR="002245D5" w:rsidRPr="003D7553" w:rsidRDefault="002245D5" w:rsidP="002245D5">
      <w:pPr>
        <w:spacing w:line="240" w:lineRule="auto"/>
        <w:jc w:val="center"/>
        <w:rPr>
          <w:rFonts w:ascii="Times New Roman" w:hAnsi="Times New Roman" w:cs="Times New Roman"/>
          <w:b/>
          <w:color w:val="000000" w:themeColor="text1"/>
          <w:sz w:val="24"/>
          <w:szCs w:val="24"/>
        </w:rPr>
      </w:pPr>
      <w:r w:rsidRPr="003D7553">
        <w:rPr>
          <w:rFonts w:ascii="Times New Roman" w:hAnsi="Times New Roman" w:cs="Times New Roman"/>
          <w:b/>
          <w:color w:val="000000" w:themeColor="text1"/>
          <w:sz w:val="24"/>
          <w:szCs w:val="24"/>
        </w:rPr>
        <w:t>Основные виды экспортируемой продукции из Китая в Россию (тыс. долл. США)</w:t>
      </w:r>
    </w:p>
    <w:tbl>
      <w:tblPr>
        <w:tblStyle w:val="a3"/>
        <w:tblW w:w="0" w:type="auto"/>
        <w:tblLook w:val="04A0" w:firstRow="1" w:lastRow="0" w:firstColumn="1" w:lastColumn="0" w:noHBand="0" w:noVBand="1"/>
      </w:tblPr>
      <w:tblGrid>
        <w:gridCol w:w="704"/>
        <w:gridCol w:w="3543"/>
        <w:gridCol w:w="1416"/>
        <w:gridCol w:w="1363"/>
        <w:gridCol w:w="1345"/>
        <w:gridCol w:w="1236"/>
      </w:tblGrid>
      <w:tr w:rsidR="002245D5" w:rsidRPr="003D7553" w14:paraId="6F17E764" w14:textId="77777777" w:rsidTr="002245D5">
        <w:tc>
          <w:tcPr>
            <w:tcW w:w="704" w:type="dxa"/>
            <w:vMerge w:val="restart"/>
          </w:tcPr>
          <w:p w14:paraId="2AE13503"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ТН</w:t>
            </w:r>
          </w:p>
          <w:p w14:paraId="59F5B68E"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ВЭД</w:t>
            </w:r>
          </w:p>
        </w:tc>
        <w:tc>
          <w:tcPr>
            <w:tcW w:w="3543" w:type="dxa"/>
            <w:vMerge w:val="restart"/>
          </w:tcPr>
          <w:p w14:paraId="2445501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Продукция</w:t>
            </w:r>
          </w:p>
        </w:tc>
        <w:tc>
          <w:tcPr>
            <w:tcW w:w="2693" w:type="dxa"/>
            <w:gridSpan w:val="2"/>
          </w:tcPr>
          <w:p w14:paraId="77739AF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Год</w:t>
            </w:r>
          </w:p>
        </w:tc>
        <w:tc>
          <w:tcPr>
            <w:tcW w:w="1277" w:type="dxa"/>
            <w:vMerge w:val="restart"/>
          </w:tcPr>
          <w:p w14:paraId="0587112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Изменения за год</w:t>
            </w:r>
          </w:p>
        </w:tc>
        <w:tc>
          <w:tcPr>
            <w:tcW w:w="1151" w:type="dxa"/>
            <w:vMerge w:val="restart"/>
          </w:tcPr>
          <w:p w14:paraId="150A3219"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Доля в структуре экспорта</w:t>
            </w:r>
          </w:p>
        </w:tc>
      </w:tr>
      <w:tr w:rsidR="002245D5" w:rsidRPr="003D7553" w14:paraId="0721B2F6" w14:textId="77777777" w:rsidTr="002245D5">
        <w:tc>
          <w:tcPr>
            <w:tcW w:w="704" w:type="dxa"/>
            <w:vMerge/>
          </w:tcPr>
          <w:p w14:paraId="797E50C6" w14:textId="77777777" w:rsidR="002245D5" w:rsidRPr="003D7553" w:rsidRDefault="002245D5" w:rsidP="002245D5">
            <w:pPr>
              <w:jc w:val="both"/>
              <w:rPr>
                <w:rFonts w:ascii="Times New Roman" w:hAnsi="Times New Roman" w:cs="Times New Roman"/>
                <w:color w:val="000000" w:themeColor="text1"/>
                <w:sz w:val="24"/>
                <w:szCs w:val="24"/>
              </w:rPr>
            </w:pPr>
          </w:p>
        </w:tc>
        <w:tc>
          <w:tcPr>
            <w:tcW w:w="3543" w:type="dxa"/>
            <w:vMerge/>
          </w:tcPr>
          <w:p w14:paraId="7B04FA47" w14:textId="77777777" w:rsidR="002245D5" w:rsidRPr="003D7553" w:rsidRDefault="002245D5" w:rsidP="002245D5">
            <w:pPr>
              <w:jc w:val="both"/>
              <w:rPr>
                <w:rFonts w:ascii="Times New Roman" w:hAnsi="Times New Roman" w:cs="Times New Roman"/>
                <w:color w:val="000000" w:themeColor="text1"/>
                <w:sz w:val="24"/>
                <w:szCs w:val="24"/>
              </w:rPr>
            </w:pPr>
          </w:p>
        </w:tc>
        <w:tc>
          <w:tcPr>
            <w:tcW w:w="1330" w:type="dxa"/>
          </w:tcPr>
          <w:p w14:paraId="53F1D1D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2014 (тыс. долл. США)</w:t>
            </w:r>
          </w:p>
        </w:tc>
        <w:tc>
          <w:tcPr>
            <w:tcW w:w="1363" w:type="dxa"/>
          </w:tcPr>
          <w:p w14:paraId="3B99DB9F"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2015 (тыс. долл. США)</w:t>
            </w:r>
          </w:p>
        </w:tc>
        <w:tc>
          <w:tcPr>
            <w:tcW w:w="1277" w:type="dxa"/>
            <w:vMerge/>
          </w:tcPr>
          <w:p w14:paraId="568C698B" w14:textId="77777777" w:rsidR="002245D5" w:rsidRPr="003D7553" w:rsidRDefault="002245D5" w:rsidP="002245D5">
            <w:pPr>
              <w:jc w:val="both"/>
              <w:rPr>
                <w:rFonts w:ascii="Times New Roman" w:hAnsi="Times New Roman" w:cs="Times New Roman"/>
                <w:color w:val="000000" w:themeColor="text1"/>
                <w:sz w:val="24"/>
                <w:szCs w:val="24"/>
              </w:rPr>
            </w:pPr>
          </w:p>
        </w:tc>
        <w:tc>
          <w:tcPr>
            <w:tcW w:w="1151" w:type="dxa"/>
            <w:vMerge/>
          </w:tcPr>
          <w:p w14:paraId="1A939487" w14:textId="77777777" w:rsidR="002245D5" w:rsidRPr="003D7553" w:rsidRDefault="002245D5" w:rsidP="002245D5">
            <w:pPr>
              <w:jc w:val="both"/>
              <w:rPr>
                <w:rFonts w:ascii="Times New Roman" w:hAnsi="Times New Roman" w:cs="Times New Roman"/>
                <w:color w:val="000000" w:themeColor="text1"/>
                <w:sz w:val="24"/>
                <w:szCs w:val="24"/>
              </w:rPr>
            </w:pPr>
          </w:p>
        </w:tc>
      </w:tr>
      <w:tr w:rsidR="00F025EC" w:rsidRPr="003D7553" w14:paraId="1480FF84" w14:textId="77777777" w:rsidTr="002245D5">
        <w:tc>
          <w:tcPr>
            <w:tcW w:w="704" w:type="dxa"/>
          </w:tcPr>
          <w:p w14:paraId="3D2650B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85</w:t>
            </w:r>
          </w:p>
        </w:tc>
        <w:tc>
          <w:tcPr>
            <w:tcW w:w="3543" w:type="dxa"/>
          </w:tcPr>
          <w:p w14:paraId="3984FCB5"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Электрические машины и оборудование, их части</w:t>
            </w:r>
          </w:p>
        </w:tc>
        <w:tc>
          <w:tcPr>
            <w:tcW w:w="1330" w:type="dxa"/>
            <w:vAlign w:val="center"/>
          </w:tcPr>
          <w:p w14:paraId="3AFFC59D"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$12,488,536</w:t>
            </w:r>
          </w:p>
        </w:tc>
        <w:tc>
          <w:tcPr>
            <w:tcW w:w="1363" w:type="dxa"/>
            <w:vAlign w:val="center"/>
          </w:tcPr>
          <w:p w14:paraId="7A8B5B81"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$8,615,105</w:t>
            </w:r>
          </w:p>
        </w:tc>
        <w:tc>
          <w:tcPr>
            <w:tcW w:w="1277" w:type="dxa"/>
            <w:vAlign w:val="center"/>
          </w:tcPr>
          <w:p w14:paraId="153238D6"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-31</w:t>
            </w:r>
          </w:p>
        </w:tc>
        <w:tc>
          <w:tcPr>
            <w:tcW w:w="1151" w:type="dxa"/>
            <w:vAlign w:val="center"/>
          </w:tcPr>
          <w:p w14:paraId="1C203047"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25</w:t>
            </w:r>
          </w:p>
        </w:tc>
      </w:tr>
      <w:tr w:rsidR="00F025EC" w:rsidRPr="003D7553" w14:paraId="211C9C5E" w14:textId="77777777" w:rsidTr="002245D5">
        <w:tc>
          <w:tcPr>
            <w:tcW w:w="704" w:type="dxa"/>
          </w:tcPr>
          <w:p w14:paraId="2F5DF96A"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84</w:t>
            </w:r>
          </w:p>
        </w:tc>
        <w:tc>
          <w:tcPr>
            <w:tcW w:w="3543" w:type="dxa"/>
          </w:tcPr>
          <w:p w14:paraId="47871D7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Реакторы ядерные, котлы, оборудование и механические устройства</w:t>
            </w:r>
          </w:p>
        </w:tc>
        <w:tc>
          <w:tcPr>
            <w:tcW w:w="1330" w:type="dxa"/>
            <w:vAlign w:val="center"/>
          </w:tcPr>
          <w:p w14:paraId="14131026"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$10,969,493</w:t>
            </w:r>
          </w:p>
        </w:tc>
        <w:tc>
          <w:tcPr>
            <w:tcW w:w="1363" w:type="dxa"/>
            <w:vAlign w:val="center"/>
          </w:tcPr>
          <w:p w14:paraId="2CE4E99F"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$8,072,908</w:t>
            </w:r>
          </w:p>
        </w:tc>
        <w:tc>
          <w:tcPr>
            <w:tcW w:w="1277" w:type="dxa"/>
            <w:vAlign w:val="center"/>
          </w:tcPr>
          <w:p w14:paraId="7F99BF6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-26</w:t>
            </w:r>
          </w:p>
        </w:tc>
        <w:tc>
          <w:tcPr>
            <w:tcW w:w="1151" w:type="dxa"/>
            <w:vAlign w:val="center"/>
          </w:tcPr>
          <w:p w14:paraId="1D8EB8EE"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24</w:t>
            </w:r>
          </w:p>
        </w:tc>
      </w:tr>
      <w:tr w:rsidR="00F025EC" w:rsidRPr="003D7553" w14:paraId="354F8508" w14:textId="77777777" w:rsidTr="002245D5">
        <w:tc>
          <w:tcPr>
            <w:tcW w:w="704" w:type="dxa"/>
          </w:tcPr>
          <w:p w14:paraId="55440C0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64</w:t>
            </w:r>
          </w:p>
        </w:tc>
        <w:tc>
          <w:tcPr>
            <w:tcW w:w="3543" w:type="dxa"/>
          </w:tcPr>
          <w:p w14:paraId="03A5F62C"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Обувь, гетры и аналогичные изделия; их детали</w:t>
            </w:r>
          </w:p>
        </w:tc>
        <w:tc>
          <w:tcPr>
            <w:tcW w:w="1330" w:type="dxa"/>
            <w:vAlign w:val="center"/>
          </w:tcPr>
          <w:p w14:paraId="043B70D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$2,069,802</w:t>
            </w:r>
          </w:p>
        </w:tc>
        <w:tc>
          <w:tcPr>
            <w:tcW w:w="1363" w:type="dxa"/>
            <w:vAlign w:val="center"/>
          </w:tcPr>
          <w:p w14:paraId="05D49BDF"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$1,269,084</w:t>
            </w:r>
          </w:p>
        </w:tc>
        <w:tc>
          <w:tcPr>
            <w:tcW w:w="1277" w:type="dxa"/>
            <w:vAlign w:val="center"/>
          </w:tcPr>
          <w:p w14:paraId="58A687C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-39</w:t>
            </w:r>
          </w:p>
        </w:tc>
        <w:tc>
          <w:tcPr>
            <w:tcW w:w="1151" w:type="dxa"/>
            <w:vAlign w:val="center"/>
          </w:tcPr>
          <w:p w14:paraId="7C964D78"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w:t>
            </w:r>
          </w:p>
        </w:tc>
      </w:tr>
      <w:tr w:rsidR="00F025EC" w:rsidRPr="003D7553" w14:paraId="10A0A7BC" w14:textId="77777777" w:rsidTr="002245D5">
        <w:tc>
          <w:tcPr>
            <w:tcW w:w="704" w:type="dxa"/>
          </w:tcPr>
          <w:p w14:paraId="04C1D538"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62</w:t>
            </w:r>
          </w:p>
        </w:tc>
        <w:tc>
          <w:tcPr>
            <w:tcW w:w="3543" w:type="dxa"/>
          </w:tcPr>
          <w:p w14:paraId="62AEECB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Предметы одежды и принадлежности к одежде, кроме трикотажных машинного или ручного вязания</w:t>
            </w:r>
          </w:p>
        </w:tc>
        <w:tc>
          <w:tcPr>
            <w:tcW w:w="1330" w:type="dxa"/>
            <w:vAlign w:val="center"/>
          </w:tcPr>
          <w:p w14:paraId="4283C52F"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$1,967,564</w:t>
            </w:r>
          </w:p>
        </w:tc>
        <w:tc>
          <w:tcPr>
            <w:tcW w:w="1363" w:type="dxa"/>
            <w:vAlign w:val="center"/>
          </w:tcPr>
          <w:p w14:paraId="232E7083"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$1,205,934</w:t>
            </w:r>
          </w:p>
        </w:tc>
        <w:tc>
          <w:tcPr>
            <w:tcW w:w="1277" w:type="dxa"/>
            <w:vAlign w:val="center"/>
          </w:tcPr>
          <w:p w14:paraId="1B5CF2DD"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-39</w:t>
            </w:r>
          </w:p>
        </w:tc>
        <w:tc>
          <w:tcPr>
            <w:tcW w:w="1151" w:type="dxa"/>
            <w:vAlign w:val="center"/>
          </w:tcPr>
          <w:p w14:paraId="17310F6F"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w:t>
            </w:r>
          </w:p>
        </w:tc>
      </w:tr>
      <w:tr w:rsidR="00F025EC" w:rsidRPr="003D7553" w14:paraId="7766B3A9" w14:textId="77777777" w:rsidTr="002245D5">
        <w:tc>
          <w:tcPr>
            <w:tcW w:w="704" w:type="dxa"/>
          </w:tcPr>
          <w:p w14:paraId="347BE502"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39</w:t>
            </w:r>
          </w:p>
        </w:tc>
        <w:tc>
          <w:tcPr>
            <w:tcW w:w="3543" w:type="dxa"/>
          </w:tcPr>
          <w:p w14:paraId="2C34970F"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Пластмассы и изделия из них</w:t>
            </w:r>
          </w:p>
        </w:tc>
        <w:tc>
          <w:tcPr>
            <w:tcW w:w="1330" w:type="dxa"/>
            <w:vAlign w:val="center"/>
          </w:tcPr>
          <w:p w14:paraId="3DBE9B2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$1,957,489</w:t>
            </w:r>
          </w:p>
        </w:tc>
        <w:tc>
          <w:tcPr>
            <w:tcW w:w="1363" w:type="dxa"/>
            <w:vAlign w:val="center"/>
          </w:tcPr>
          <w:p w14:paraId="68790E2C"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$1,157,373</w:t>
            </w:r>
          </w:p>
        </w:tc>
        <w:tc>
          <w:tcPr>
            <w:tcW w:w="1277" w:type="dxa"/>
            <w:vAlign w:val="center"/>
          </w:tcPr>
          <w:p w14:paraId="4A832675"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-41</w:t>
            </w:r>
          </w:p>
        </w:tc>
        <w:tc>
          <w:tcPr>
            <w:tcW w:w="1151" w:type="dxa"/>
            <w:vAlign w:val="center"/>
          </w:tcPr>
          <w:p w14:paraId="57AB7477"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407F090C" w14:textId="77777777" w:rsidTr="002245D5">
        <w:tc>
          <w:tcPr>
            <w:tcW w:w="704" w:type="dxa"/>
          </w:tcPr>
          <w:p w14:paraId="67DDB69B"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87</w:t>
            </w:r>
          </w:p>
        </w:tc>
        <w:tc>
          <w:tcPr>
            <w:tcW w:w="3543" w:type="dxa"/>
          </w:tcPr>
          <w:p w14:paraId="1C293F38"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Средства наземного транспорта, кроме железнодорожного или трамвайного подвижного состава, и их части и принадлежности</w:t>
            </w:r>
          </w:p>
        </w:tc>
        <w:tc>
          <w:tcPr>
            <w:tcW w:w="1330" w:type="dxa"/>
            <w:vAlign w:val="center"/>
          </w:tcPr>
          <w:p w14:paraId="300DD67F"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$2,209,685</w:t>
            </w:r>
          </w:p>
        </w:tc>
        <w:tc>
          <w:tcPr>
            <w:tcW w:w="1363" w:type="dxa"/>
            <w:vAlign w:val="center"/>
          </w:tcPr>
          <w:p w14:paraId="6CAF8707"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$1,080,079</w:t>
            </w:r>
          </w:p>
        </w:tc>
        <w:tc>
          <w:tcPr>
            <w:tcW w:w="1277" w:type="dxa"/>
            <w:vAlign w:val="center"/>
          </w:tcPr>
          <w:p w14:paraId="5FFC01B1"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-51</w:t>
            </w:r>
          </w:p>
        </w:tc>
        <w:tc>
          <w:tcPr>
            <w:tcW w:w="1151" w:type="dxa"/>
            <w:vAlign w:val="center"/>
          </w:tcPr>
          <w:p w14:paraId="297C039E"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6A0C7C06" w14:textId="77777777" w:rsidTr="002245D5">
        <w:tc>
          <w:tcPr>
            <w:tcW w:w="704" w:type="dxa"/>
          </w:tcPr>
          <w:p w14:paraId="3A9150B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lastRenderedPageBreak/>
              <w:t>95</w:t>
            </w:r>
          </w:p>
        </w:tc>
        <w:tc>
          <w:tcPr>
            <w:tcW w:w="3543" w:type="dxa"/>
          </w:tcPr>
          <w:p w14:paraId="0D67222A"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Игрушки, игры и спортивный инвентарь; их части и принадлежности</w:t>
            </w:r>
          </w:p>
        </w:tc>
        <w:tc>
          <w:tcPr>
            <w:tcW w:w="1330" w:type="dxa"/>
            <w:vAlign w:val="center"/>
          </w:tcPr>
          <w:p w14:paraId="462034A8"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$1,797,865</w:t>
            </w:r>
          </w:p>
        </w:tc>
        <w:tc>
          <w:tcPr>
            <w:tcW w:w="1363" w:type="dxa"/>
            <w:vAlign w:val="center"/>
          </w:tcPr>
          <w:p w14:paraId="3467837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$1,002,544</w:t>
            </w:r>
          </w:p>
        </w:tc>
        <w:tc>
          <w:tcPr>
            <w:tcW w:w="1277" w:type="dxa"/>
            <w:vAlign w:val="center"/>
          </w:tcPr>
          <w:p w14:paraId="46FB44F7"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-44</w:t>
            </w:r>
          </w:p>
        </w:tc>
        <w:tc>
          <w:tcPr>
            <w:tcW w:w="1151" w:type="dxa"/>
            <w:vAlign w:val="center"/>
          </w:tcPr>
          <w:p w14:paraId="2A2176D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3FB541D0" w14:textId="77777777" w:rsidTr="002245D5">
        <w:tc>
          <w:tcPr>
            <w:tcW w:w="704" w:type="dxa"/>
          </w:tcPr>
          <w:p w14:paraId="5A3C3AB2"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61</w:t>
            </w:r>
          </w:p>
        </w:tc>
        <w:tc>
          <w:tcPr>
            <w:tcW w:w="3543" w:type="dxa"/>
          </w:tcPr>
          <w:p w14:paraId="607C9FF5"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Предметы одежды и принадлежности к одежде, трикотажные машинного или ручного вязания</w:t>
            </w:r>
          </w:p>
        </w:tc>
        <w:tc>
          <w:tcPr>
            <w:tcW w:w="1330" w:type="dxa"/>
            <w:vAlign w:val="center"/>
          </w:tcPr>
          <w:p w14:paraId="1BB7EDF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$1,610,019</w:t>
            </w:r>
          </w:p>
        </w:tc>
        <w:tc>
          <w:tcPr>
            <w:tcW w:w="1363" w:type="dxa"/>
            <w:vAlign w:val="center"/>
          </w:tcPr>
          <w:p w14:paraId="2BD218B8"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$951,585</w:t>
            </w:r>
          </w:p>
        </w:tc>
        <w:tc>
          <w:tcPr>
            <w:tcW w:w="1277" w:type="dxa"/>
            <w:vAlign w:val="center"/>
          </w:tcPr>
          <w:p w14:paraId="378B8619"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-41</w:t>
            </w:r>
          </w:p>
        </w:tc>
        <w:tc>
          <w:tcPr>
            <w:tcW w:w="1151" w:type="dxa"/>
            <w:vAlign w:val="center"/>
          </w:tcPr>
          <w:p w14:paraId="3C1ED14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5C4214C7" w14:textId="77777777" w:rsidTr="002245D5">
        <w:tc>
          <w:tcPr>
            <w:tcW w:w="704" w:type="dxa"/>
          </w:tcPr>
          <w:p w14:paraId="169B972E"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73</w:t>
            </w:r>
          </w:p>
        </w:tc>
        <w:tc>
          <w:tcPr>
            <w:tcW w:w="3543" w:type="dxa"/>
          </w:tcPr>
          <w:p w14:paraId="0A9E06B8"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Изделия из черных металлов</w:t>
            </w:r>
          </w:p>
        </w:tc>
        <w:tc>
          <w:tcPr>
            <w:tcW w:w="1330" w:type="dxa"/>
            <w:vAlign w:val="center"/>
          </w:tcPr>
          <w:p w14:paraId="6FA91D6B"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$1,607,021</w:t>
            </w:r>
          </w:p>
        </w:tc>
        <w:tc>
          <w:tcPr>
            <w:tcW w:w="1363" w:type="dxa"/>
            <w:vAlign w:val="center"/>
          </w:tcPr>
          <w:p w14:paraId="55B4E899"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$920,018</w:t>
            </w:r>
          </w:p>
        </w:tc>
        <w:tc>
          <w:tcPr>
            <w:tcW w:w="1277" w:type="dxa"/>
            <w:vAlign w:val="center"/>
          </w:tcPr>
          <w:p w14:paraId="69BE3702"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-31</w:t>
            </w:r>
          </w:p>
        </w:tc>
        <w:tc>
          <w:tcPr>
            <w:tcW w:w="1151" w:type="dxa"/>
            <w:vAlign w:val="center"/>
          </w:tcPr>
          <w:p w14:paraId="54A90BE3"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w:t>
            </w:r>
          </w:p>
        </w:tc>
      </w:tr>
      <w:tr w:rsidR="00F025EC" w:rsidRPr="003D7553" w14:paraId="6D415717" w14:textId="77777777" w:rsidTr="002245D5">
        <w:tc>
          <w:tcPr>
            <w:tcW w:w="704" w:type="dxa"/>
          </w:tcPr>
          <w:p w14:paraId="141FAE0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29</w:t>
            </w:r>
          </w:p>
        </w:tc>
        <w:tc>
          <w:tcPr>
            <w:tcW w:w="3543" w:type="dxa"/>
          </w:tcPr>
          <w:p w14:paraId="6207D9E7"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Органические химические соединения</w:t>
            </w:r>
          </w:p>
        </w:tc>
        <w:tc>
          <w:tcPr>
            <w:tcW w:w="1330" w:type="dxa"/>
            <w:vAlign w:val="center"/>
          </w:tcPr>
          <w:p w14:paraId="158251A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$799,575</w:t>
            </w:r>
          </w:p>
        </w:tc>
        <w:tc>
          <w:tcPr>
            <w:tcW w:w="1363" w:type="dxa"/>
            <w:vAlign w:val="center"/>
          </w:tcPr>
          <w:p w14:paraId="288B491E"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$796,433</w:t>
            </w:r>
          </w:p>
        </w:tc>
        <w:tc>
          <w:tcPr>
            <w:tcW w:w="1277" w:type="dxa"/>
            <w:vAlign w:val="center"/>
          </w:tcPr>
          <w:p w14:paraId="4C3B82E4"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-31</w:t>
            </w:r>
          </w:p>
        </w:tc>
        <w:tc>
          <w:tcPr>
            <w:tcW w:w="1151" w:type="dxa"/>
            <w:vAlign w:val="center"/>
          </w:tcPr>
          <w:p w14:paraId="78E884CA"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w:t>
            </w:r>
          </w:p>
        </w:tc>
      </w:tr>
      <w:tr w:rsidR="002245D5" w:rsidRPr="003D7553" w14:paraId="23983D50" w14:textId="77777777" w:rsidTr="002245D5">
        <w:tc>
          <w:tcPr>
            <w:tcW w:w="704" w:type="dxa"/>
          </w:tcPr>
          <w:p w14:paraId="662CABB4"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94</w:t>
            </w:r>
          </w:p>
        </w:tc>
        <w:tc>
          <w:tcPr>
            <w:tcW w:w="3543" w:type="dxa"/>
          </w:tcPr>
          <w:p w14:paraId="69044DFD" w14:textId="77777777" w:rsidR="002245D5" w:rsidRPr="003D7553" w:rsidRDefault="002245D5" w:rsidP="002245D5">
            <w:pPr>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Мебель; постельные принадлежности, матрацы, основы матрацные, диванные подушки и аналогичные набивные принадлежности мебели</w:t>
            </w:r>
          </w:p>
        </w:tc>
        <w:tc>
          <w:tcPr>
            <w:tcW w:w="1330" w:type="dxa"/>
            <w:vAlign w:val="center"/>
          </w:tcPr>
          <w:p w14:paraId="482FDE0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$1,265,537</w:t>
            </w:r>
          </w:p>
        </w:tc>
        <w:tc>
          <w:tcPr>
            <w:tcW w:w="1363" w:type="dxa"/>
            <w:vAlign w:val="center"/>
          </w:tcPr>
          <w:p w14:paraId="3500B7C8"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$711,614</w:t>
            </w:r>
          </w:p>
        </w:tc>
        <w:tc>
          <w:tcPr>
            <w:tcW w:w="1277" w:type="dxa"/>
            <w:vAlign w:val="center"/>
          </w:tcPr>
          <w:p w14:paraId="0B7042D0"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-31</w:t>
            </w:r>
          </w:p>
        </w:tc>
        <w:tc>
          <w:tcPr>
            <w:tcW w:w="1151" w:type="dxa"/>
            <w:vAlign w:val="center"/>
          </w:tcPr>
          <w:p w14:paraId="7842F596" w14:textId="77777777" w:rsidR="002245D5" w:rsidRPr="003D7553" w:rsidRDefault="002245D5" w:rsidP="002245D5">
            <w:pPr>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2</w:t>
            </w:r>
          </w:p>
        </w:tc>
      </w:tr>
    </w:tbl>
    <w:p w14:paraId="5D83D917" w14:textId="77777777" w:rsidR="002245D5" w:rsidRPr="003D7553" w:rsidRDefault="002245D5" w:rsidP="002245D5">
      <w:pPr>
        <w:spacing w:line="240" w:lineRule="auto"/>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Источник [5]</w:t>
      </w:r>
    </w:p>
    <w:p w14:paraId="5BD2F968"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Основные товары, экспортируемые из Китая в Россию – это промышленное оборудование. 50% всего экспорта данной группы товаров приходится на РФ. Незначительный объем экспорта Китая приходится на товары повседневного спроса, игрушки, спортивный инвентарь и мебель. Хотя со стороны России это значительные объемы.</w:t>
      </w:r>
    </w:p>
    <w:p w14:paraId="58FA01E0" w14:textId="77777777" w:rsidR="002245D5" w:rsidRPr="003D7553" w:rsidRDefault="002245D5" w:rsidP="002245D5">
      <w:pPr>
        <w:spacing w:after="0" w:line="240" w:lineRule="auto"/>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В целом по нашему мнению китайско-российские торгово-экономические отношения сохранят восходящую тенденцию развития, вместе с тем существуют еще значительные резервы для углубления двусторонних отношений. В качестве аспектов важности торгового сотрудничества Китая и России специалисты выделяют следующее [1]:</w:t>
      </w:r>
    </w:p>
    <w:p w14:paraId="2F1F91B8" w14:textId="77777777" w:rsidR="002245D5" w:rsidRPr="003D7553" w:rsidRDefault="002245D5" w:rsidP="002245D5">
      <w:pPr>
        <w:spacing w:after="0" w:line="240" w:lineRule="auto"/>
        <w:ind w:firstLine="709"/>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 развитие приграничного и межрегионального сотрудничества, совместное освоение Дальнего Востока России и северовосточных провинций Китая и строительство инфраструктуры двустороннего внешнеторгового сотрудничества; </w:t>
      </w:r>
    </w:p>
    <w:p w14:paraId="59EB075F" w14:textId="77777777" w:rsidR="002245D5" w:rsidRPr="003D7553" w:rsidRDefault="002245D5" w:rsidP="002245D5">
      <w:pPr>
        <w:spacing w:after="0" w:line="240" w:lineRule="auto"/>
        <w:ind w:firstLine="709"/>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 укрепление энергетического сотрудничества в области нефти и газа, атомной энергетики и электроэнергетики; </w:t>
      </w:r>
    </w:p>
    <w:p w14:paraId="711F4D9A" w14:textId="77777777" w:rsidR="002245D5" w:rsidRPr="003D7553" w:rsidRDefault="002245D5" w:rsidP="002245D5">
      <w:pPr>
        <w:spacing w:after="0" w:line="240" w:lineRule="auto"/>
        <w:ind w:firstLine="709"/>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 развитие производственной кооперации (машиностроение, авиационная и автомобильная промышленность, переработка биоресурсов, леса, и пр.) </w:t>
      </w:r>
    </w:p>
    <w:p w14:paraId="64B752AD" w14:textId="77777777" w:rsidR="002245D5" w:rsidRPr="003D7553" w:rsidRDefault="002245D5" w:rsidP="002245D5">
      <w:pPr>
        <w:spacing w:after="0" w:line="240" w:lineRule="auto"/>
        <w:ind w:firstLine="709"/>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Важной составляющей двусторонних экономических связей, а также значимым фактором стимулирования социально-экономического развития определенных регионов, является межрегиональное и приграничное, военно-техническое, научно-техническое сотрудничество и </w:t>
      </w:r>
      <w:r w:rsidRPr="003D7553">
        <w:rPr>
          <w:rStyle w:val="af1"/>
          <w:rFonts w:ascii="Times New Roman" w:hAnsi="Times New Roman"/>
          <w:b w:val="0"/>
          <w:color w:val="000000" w:themeColor="text1"/>
          <w:sz w:val="24"/>
          <w:szCs w:val="24"/>
          <w:shd w:val="clear" w:color="auto" w:fill="FFFFFF"/>
        </w:rPr>
        <w:t xml:space="preserve">сотрудничество в валютно-финансовой сфере </w:t>
      </w:r>
      <w:r w:rsidRPr="003D7553">
        <w:rPr>
          <w:rFonts w:ascii="Times New Roman" w:hAnsi="Times New Roman" w:cs="Times New Roman"/>
          <w:color w:val="000000" w:themeColor="text1"/>
          <w:sz w:val="24"/>
          <w:szCs w:val="24"/>
        </w:rPr>
        <w:t>России и Китая.</w:t>
      </w:r>
    </w:p>
    <w:p w14:paraId="5FB269F2"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Прогнозируется, что к 2020 году объем потребительского рынка Китая вырастет на 2,3 трлн долл. США и достигнет объема в 6,5 трлн долл. США (данные Boston Consulting Group (BCG). Наличие столь масштабного потребительского рынка создает широкие возможности для бизнеса, производящего конкурентоспособные товары и услуги. Значительные возможности имеет также развитие промышленной кооперации.</w:t>
      </w:r>
    </w:p>
    <w:p w14:paraId="3A3E8B07" w14:textId="77777777" w:rsidR="002245D5" w:rsidRPr="003D7553" w:rsidRDefault="002245D5" w:rsidP="002245D5">
      <w:pPr>
        <w:spacing w:after="0" w:line="240" w:lineRule="auto"/>
        <w:ind w:firstLine="708"/>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Китайские интересы по большей части совпадают с интересами России. Обе страны заинтересованы в собственном экономическом развитии, политической стабильности. Кроме того, Китай, не навязывающий политических условий при осуществлении торгово-экономического сотрудничества, представляет собой важнейшую опору в противостоянии попыткам Запада вести политику «смены режимов», подрывающим региональную безопасность и политическую стабильность.</w:t>
      </w:r>
    </w:p>
    <w:p w14:paraId="0843A182" w14:textId="77777777" w:rsidR="002245D5" w:rsidRPr="003D7553" w:rsidRDefault="002245D5" w:rsidP="002245D5">
      <w:pPr>
        <w:spacing w:after="0" w:line="240" w:lineRule="auto"/>
        <w:ind w:firstLine="709"/>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 xml:space="preserve">Проанализировав динамику взаимной торговли Китая и Россий можно сделать вывод, что в целом китайско-российские торгово-экономические отношения сохранят восходящую </w:t>
      </w:r>
      <w:r w:rsidRPr="003D7553">
        <w:rPr>
          <w:rFonts w:ascii="Times New Roman" w:hAnsi="Times New Roman" w:cs="Times New Roman"/>
          <w:color w:val="000000" w:themeColor="text1"/>
          <w:sz w:val="24"/>
          <w:szCs w:val="24"/>
        </w:rPr>
        <w:lastRenderedPageBreak/>
        <w:t>тенденцию развития, вместе с тем существуют еще значительные резервы для углубления двусторонних отношений.</w:t>
      </w:r>
    </w:p>
    <w:p w14:paraId="788AB355" w14:textId="77777777" w:rsidR="002245D5" w:rsidRPr="003D7553" w:rsidRDefault="002245D5" w:rsidP="002245D5">
      <w:pPr>
        <w:spacing w:after="0" w:line="240" w:lineRule="auto"/>
        <w:jc w:val="both"/>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______________________________________</w:t>
      </w:r>
    </w:p>
    <w:p w14:paraId="202FCDE2" w14:textId="77777777" w:rsidR="002245D5" w:rsidRPr="003D7553" w:rsidRDefault="002245D5" w:rsidP="00202D58">
      <w:pPr>
        <w:numPr>
          <w:ilvl w:val="0"/>
          <w:numId w:val="4"/>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«Восток-Медиа» — информационное агентство [Электронный ресурс]. Режим доступа:  https://vostokmedia.com/</w:t>
      </w:r>
    </w:p>
    <w:p w14:paraId="7431211B" w14:textId="77777777" w:rsidR="002245D5" w:rsidRPr="003D7553" w:rsidRDefault="002245D5" w:rsidP="00202D58">
      <w:pPr>
        <w:numPr>
          <w:ilvl w:val="0"/>
          <w:numId w:val="4"/>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Единый информационный портал Экспортеры России [Электронный ресурс]. Режим доступа:  http://www.rusexporter.ru/research/country/detail/4238/</w:t>
      </w:r>
    </w:p>
    <w:p w14:paraId="27599681" w14:textId="77777777" w:rsidR="002245D5" w:rsidRPr="003D7553" w:rsidRDefault="002245D5" w:rsidP="00202D58">
      <w:pPr>
        <w:numPr>
          <w:ilvl w:val="0"/>
          <w:numId w:val="4"/>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Министерство экономического развития Российской Федерации [Электронный ресурс]. Режим доступа:  http://www.ved.gov.ru/_tes_rus_chi_2010_2011/</w:t>
      </w:r>
    </w:p>
    <w:p w14:paraId="3C250D69" w14:textId="77777777" w:rsidR="002245D5" w:rsidRPr="003D7553" w:rsidRDefault="002245D5" w:rsidP="00202D58">
      <w:pPr>
        <w:numPr>
          <w:ilvl w:val="0"/>
          <w:numId w:val="4"/>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Российско-китайское торгово-экономическое сотрудничество. Портал внешнеэкономической информации [Электронный ресурс]. Режим доступа:  http://www.ved.gov.ru/exportcountries/cn/cn_ru_relations/cn_ru_trade/.</w:t>
      </w:r>
    </w:p>
    <w:p w14:paraId="0F178D88" w14:textId="77777777" w:rsidR="002245D5" w:rsidRPr="003D7553" w:rsidRDefault="002245D5" w:rsidP="00202D58">
      <w:pPr>
        <w:numPr>
          <w:ilvl w:val="0"/>
          <w:numId w:val="4"/>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Отчёт о внешней торговле между Россией и Китаем в 2016 году: товарооборот, экспорт, импорт, структура, товары, динамика. [Электронный ресурс]. Режим доступа:  http://russian-trade.com/reports-and-reviews/2017-02/torgovlya-mezhdu-rossiey-i-kitaem-v-2016-g/</w:t>
      </w:r>
    </w:p>
    <w:p w14:paraId="2280CDDA" w14:textId="77777777" w:rsidR="002245D5" w:rsidRPr="003D7553" w:rsidRDefault="002245D5" w:rsidP="00202D58">
      <w:pPr>
        <w:numPr>
          <w:ilvl w:val="0"/>
          <w:numId w:val="4"/>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 xml:space="preserve">Федеральная таможенная служба России [Электронный ресурс]. Режим доступа: </w:t>
      </w:r>
      <w:hyperlink r:id="rId33" w:history="1">
        <w:r w:rsidRPr="003D7553">
          <w:rPr>
            <w:rFonts w:ascii="Times New Roman" w:eastAsia="Times New Roman" w:hAnsi="Times New Roman" w:cs="Times New Roman"/>
            <w:sz w:val="24"/>
            <w:szCs w:val="24"/>
            <w:lang w:eastAsia="ru-RU"/>
          </w:rPr>
          <w:t>http://www.customs.ru</w:t>
        </w:r>
      </w:hyperlink>
    </w:p>
    <w:p w14:paraId="6AA258D8" w14:textId="77777777" w:rsidR="00F025EC" w:rsidRDefault="00F025EC" w:rsidP="002245D5">
      <w:pPr>
        <w:widowControl w:val="0"/>
        <w:autoSpaceDE w:val="0"/>
        <w:autoSpaceDN w:val="0"/>
        <w:adjustRightInd w:val="0"/>
        <w:spacing w:after="0" w:line="240" w:lineRule="auto"/>
        <w:rPr>
          <w:rFonts w:ascii="Times New Roman" w:hAnsi="Times New Roman"/>
          <w:sz w:val="24"/>
          <w:szCs w:val="24"/>
          <w:lang w:eastAsia="ru-RU"/>
        </w:rPr>
      </w:pPr>
    </w:p>
    <w:p w14:paraId="67AB76EF" w14:textId="77777777" w:rsidR="002245D5" w:rsidRPr="003D7553" w:rsidRDefault="002245D5" w:rsidP="002245D5">
      <w:pPr>
        <w:widowControl w:val="0"/>
        <w:autoSpaceDE w:val="0"/>
        <w:autoSpaceDN w:val="0"/>
        <w:adjustRightInd w:val="0"/>
        <w:spacing w:after="0" w:line="240" w:lineRule="auto"/>
        <w:rPr>
          <w:rFonts w:ascii="Times New Roman" w:hAnsi="Times New Roman"/>
          <w:b/>
          <w:sz w:val="24"/>
          <w:szCs w:val="24"/>
          <w:lang w:eastAsia="ru-RU"/>
        </w:rPr>
      </w:pPr>
      <w:r w:rsidRPr="003D7553">
        <w:rPr>
          <w:rFonts w:ascii="Times New Roman" w:hAnsi="Times New Roman"/>
          <w:b/>
          <w:sz w:val="24"/>
          <w:szCs w:val="24"/>
          <w:lang w:eastAsia="ru-RU"/>
        </w:rPr>
        <w:t xml:space="preserve">Рубрика: </w:t>
      </w:r>
      <w:r w:rsidRPr="003D7553">
        <w:rPr>
          <w:rFonts w:ascii="Times New Roman" w:hAnsi="Times New Roman"/>
          <w:b/>
          <w:color w:val="000000"/>
          <w:sz w:val="24"/>
          <w:szCs w:val="24"/>
        </w:rPr>
        <w:t>Экономика. Народное хозяйство. Экономические науки</w:t>
      </w:r>
    </w:p>
    <w:p w14:paraId="6FFBD3EC" w14:textId="77777777" w:rsidR="00F025EC" w:rsidRPr="003D7553" w:rsidRDefault="00F025EC" w:rsidP="002245D5">
      <w:pPr>
        <w:widowControl w:val="0"/>
        <w:autoSpaceDE w:val="0"/>
        <w:autoSpaceDN w:val="0"/>
        <w:adjustRightInd w:val="0"/>
        <w:spacing w:after="0" w:line="240" w:lineRule="auto"/>
        <w:rPr>
          <w:rFonts w:ascii="Times New Roman" w:hAnsi="Times New Roman"/>
          <w:sz w:val="24"/>
          <w:szCs w:val="24"/>
          <w:lang w:eastAsia="ru-RU"/>
        </w:rPr>
      </w:pPr>
    </w:p>
    <w:p w14:paraId="380BD8B7" w14:textId="77777777" w:rsidR="002245D5" w:rsidRPr="003D7553" w:rsidRDefault="002245D5" w:rsidP="002245D5">
      <w:pPr>
        <w:widowControl w:val="0"/>
        <w:autoSpaceDE w:val="0"/>
        <w:autoSpaceDN w:val="0"/>
        <w:adjustRightInd w:val="0"/>
        <w:spacing w:after="0" w:line="240" w:lineRule="auto"/>
        <w:rPr>
          <w:rFonts w:ascii="Times New Roman" w:hAnsi="Times New Roman"/>
          <w:sz w:val="24"/>
          <w:szCs w:val="24"/>
          <w:lang w:eastAsia="ru-RU"/>
        </w:rPr>
      </w:pPr>
      <w:r w:rsidRPr="003D7553">
        <w:rPr>
          <w:rFonts w:ascii="Times New Roman" w:hAnsi="Times New Roman"/>
          <w:sz w:val="24"/>
          <w:szCs w:val="24"/>
          <w:lang w:eastAsia="ru-RU"/>
        </w:rPr>
        <w:t>УДК 336.76</w:t>
      </w:r>
    </w:p>
    <w:p w14:paraId="30DCCCAD" w14:textId="77777777" w:rsidR="00F025EC" w:rsidRPr="003D7553" w:rsidRDefault="00F025EC" w:rsidP="002245D5">
      <w:pPr>
        <w:widowControl w:val="0"/>
        <w:autoSpaceDE w:val="0"/>
        <w:autoSpaceDN w:val="0"/>
        <w:adjustRightInd w:val="0"/>
        <w:spacing w:after="0" w:line="240" w:lineRule="auto"/>
        <w:rPr>
          <w:rFonts w:ascii="Times New Roman" w:hAnsi="Times New Roman"/>
          <w:sz w:val="24"/>
          <w:szCs w:val="24"/>
          <w:lang w:eastAsia="ru-RU"/>
        </w:rPr>
      </w:pPr>
    </w:p>
    <w:p w14:paraId="454C23F7" w14:textId="77777777" w:rsidR="002245D5" w:rsidRPr="003D7553" w:rsidRDefault="00F025EC" w:rsidP="002245D5">
      <w:pPr>
        <w:widowControl w:val="0"/>
        <w:autoSpaceDE w:val="0"/>
        <w:autoSpaceDN w:val="0"/>
        <w:adjustRightInd w:val="0"/>
        <w:spacing w:after="0" w:line="240" w:lineRule="auto"/>
        <w:jc w:val="center"/>
        <w:rPr>
          <w:rFonts w:ascii="Book Antiqua" w:hAnsi="Book Antiqua"/>
          <w:b/>
          <w:sz w:val="24"/>
          <w:szCs w:val="24"/>
          <w:lang w:eastAsia="ru-RU"/>
        </w:rPr>
      </w:pPr>
      <w:r w:rsidRPr="003D7553">
        <w:rPr>
          <w:rFonts w:ascii="Book Antiqua" w:hAnsi="Book Antiqua"/>
          <w:b/>
          <w:sz w:val="24"/>
          <w:szCs w:val="24"/>
          <w:lang w:eastAsia="ru-RU"/>
        </w:rPr>
        <w:t>ОСОБЕННОСТИ ФОРМИРОВАНИИ РЫНКА ССУДНОГО КАПИТАЛА И ФИНАНСОВО-ПРОМЫШЛЕННЫХ ГРУПП В РОССИИ И ИХ РОЛЬ В РАЗВИТИИ МЕЖДУНАРОДНОГО РЫНКА ССУДНЫХ КАПИТАЛОВ</w:t>
      </w:r>
    </w:p>
    <w:p w14:paraId="36AF6883" w14:textId="77777777" w:rsidR="002245D5" w:rsidRPr="003D7553" w:rsidRDefault="002245D5" w:rsidP="002245D5">
      <w:pPr>
        <w:widowControl w:val="0"/>
        <w:autoSpaceDE w:val="0"/>
        <w:autoSpaceDN w:val="0"/>
        <w:adjustRightInd w:val="0"/>
        <w:spacing w:after="0" w:line="240" w:lineRule="auto"/>
        <w:jc w:val="center"/>
        <w:rPr>
          <w:rFonts w:ascii="Times New Roman" w:hAnsi="Times New Roman"/>
          <w:b/>
          <w:sz w:val="24"/>
          <w:szCs w:val="24"/>
          <w:lang w:eastAsia="ru-RU"/>
        </w:rPr>
      </w:pPr>
    </w:p>
    <w:p w14:paraId="2B7BDB28" w14:textId="77777777" w:rsidR="002245D5" w:rsidRPr="003D7553" w:rsidRDefault="00F46A43" w:rsidP="002245D5">
      <w:pPr>
        <w:widowControl w:val="0"/>
        <w:autoSpaceDE w:val="0"/>
        <w:autoSpaceDN w:val="0"/>
        <w:adjustRightInd w:val="0"/>
        <w:spacing w:after="0" w:line="240" w:lineRule="auto"/>
        <w:ind w:firstLine="709"/>
        <w:jc w:val="center"/>
        <w:rPr>
          <w:rFonts w:ascii="Arial" w:eastAsia="SimSun" w:hAnsi="Arial" w:cs="Arial"/>
          <w:b/>
          <w:sz w:val="24"/>
          <w:szCs w:val="24"/>
          <w:lang w:eastAsia="ru-RU"/>
        </w:rPr>
      </w:pPr>
      <w:r>
        <w:rPr>
          <w:rFonts w:ascii="Arial" w:eastAsia="SimSun" w:hAnsi="Arial" w:cs="Arial"/>
          <w:b/>
          <w:sz w:val="24"/>
          <w:szCs w:val="24"/>
          <w:lang w:eastAsia="ru-RU"/>
        </w:rPr>
        <w:t>Федореева Мария Михайловна</w:t>
      </w:r>
    </w:p>
    <w:p w14:paraId="28649EDE" w14:textId="77777777" w:rsidR="002245D5" w:rsidRPr="003D7553" w:rsidRDefault="002245D5" w:rsidP="002245D5">
      <w:pPr>
        <w:widowControl w:val="0"/>
        <w:autoSpaceDE w:val="0"/>
        <w:autoSpaceDN w:val="0"/>
        <w:adjustRightInd w:val="0"/>
        <w:spacing w:after="0" w:line="240" w:lineRule="auto"/>
        <w:ind w:firstLine="709"/>
        <w:jc w:val="center"/>
        <w:rPr>
          <w:rFonts w:ascii="Arial" w:eastAsia="SimSun" w:hAnsi="Arial" w:cs="Arial"/>
          <w:sz w:val="24"/>
          <w:szCs w:val="24"/>
          <w:lang w:eastAsia="ru-RU"/>
        </w:rPr>
      </w:pPr>
      <w:r w:rsidRPr="003D7553">
        <w:rPr>
          <w:rFonts w:ascii="Arial" w:eastAsia="SimSun" w:hAnsi="Arial" w:cs="Arial"/>
          <w:sz w:val="24"/>
          <w:szCs w:val="24"/>
          <w:lang w:eastAsia="ru-RU"/>
        </w:rPr>
        <w:t>Бакалавр</w:t>
      </w:r>
    </w:p>
    <w:p w14:paraId="54C529ED" w14:textId="77777777" w:rsidR="00F025EC" w:rsidRPr="003D7553" w:rsidRDefault="00F025EC" w:rsidP="002245D5">
      <w:pPr>
        <w:widowControl w:val="0"/>
        <w:autoSpaceDE w:val="0"/>
        <w:autoSpaceDN w:val="0"/>
        <w:adjustRightInd w:val="0"/>
        <w:spacing w:after="0" w:line="240" w:lineRule="auto"/>
        <w:ind w:firstLine="709"/>
        <w:jc w:val="center"/>
        <w:rPr>
          <w:rFonts w:ascii="Times New Roman" w:eastAsia="SimSun" w:hAnsi="Times New Roman"/>
          <w:sz w:val="24"/>
          <w:szCs w:val="24"/>
          <w:lang w:eastAsia="ru-RU"/>
        </w:rPr>
      </w:pPr>
    </w:p>
    <w:p w14:paraId="412CC856" w14:textId="77777777" w:rsidR="002245D5" w:rsidRPr="003D7553" w:rsidRDefault="002245D5" w:rsidP="00F46A43">
      <w:pPr>
        <w:widowControl w:val="0"/>
        <w:autoSpaceDE w:val="0"/>
        <w:autoSpaceDN w:val="0"/>
        <w:adjustRightInd w:val="0"/>
        <w:spacing w:after="0" w:line="240" w:lineRule="auto"/>
        <w:jc w:val="center"/>
        <w:rPr>
          <w:rFonts w:ascii="Times New Roman" w:eastAsia="SimSun" w:hAnsi="Times New Roman"/>
          <w:i/>
          <w:sz w:val="24"/>
          <w:szCs w:val="24"/>
          <w:lang w:eastAsia="ru-RU"/>
        </w:rPr>
      </w:pPr>
      <w:r w:rsidRPr="003D7553">
        <w:rPr>
          <w:rFonts w:ascii="Times New Roman" w:eastAsia="SimSun" w:hAnsi="Times New Roman"/>
          <w:i/>
          <w:sz w:val="24"/>
          <w:szCs w:val="24"/>
          <w:lang w:eastAsia="ru-RU"/>
        </w:rPr>
        <w:t>Владивостокский государственный университет экономики и сервиса</w:t>
      </w:r>
    </w:p>
    <w:p w14:paraId="2BA35A7A" w14:textId="77777777" w:rsidR="002245D5" w:rsidRPr="003D7553" w:rsidRDefault="002245D5" w:rsidP="00C23563">
      <w:pPr>
        <w:widowControl w:val="0"/>
        <w:autoSpaceDE w:val="0"/>
        <w:autoSpaceDN w:val="0"/>
        <w:adjustRightInd w:val="0"/>
        <w:spacing w:line="240" w:lineRule="auto"/>
        <w:ind w:firstLine="709"/>
        <w:jc w:val="center"/>
        <w:rPr>
          <w:rFonts w:ascii="Times New Roman" w:eastAsia="SimSun" w:hAnsi="Times New Roman"/>
          <w:i/>
          <w:sz w:val="24"/>
          <w:szCs w:val="24"/>
          <w:lang w:eastAsia="ru-RU"/>
        </w:rPr>
      </w:pPr>
      <w:r w:rsidRPr="003D7553">
        <w:rPr>
          <w:rFonts w:ascii="Times New Roman" w:eastAsia="SimSun" w:hAnsi="Times New Roman"/>
          <w:i/>
          <w:sz w:val="24"/>
          <w:szCs w:val="24"/>
          <w:lang w:eastAsia="ru-RU"/>
        </w:rPr>
        <w:t>Россия. Владивосток</w:t>
      </w:r>
    </w:p>
    <w:p w14:paraId="0AEC752A" w14:textId="77777777" w:rsidR="002245D5" w:rsidRPr="003D7553" w:rsidRDefault="002245D5" w:rsidP="002245D5">
      <w:pPr>
        <w:widowControl w:val="0"/>
        <w:autoSpaceDE w:val="0"/>
        <w:autoSpaceDN w:val="0"/>
        <w:adjustRightInd w:val="0"/>
        <w:spacing w:after="0" w:line="240" w:lineRule="auto"/>
        <w:ind w:firstLine="709"/>
        <w:jc w:val="center"/>
        <w:rPr>
          <w:rFonts w:ascii="Times New Roman" w:eastAsia="SimSun" w:hAnsi="Times New Roman"/>
          <w:sz w:val="24"/>
          <w:szCs w:val="24"/>
          <w:lang w:eastAsia="ru-RU"/>
        </w:rPr>
      </w:pPr>
      <w:r w:rsidRPr="003D7553">
        <w:rPr>
          <w:rFonts w:ascii="Times New Roman" w:eastAsia="SimSun" w:hAnsi="Times New Roman"/>
          <w:sz w:val="24"/>
          <w:szCs w:val="24"/>
          <w:lang w:eastAsia="ru-RU"/>
        </w:rPr>
        <w:t>ул. Гоголя, 41, г. Владивосток, Приморский край, Россия, 690014</w:t>
      </w:r>
    </w:p>
    <w:p w14:paraId="6858C6DB" w14:textId="77777777" w:rsidR="002245D5" w:rsidRPr="00F46A43" w:rsidRDefault="00F46A43" w:rsidP="00F46A43">
      <w:pPr>
        <w:spacing w:line="240" w:lineRule="auto"/>
        <w:ind w:firstLine="709"/>
        <w:jc w:val="center"/>
        <w:rPr>
          <w:rFonts w:ascii="Times New Roman" w:hAnsi="Times New Roman"/>
          <w:i/>
          <w:iCs/>
          <w:sz w:val="24"/>
          <w:szCs w:val="24"/>
          <w:lang w:val="en-US"/>
        </w:rPr>
      </w:pPr>
      <w:r w:rsidRPr="003D7553">
        <w:rPr>
          <w:rFonts w:ascii="Times New Roman" w:eastAsia="SimSun" w:hAnsi="Times New Roman"/>
          <w:sz w:val="24"/>
          <w:szCs w:val="24"/>
          <w:lang w:val="en-US" w:eastAsia="ru-RU"/>
        </w:rPr>
        <w:t xml:space="preserve">E-mail: fedoreeva_mariya_4@mail.ru; </w:t>
      </w:r>
      <w:r w:rsidRPr="003D7553">
        <w:rPr>
          <w:rFonts w:ascii="Times New Roman" w:eastAsia="SimSun" w:hAnsi="Times New Roman"/>
          <w:sz w:val="24"/>
          <w:szCs w:val="24"/>
          <w:lang w:eastAsia="ru-RU"/>
        </w:rPr>
        <w:t>тел</w:t>
      </w:r>
      <w:r w:rsidRPr="003D7553">
        <w:rPr>
          <w:rFonts w:ascii="Times New Roman" w:eastAsia="SimSun" w:hAnsi="Times New Roman"/>
          <w:sz w:val="24"/>
          <w:szCs w:val="24"/>
          <w:lang w:val="en-US" w:eastAsia="ru-RU"/>
        </w:rPr>
        <w:t>.: +79149658685</w:t>
      </w:r>
    </w:p>
    <w:p w14:paraId="0D5575B8" w14:textId="77777777" w:rsidR="002245D5" w:rsidRPr="003D7553" w:rsidRDefault="002245D5" w:rsidP="002245D5">
      <w:pPr>
        <w:spacing w:after="0" w:line="240" w:lineRule="auto"/>
        <w:ind w:firstLine="709"/>
        <w:jc w:val="both"/>
        <w:rPr>
          <w:rFonts w:ascii="Times New Roman" w:hAnsi="Times New Roman"/>
          <w:i/>
          <w:iCs/>
          <w:sz w:val="24"/>
          <w:szCs w:val="24"/>
        </w:rPr>
      </w:pPr>
      <w:r w:rsidRPr="003D7553">
        <w:rPr>
          <w:rFonts w:ascii="Times New Roman" w:hAnsi="Times New Roman"/>
          <w:i/>
          <w:iCs/>
          <w:sz w:val="24"/>
          <w:szCs w:val="24"/>
        </w:rPr>
        <w:t>Аннотация. Переход к рыночной модели экономики потянул за собой необходимость создания в Российской Федерации рынка ссудных капиталов для обслуживания потребностей хозяйства. Данная статья посвящена анализу процесса формирования рынка ссудного капитала и финансово-промышленных групп в России. Сложившаяся экономическая ситуация оказывает значительное влияние на экономику стран, поэтому тему данной статьи можно считать актуальной.</w:t>
      </w:r>
    </w:p>
    <w:p w14:paraId="122E6E03" w14:textId="77777777" w:rsidR="002245D5" w:rsidRPr="003D7553" w:rsidRDefault="002245D5" w:rsidP="00F46A43">
      <w:pPr>
        <w:spacing w:after="0" w:line="240" w:lineRule="auto"/>
        <w:ind w:firstLine="708"/>
        <w:jc w:val="both"/>
        <w:rPr>
          <w:rFonts w:ascii="Times New Roman" w:hAnsi="Times New Roman"/>
          <w:i/>
          <w:iCs/>
          <w:sz w:val="24"/>
          <w:szCs w:val="24"/>
        </w:rPr>
      </w:pPr>
      <w:r w:rsidRPr="003D7553">
        <w:rPr>
          <w:rFonts w:ascii="Times New Roman" w:hAnsi="Times New Roman"/>
          <w:b/>
          <w:i/>
          <w:iCs/>
          <w:sz w:val="24"/>
          <w:szCs w:val="24"/>
        </w:rPr>
        <w:t>Ключевые слова</w:t>
      </w:r>
      <w:r w:rsidRPr="003D7553">
        <w:rPr>
          <w:rFonts w:ascii="Times New Roman" w:hAnsi="Times New Roman"/>
          <w:i/>
          <w:iCs/>
          <w:sz w:val="24"/>
          <w:szCs w:val="24"/>
        </w:rPr>
        <w:t>: ссудный капитал, кредит, банк, денежный капитал, кредитование, банковская система, рынок ссудного капитала, финансово-промышленные группы</w:t>
      </w:r>
    </w:p>
    <w:p w14:paraId="1C0157D6" w14:textId="77777777" w:rsidR="002245D5" w:rsidRPr="003D7553" w:rsidRDefault="002245D5" w:rsidP="002245D5">
      <w:pPr>
        <w:spacing w:after="0" w:line="240" w:lineRule="auto"/>
        <w:ind w:firstLine="709"/>
        <w:jc w:val="both"/>
        <w:rPr>
          <w:rFonts w:ascii="Times New Roman" w:hAnsi="Times New Roman"/>
          <w:sz w:val="24"/>
          <w:szCs w:val="24"/>
        </w:rPr>
      </w:pPr>
    </w:p>
    <w:p w14:paraId="6F95D7AB" w14:textId="77777777" w:rsidR="002245D5" w:rsidRPr="003D7553" w:rsidRDefault="00F025EC" w:rsidP="002245D5">
      <w:pPr>
        <w:spacing w:after="0" w:line="240" w:lineRule="auto"/>
        <w:ind w:firstLine="709"/>
        <w:jc w:val="both"/>
        <w:rPr>
          <w:rFonts w:ascii="Book Antiqua" w:hAnsi="Book Antiqua"/>
          <w:b/>
          <w:iCs/>
          <w:sz w:val="24"/>
          <w:szCs w:val="24"/>
          <w:lang w:val="en-US"/>
        </w:rPr>
      </w:pPr>
      <w:r w:rsidRPr="003D7553">
        <w:rPr>
          <w:rFonts w:ascii="Book Antiqua" w:hAnsi="Book Antiqua"/>
          <w:b/>
          <w:iCs/>
          <w:sz w:val="24"/>
          <w:szCs w:val="24"/>
          <w:lang w:val="en-US"/>
        </w:rPr>
        <w:t>FEATURES OF THE FORMATION OF THE MARKET OF LOAN CAPITAL AND FINANCIAL AND INDUSTRIAL GROUPS IN RUSSIA AND THEIR ROLE IN THE DEVELOPMENT OF THE INTERNATIONAL LOAN MARKET</w:t>
      </w:r>
    </w:p>
    <w:p w14:paraId="3691E7B2" w14:textId="77777777" w:rsidR="00F025EC" w:rsidRPr="003D7553" w:rsidRDefault="00F025EC" w:rsidP="002245D5">
      <w:pPr>
        <w:spacing w:after="0" w:line="240" w:lineRule="auto"/>
        <w:ind w:firstLine="709"/>
        <w:jc w:val="both"/>
        <w:rPr>
          <w:rFonts w:ascii="Times New Roman" w:hAnsi="Times New Roman"/>
          <w:i/>
          <w:sz w:val="24"/>
          <w:szCs w:val="24"/>
          <w:lang w:val="en-US" w:eastAsia="ru-RU"/>
        </w:rPr>
      </w:pPr>
    </w:p>
    <w:p w14:paraId="11EE02DA" w14:textId="77777777" w:rsidR="00F46A43" w:rsidRDefault="002245D5" w:rsidP="00F46A43">
      <w:pPr>
        <w:spacing w:after="0" w:line="240" w:lineRule="auto"/>
        <w:ind w:firstLine="709"/>
        <w:jc w:val="both"/>
        <w:rPr>
          <w:rFonts w:ascii="Times New Roman" w:hAnsi="Times New Roman"/>
          <w:i/>
          <w:iCs/>
          <w:sz w:val="24"/>
          <w:szCs w:val="24"/>
          <w:lang w:val="en-US"/>
        </w:rPr>
      </w:pPr>
      <w:r w:rsidRPr="003D7553">
        <w:rPr>
          <w:rFonts w:ascii="Times New Roman" w:hAnsi="Times New Roman"/>
          <w:i/>
          <w:sz w:val="24"/>
          <w:szCs w:val="24"/>
          <w:lang w:val="en-US" w:eastAsia="ru-RU"/>
        </w:rPr>
        <w:t>Annotation</w:t>
      </w:r>
      <w:r w:rsidRPr="003D7553">
        <w:rPr>
          <w:rFonts w:ascii="Times New Roman" w:hAnsi="Times New Roman"/>
          <w:i/>
          <w:iCs/>
          <w:sz w:val="24"/>
          <w:szCs w:val="24"/>
          <w:lang w:val="en-US"/>
        </w:rPr>
        <w:t>. The transition to a market economy model has dragged the need for the creation in the Russian Federation of a loan capital market to serve the needs of the economy. This article is devoted to the analysis of the process of formation of the loan market and financial-industrial groups in Russia. The current economic situation has a significant impact on the economies of countries, so the topic of this article can be considered relevant.</w:t>
      </w:r>
    </w:p>
    <w:p w14:paraId="0545302C" w14:textId="77777777" w:rsidR="002245D5" w:rsidRPr="003D7553" w:rsidRDefault="00F46A43" w:rsidP="00F46A43">
      <w:pPr>
        <w:spacing w:after="0" w:line="240" w:lineRule="auto"/>
        <w:jc w:val="both"/>
        <w:rPr>
          <w:rFonts w:ascii="Times New Roman" w:hAnsi="Times New Roman"/>
          <w:i/>
          <w:iCs/>
          <w:sz w:val="24"/>
          <w:szCs w:val="24"/>
          <w:lang w:val="en-US"/>
        </w:rPr>
      </w:pPr>
      <w:r w:rsidRPr="00F46A43">
        <w:rPr>
          <w:rFonts w:ascii="Times New Roman" w:hAnsi="Times New Roman"/>
          <w:i/>
          <w:iCs/>
          <w:sz w:val="24"/>
          <w:szCs w:val="24"/>
          <w:lang w:val="en-US"/>
        </w:rPr>
        <w:lastRenderedPageBreak/>
        <w:t xml:space="preserve">            </w:t>
      </w:r>
      <w:r w:rsidR="002245D5" w:rsidRPr="003D7553">
        <w:rPr>
          <w:rFonts w:ascii="Times New Roman" w:hAnsi="Times New Roman"/>
          <w:b/>
          <w:i/>
          <w:iCs/>
          <w:sz w:val="24"/>
          <w:szCs w:val="24"/>
          <w:lang w:val="en-US"/>
        </w:rPr>
        <w:t>Keywords</w:t>
      </w:r>
      <w:r w:rsidR="002245D5" w:rsidRPr="003D7553">
        <w:rPr>
          <w:rFonts w:ascii="Times New Roman" w:hAnsi="Times New Roman"/>
          <w:i/>
          <w:iCs/>
          <w:sz w:val="24"/>
          <w:szCs w:val="24"/>
          <w:lang w:val="en-US"/>
        </w:rPr>
        <w:t>: loan capital, industrial production, credit, bank, money capital, lending, banking system, loan market, financial and industrial group.</w:t>
      </w:r>
    </w:p>
    <w:p w14:paraId="526770CE" w14:textId="77777777" w:rsidR="002245D5" w:rsidRPr="003D7553" w:rsidRDefault="002245D5" w:rsidP="002245D5">
      <w:pPr>
        <w:spacing w:after="0" w:line="240" w:lineRule="auto"/>
        <w:ind w:firstLine="709"/>
        <w:jc w:val="both"/>
        <w:rPr>
          <w:rFonts w:ascii="Times New Roman" w:hAnsi="Times New Roman"/>
          <w:i/>
          <w:iCs/>
          <w:sz w:val="24"/>
          <w:szCs w:val="24"/>
          <w:lang w:val="en-US"/>
        </w:rPr>
      </w:pPr>
    </w:p>
    <w:p w14:paraId="24CCB669"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Современная история формирования рынка ссудных капиталов и финансово-промышленных групп в Российской Федерации берет свое начало с конца 1988 – начала 1989 года. Это время ознаменовалось переходом от плановой к рыночной экономике, а значит необходимо было создать двухуровневую банковскую систему: Центральный банк, который был учрежден 13 июля 1990 года, и сеть коммерческих банков [4]. В дальнейшем условия для создания соответствующего рынка капиталов стали более благоприятными: в 1988-1989 годах начался достаточно решительный процесс по созданию коммерческих банков как центрального механизма банковской и кредитной сфер, произошла организация первых независимых страховых компании, параллельно с этим начался выпуск акций некоторых крупных предприятий таких, например, как КамАЗ, АвтоВАЗ и других, начал расширяться выпуск государственных ценных бумаг за счет появления пятипроцентных облигаций. В дальнейшем начал появляться выпуск ценных бумаг, а также и новые кредитные институты, которые в свою очередь торговали, главным образом, деньгами, вызывая при этом необходимость создания фондовых отделов торговых бирж и организаций в форме юридических лиц в Москве, Санкт-Петербурге, Нижнем Новгороде. В частности, в 1990 году состоялось открытие Санкт-Петербургской фондовой биржи.</w:t>
      </w:r>
    </w:p>
    <w:p w14:paraId="5FC595F7"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Переход к рыночной экономике в начале 90-х годов обнажил острую необходимость ускоренного формирования рынка ссудных капиталов в соответствии с современной западной моделью, которая в свою очередь предполагает наличие двух основных ярусов.</w:t>
      </w:r>
    </w:p>
    <w:p w14:paraId="66DD4B35"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Отдельные элементы такого рынка в СССР уже существовали, в том числе кредитная система пусть и в минимизированном виде представленная банковской сферой, имелись государственные страховые учреждения, а кроме того, имелся и рынок ценных бумаг в виде ограниченного выпуска выигрышных государственных займов.</w:t>
      </w:r>
    </w:p>
    <w:p w14:paraId="4A43BC06"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Но всё же, невзирая на происходящее, рынок судного капитала Российской Федерации по-прежнему в значительной степени отставал от аналогичных рынков стран Запада. Это было в первую очередь связано с отсутствием полноценного рынка средств производства и рынка недвижимости, функционирование которых возможно только в условиях обширной и полной приватизации, акционирования большей части государственной собственности. Необходимо было кроме всего прочего в кратчайшее время сформировать рынок рабочей силы с высокой степенью мобильности и рынок земли, то есть условия необходимые для расширения рынка ценных бумаг, а также для последующего развития новых кредитно-финансовых институтов, укрепления связи между элементами рынка ссудных капиталов, обеспечения спроса и предложения на денежный капитал.</w:t>
      </w:r>
    </w:p>
    <w:p w14:paraId="55476873"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Вследствие чего основными направлениями в формировании рынка ссудных капиталов должны были стать высокая норма сбережений, широкая приватизация, связанная с организацией рынка ценных бумаг, и создание на ее базе сети специализированных кредитно-финансовых институтов и финансово-промышленных групп.</w:t>
      </w:r>
    </w:p>
    <w:p w14:paraId="117135C0"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Теперь можно сказать, что процесс создания рынка ссудных капиталов в Российской Федерации развивался со значительными противоречиями и трудностями, но, тем не менее, к середине 90-х годов такой рынок всё же был создан. Этому в значительной степени помогло углубление реформ, которые в свою очередь были направлены на переход к рыночной экономике. В результате произошло дальнейшее разрастание кредитной системы за счет увеличения числа как коммерческих, так и других типов банков, например, сберегательных, инвестиционных и других, а кроме того расширение круга специализированных небанковских кредитно-финансовых институтов, различных страховых компаний, инвестиционных фондов.</w:t>
      </w:r>
    </w:p>
    <w:p w14:paraId="0E93A3E7"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Кроме этого к середине 90-х годов в Российской Федерации в целом уже сформировался рынок ценных бумаг в виде первичного, вторичного (представленного фондовыми биржами) и внебиржевого рынков.</w:t>
      </w:r>
    </w:p>
    <w:p w14:paraId="318686CB"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lastRenderedPageBreak/>
        <w:t xml:space="preserve">Одновременно с этим в 1993-1995 годах была осуществлена широкая приватизация собственности, которая в свою очередь привела к созданию большого количества акционерных компаний и предприятий в различных сферах российской экономики, что предоставило возможность для них определить реальные потребности в ссудном капитале. С этим же периодом связано возникновение рынка недвижимости и жилья, к тому же определился рынок рабочей силы. </w:t>
      </w:r>
    </w:p>
    <w:p w14:paraId="3EFA0472"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Формирование рынка ссудных капиталов в России обеспечила также значительно более продуманная, в сравнении с началом 90-х годов, кредитно-денежная политика Центрального Банка и законодательно-правовое обеспечение правительства и парламента Российской Федерации. Начиная с 1993 года государство начало выпускать государственные облигации с целью покрытия дефицита государственного бюджета. Таким образом, к середине 90-х годов был сформирован определённый спрос на ссудный капитал со стороны практически всех секторов экономики, соответственно стало появляться и предложения, теперь уже со стороны кредитно-финансовых институтов в виде предоставления кредитов, различных инвесторов как физических, так и юридических лиц, а также ещё и иностранных клиентов как вероятных покупателей акций, частных и государственных облигаций. В результате приватизации и акционирования весьма значительная часть предприятий перешла из государственной в частную собственность [2].</w:t>
      </w:r>
    </w:p>
    <w:p w14:paraId="5548F971"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Требуется сразу подчеркнуть, что создание рынка капиталов в Российской Федерации происходило в достаточно сложных условиях: на фоне гиперинфляции 1993-1995 годов, нарастания взаимных задолженностей предприятий и общего падения производства, жёстких потрясений в банковском секторе, вылившихся в целую серию банкротств коммерческих банков начиная с 1995 года, особо крупных мошенничеств и создания финансовых пирамид в кредитном секторе, причём всё это происходило на фоне роста дефицита бюджета и нарастания государственного долга. В сущности, перечисленные факторы и определили в целом характер развития российского рынка ссудных капиталов с точки зрения удовлетворения потребностей субъектов рынка в капитале. Это выразилось, в первую очередь, в том, что и до настоящего времени кредитная система Российской Федерации работает главным образом с краткосрочными и среднесрочными кредитами, а высоколиквидные государственные ценные бумаги пользуются достаточно высоким и устойчивым спросом на рынке.</w:t>
      </w:r>
    </w:p>
    <w:p w14:paraId="1CBC9801"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Современное развитие рынка ссудных капиталов можно реализовать только при наличии иных рынков: средств производства; предметов потребления; рабочей силы; недвижимости и земли. Всем этим рынкам для работы необходимы вполне определённые денежные средства, именно их и может обеспечить рынок ссудных капиталов. На этом основывается основной принцип формирования рынка ссудных капиталов. Деятельность рынка ссудных капиталов в России ограничена многими факторами: неразвитость рыночной системы влечет отсталость в развитии институтов рынка ссудных капиталов - кредитной системы, фондового рынка и в производственных и рыночных отношениях.</w:t>
      </w:r>
    </w:p>
    <w:p w14:paraId="19132D3B"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Чтобы определить основные элементы отечественных финансово-промышленных групп, необходимо рассмотреть их процесс формирования и привлечения крупных частных капиталов, поскольку именно факт наличия значительного капитала является основой в формировании финансово-промышленных групп.</w:t>
      </w:r>
    </w:p>
    <w:p w14:paraId="206AD23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Зарождение финансово-промышленных групп непосредственно связано с имевшейся в 90-е годы слабостью государственной власти и законодательства, зачаточным состоянием рыночных институтов, быстрыми темпами приватизации и открытия экономики, неопытностью населения, что в комплексе и создали благоприятную обстановку для спонтанного формирования крупных частных капиталов. Быстрое развитие крупнейших финансовых структур в Российской Федерации главным образом является результатом их тесных связей с государственным сектором и многочисленными неявными льготами, полученными от правительства на индивидуальной основе. То есть именно государственный сектор стал своего рода инкубатором для частных фирм.</w:t>
      </w:r>
    </w:p>
    <w:p w14:paraId="41258EFB"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lastRenderedPageBreak/>
        <w:t>Льготный, привилегированный доступ к государственным ресурсам явился необходимым условием успешного развития крупного частного бизнеса.</w:t>
      </w:r>
    </w:p>
    <w:p w14:paraId="6471A928"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Для банковского сектора России того периода весьма характерен крайне высокий темп рыночных преобразований. Более того, на протяжении 1988-1991 годов он был полностью открыт для входа на рынок новых участников. Требования к минимальному размеру уставного капитала были предельно низки, госпредприятия, имевшие значительные средства и становились учредителями «своих» банков.</w:t>
      </w:r>
    </w:p>
    <w:p w14:paraId="71224ED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Однако истинный расцвет банковской сферы пришёлся на либерализацию 1992 года. В сложившейся ситуации именно банковский сектор больше всех выиграл от инфляции. Ситуацию подстегнули и неэффективная платежная система, и неразвитость валютного рынка, и неустойчивый валютный курс рубля. Все эти проблемы банки сумели использовать в своих интересах.</w:t>
      </w:r>
    </w:p>
    <w:p w14:paraId="74002F99"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1993 году со стороны Центрального Банка Российской Федерации начался процесс упорядочения банковской сферы. Был повышен уровень уставного капитала, что способствовало централизации банковского капитала. </w:t>
      </w:r>
    </w:p>
    <w:p w14:paraId="588DB81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Экспансия крупных банков внутри самого банковского сектора, с последующим формированием сетей столичных банков в регионах стала одной из особенностей этого этапа развития финансово-промышленных групп. Банки пошли на это, чтобы получить доступ к местным денежным ресурсам, укрепить взаимоотношение с мелкими банками. Более того крупные банки предпочитали поглощение более мелких банков как более эффективные вложения, нежели открытие филиала «на пустом месте».</w:t>
      </w:r>
    </w:p>
    <w:p w14:paraId="31939C0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Здесь же необходимо отметить, что, как правило, банки имеют более квалифицированный персонал, чем остальные экономические субъекты. Это даёт им возможность формировать собственные инвестиционные стратегии, которые в свою очередь нацелена на приобретение существенной доли в секторах, имеющих возможности для роста в среднесрочной перспективе [1].</w:t>
      </w:r>
    </w:p>
    <w:p w14:paraId="7D15426D"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Таким образом, ключевым элементом, в формировавшихся отечественных финансово-промышленных группах являлись банки.</w:t>
      </w:r>
    </w:p>
    <w:p w14:paraId="68D94796"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Вторая эффективная сфера быстрого накопления капитала, безусловно, торговля. Высокая прибыльность торгового бизнеса в России в первую очередь связана с колоссальными различиями в структурах внутренних и мировых цен, что сделало внешнюю торговлю сразу после отказа от государственной монополии на эту сферу предельно эффективной. </w:t>
      </w:r>
    </w:p>
    <w:p w14:paraId="09F53C3F"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 связи с этим зачастую торговые структуры стали появляться раньше, чем финансовые, и со своей стороны выступили материнскими компаниями по отношению к последним. Но с учетом прибыльности банковского бизнеса практически все значительные торговые компании не только открыли собственные банки, но и в дальнейшем стали рассматривать собственную банковскую деятельность в качестве приоритетного направления.</w:t>
      </w:r>
    </w:p>
    <w:p w14:paraId="610991B8"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Со своей стороны, банки интенсивно внедряются на рынок торговых услуг, создавая свои дочерние компании. Кроме того, банки стали активно участвовать в приобретении акций крупнейших предприятий розничной торговли.</w:t>
      </w:r>
    </w:p>
    <w:p w14:paraId="06DC8840"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Таким образом, именно банки и торговые компании стали на сегодняшний день основными структурообразующими элементами финансово-промышленных групп. Кроме того, в современной структуре финансово-промышленных групп, практически всегда присутствуют еще два «типовых» элемента, таких как страховая компания и чековый инвестиционный фонд. В условиях инфляции и что немаловажно при отсутствии в обществе стойких традиций на использование страховых услуг развитие страхования достаточно часто сталкивается с ограничениями по спросу. Хотя в рамках более крупных структур страховые компании оказываются весьма полезными, в том числе, для безналогового увеличения наличных выплат работающим в финансово-промышленных групп и организации легального вывоза капитала, который осуществляется через перестрахование за рубежом.</w:t>
      </w:r>
    </w:p>
    <w:p w14:paraId="068A2FFB"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lastRenderedPageBreak/>
        <w:t>Первоначально инвестиционные фонды использовались главным образом для аккумуляции приватизационных чеков, а затем для проведения спекулятивной игры ваучерами. Дело в том, что особенности российского законодательства требовала от банков создания дочерних структур для выхода на этот новый рынок. Именно сейчас инвестиционные фонды играют основную роль в практическом осуществлении инвестиционной стратегии финансово-промышленных групп в части приобретения пакетов акций и отдельных предприятий в ходе приватизации. Здесь необходимо учесть, что законодательство Российской Федерации в значительной степени ограничивает прямые банковские инвестиции в небанковские предприятия. Способом обхода закона стало учреждение дочерних компаний, и в первую очередь инвестиционных компаний и фондов.</w:t>
      </w:r>
    </w:p>
    <w:p w14:paraId="1092FCCC"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несколько меньшей степени в структуре современных финансово-промышленных групп начали распространяться такие преобразования, как, например, фирмы по работе с недвижимостью. </w:t>
      </w:r>
    </w:p>
    <w:p w14:paraId="2FEF0768"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Что касается промышленных предприятий, то фактически финансово-промышленная группа всегда выбирает наиболее приоритетные направления инвестирования на основе сочетания определённых критериев.</w:t>
      </w:r>
    </w:p>
    <w:p w14:paraId="7CBEED82" w14:textId="77777777" w:rsidR="002245D5" w:rsidRPr="003D7553" w:rsidRDefault="002245D5" w:rsidP="002245D5">
      <w:pPr>
        <w:spacing w:after="0" w:line="240" w:lineRule="auto"/>
        <w:ind w:firstLine="709"/>
        <w:jc w:val="both"/>
        <w:rPr>
          <w:rFonts w:ascii="Times New Roman" w:hAnsi="Times New Roman" w:cs="Times New Roman"/>
          <w:sz w:val="24"/>
          <w:szCs w:val="24"/>
        </w:rPr>
      </w:pPr>
    </w:p>
    <w:p w14:paraId="6E36661F" w14:textId="77777777" w:rsidR="002245D5" w:rsidRPr="003D7553" w:rsidRDefault="002245D5" w:rsidP="002245D5">
      <w:pPr>
        <w:spacing w:line="240" w:lineRule="auto"/>
        <w:ind w:firstLine="709"/>
        <w:jc w:val="center"/>
        <w:rPr>
          <w:rFonts w:ascii="Times New Roman" w:hAnsi="Times New Roman" w:cs="Times New Roman"/>
          <w:sz w:val="24"/>
          <w:szCs w:val="24"/>
          <w:lang w:val="en-US"/>
        </w:rPr>
      </w:pPr>
      <w:r w:rsidRPr="003D7553">
        <w:rPr>
          <w:rFonts w:ascii="Times New Roman" w:hAnsi="Times New Roman" w:cs="Times New Roman"/>
          <w:noProof/>
          <w:sz w:val="24"/>
          <w:szCs w:val="24"/>
          <w:lang w:eastAsia="ru-RU"/>
        </w:rPr>
        <w:drawing>
          <wp:inline distT="0" distB="0" distL="0" distR="0" wp14:anchorId="087BBEA3" wp14:editId="07777777">
            <wp:extent cx="5019675" cy="3057525"/>
            <wp:effectExtent l="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019675" cy="3057525"/>
                    </a:xfrm>
                    <a:prstGeom prst="rect">
                      <a:avLst/>
                    </a:prstGeom>
                    <a:noFill/>
                    <a:ln>
                      <a:noFill/>
                    </a:ln>
                  </pic:spPr>
                </pic:pic>
              </a:graphicData>
            </a:graphic>
          </wp:inline>
        </w:drawing>
      </w:r>
    </w:p>
    <w:p w14:paraId="7816FF79" w14:textId="77777777" w:rsidR="002245D5" w:rsidRPr="003D7553" w:rsidRDefault="002245D5" w:rsidP="002245D5">
      <w:pPr>
        <w:spacing w:line="240" w:lineRule="auto"/>
        <w:ind w:firstLine="709"/>
        <w:jc w:val="center"/>
        <w:rPr>
          <w:rFonts w:ascii="Times New Roman" w:hAnsi="Times New Roman" w:cs="Times New Roman"/>
          <w:sz w:val="24"/>
          <w:szCs w:val="24"/>
        </w:rPr>
      </w:pPr>
      <w:r w:rsidRPr="003D7553">
        <w:rPr>
          <w:rFonts w:ascii="Times New Roman" w:hAnsi="Times New Roman" w:cs="Times New Roman"/>
          <w:sz w:val="24"/>
          <w:szCs w:val="24"/>
        </w:rPr>
        <w:t>Рис. 1. Структура финансово-промышленных групп</w:t>
      </w:r>
    </w:p>
    <w:p w14:paraId="5E508FF3"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На основании всего выше сказанного напрашивается вполне логичный вывод, что участниками финансово-промышленной группы могут стать различные промышленные предприятия, финансово-кредитные учреждения и прочие юридические лица, представление на рис. 1 [5]. При этом важно понимать, что в настоящее время ведущими элементами финансово-промышленных групп являются всё же банки, в связи с чем необходимо более подробно отразить роль финансово-кредитных институтов в формировании и развитии ФПГ [3].</w:t>
      </w:r>
    </w:p>
    <w:p w14:paraId="634398F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Очевидно, стоит привести несколько факторов, которые сдерживают развитие финансово-промышленных групп. Разумеется, это экономическая и политическая нестабильность, неблагоприятный инвестиционный климат, низкий жизненный уровень и покупательная способность населения. Но существует ещё один значительный фактор, а именно общая социальная ситуация в стране и соответствующим образом сформированное общественное мнение. </w:t>
      </w:r>
    </w:p>
    <w:p w14:paraId="4EDDB936"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lastRenderedPageBreak/>
        <w:t>Разумеется, формирование ФПГ в конечном результате приводит к значительной концентрации производства и капитала, что в немалой степени содействует усилению монополизации рынков и экономики страны.</w:t>
      </w:r>
    </w:p>
    <w:p w14:paraId="1A877852"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 России реальный уровень концентрации производства традиционно был значительно ниже, чем в развитых странах, а уровень монополизации при этом значительно выше, поскольку конкуренции фактически не было. Потому-то отечественные монополии формировались не благодаря научно-техническому превосходству и победам в конкурентной борьбе, а из-за организованного государством разделения труда. В имевшихся условиях монополистами могли стать даже самые захудалые, более того технически отсталые предприятия, в случае если они работали на дефицитный рынок, где спрос значительно превышал предложение. Результатом этого искусственного монополизма стал, с началом рыночных отношений, массовый развал убыточных предприятий.</w:t>
      </w:r>
    </w:p>
    <w:p w14:paraId="1935D72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Стремление поставить знак тождества между концентрацией производства и капитала с монополизацией, всё ещё присущ специалистам, составляющим российские программы развития, что в итоге имеет пагубные последствия для отечественной экономики.</w:t>
      </w:r>
    </w:p>
    <w:p w14:paraId="6E75E6FD"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Вполне очевидно, что намечается дальнейшее противодействие созданию новых монопольных структур со стороны государства, в том числе при дальнейшей приватизации государственных предприятий и осуществлении имущественных сделок. Причём в целях профилактики возможных проявлений монополизма предусматривается осуществление соответствующими органами государственной власти предварительного контроля над ними в процессе слияния, присоединения коммерческих организаций, в том числе ФПГ.</w:t>
      </w:r>
    </w:p>
    <w:p w14:paraId="261A6FBE"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Известно, что быстроразвивающийся российский рынок ссудных капиталов является важным фактором международных экономических отношений. Миграция капитала объективно приводит к укреплению внешнеэкономических и политических связей стран в мировом хозяйстве, к росту их взаимосвязи и взаимозависимости, а также к увеличению экономического и технического потенциала стран, участвующих в мировом хозяйственном обороте, к росту благосостояния отдельных национальных экономик и мирового хозяйства в целом.</w:t>
      </w:r>
    </w:p>
    <w:p w14:paraId="1A86AAB3"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 сожалению, стабильность международных рынков относительно не высока и эта нестабильность может еще значительно возрасти в ближайшем будущем, если не будут приняты уже востребованные меры по усилению контроля над рынками. В том случае, когда финансовые рынки отдельной страны полностью открыты и тем самым подвержены всем капризам и колебаниям международных финансовых центров, это вполне реально способно вызвать определённую нестабильность, которую страна, которая полностью зависит от иностранного капитала, выдержать не в состоянии</w:t>
      </w:r>
    </w:p>
    <w:p w14:paraId="51D5AF26"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Современное положение российского рынка ссудного капитала на мировой арене диктует необходимость постоянного совершенствования систем и структур, а также деятельности банков и фондовых бирж, в том числе и предоставление займов через выпуск акций и других ценных бумаг. Вовлечение зарубежных инвестиций, в частности, в большие промышленные проекты, поможет повысить роль финансового сектора.</w:t>
      </w:r>
    </w:p>
    <w:p w14:paraId="38645DC7" w14:textId="77777777" w:rsidR="002245D5" w:rsidRPr="003D7553" w:rsidRDefault="007014C7" w:rsidP="002245D5">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pict w14:anchorId="52E387E8">
          <v:line id="Прямая соединительная линия 9" o:spid="_x0000_s1143" style="position:absolute;left:0;text-align:left;z-index:251659264;visibility:visible;mso-wrap-distance-top:-3e-5mm;mso-wrap-distance-bottom:-3e-5mm" from="36.3pt,6.4pt" to="253.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" strokecolor="black [3040]">
            <o:lock v:ext="edit" shapetype="f"/>
          </v:line>
        </w:pict>
      </w:r>
    </w:p>
    <w:p w14:paraId="78DF37C8" w14:textId="77777777" w:rsidR="002245D5" w:rsidRPr="003D7553" w:rsidRDefault="002245D5" w:rsidP="00202D58">
      <w:pPr>
        <w:numPr>
          <w:ilvl w:val="0"/>
          <w:numId w:val="5"/>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Белоглазова Г.Н. Деньги, кредит, банки. Учебник для академического бакалавриата / Г.Н. Белоглазова // Гриф УМОР ВО. - 2014. - 620 с.</w:t>
      </w:r>
    </w:p>
    <w:p w14:paraId="1517B080" w14:textId="77777777" w:rsidR="002245D5" w:rsidRPr="003D7553" w:rsidRDefault="002245D5" w:rsidP="00202D58">
      <w:pPr>
        <w:numPr>
          <w:ilvl w:val="0"/>
          <w:numId w:val="5"/>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Жуков Е.Ф. Банки и небанковские кредитные организации. и их операции: учебник: 4-е изд., перераб. и доп  / Е.Ф. Жуков, Н.Д. Эриашвили // Москва: Юнити-Дана. - 2015. - 559 с.</w:t>
      </w:r>
    </w:p>
    <w:p w14:paraId="706A190A" w14:textId="77777777" w:rsidR="002245D5" w:rsidRPr="003D7553" w:rsidRDefault="002245D5" w:rsidP="00202D58">
      <w:pPr>
        <w:numPr>
          <w:ilvl w:val="0"/>
          <w:numId w:val="5"/>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Сажнева Л.П. Структура и основы деятельности предприятий различных форм собственности / Л.П. Сажнева // ИТМО. - 2014. - 176 с.</w:t>
      </w:r>
    </w:p>
    <w:p w14:paraId="71014451" w14:textId="77777777" w:rsidR="002245D5" w:rsidRPr="003D7553" w:rsidRDefault="002245D5" w:rsidP="00202D58">
      <w:pPr>
        <w:numPr>
          <w:ilvl w:val="0"/>
          <w:numId w:val="5"/>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 xml:space="preserve">Рынок ссудных капиталов в современной РФ [Электронный ресурс]. - Режим доступа: http://reftrend.ru/932957.html </w:t>
      </w:r>
    </w:p>
    <w:p w14:paraId="76D98F2E" w14:textId="77777777" w:rsidR="002245D5" w:rsidRPr="003D7553" w:rsidRDefault="002245D5" w:rsidP="00202D58">
      <w:pPr>
        <w:numPr>
          <w:ilvl w:val="0"/>
          <w:numId w:val="5"/>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 xml:space="preserve">Финансово-промышленная группа [Электронный ресурс]. - Режим доступа:  </w:t>
      </w:r>
      <w:hyperlink r:id="rId35" w:history="1">
        <w:r w:rsidRPr="003D7553">
          <w:rPr>
            <w:rFonts w:ascii="Times New Roman" w:eastAsia="Times New Roman" w:hAnsi="Times New Roman" w:cs="Times New Roman"/>
            <w:sz w:val="24"/>
            <w:szCs w:val="24"/>
            <w:lang w:eastAsia="ru-RU"/>
          </w:rPr>
          <w:t>http://www.grandars.ru/college/ekonomika-firmy/finansovo-promyshlennaya-gruppa.html</w:t>
        </w:r>
      </w:hyperlink>
    </w:p>
    <w:p w14:paraId="135E58C4" w14:textId="77777777" w:rsidR="00B7659B" w:rsidRDefault="00B7659B" w:rsidP="002245D5">
      <w:pPr>
        <w:widowControl w:val="0"/>
        <w:autoSpaceDE w:val="0"/>
        <w:autoSpaceDN w:val="0"/>
        <w:adjustRightInd w:val="0"/>
        <w:spacing w:line="240" w:lineRule="auto"/>
        <w:rPr>
          <w:rFonts w:ascii="Times New Roman" w:eastAsia="MS ??" w:hAnsi="Times New Roman" w:cs="Times New Roman"/>
          <w:b/>
          <w:sz w:val="20"/>
          <w:szCs w:val="24"/>
          <w:lang w:eastAsia="ru-RU"/>
        </w:rPr>
      </w:pPr>
    </w:p>
    <w:p w14:paraId="55C5FE75" w14:textId="77777777" w:rsidR="00212D0F" w:rsidRPr="00F46A43" w:rsidRDefault="00212D0F" w:rsidP="00212D0F">
      <w:pPr>
        <w:jc w:val="both"/>
        <w:rPr>
          <w:rFonts w:ascii="Times New Roman" w:hAnsi="Times New Roman" w:cs="Times New Roman"/>
          <w:b/>
          <w:color w:val="000000"/>
          <w:sz w:val="24"/>
          <w:szCs w:val="24"/>
        </w:rPr>
      </w:pPr>
      <w:r w:rsidRPr="00F46A43">
        <w:rPr>
          <w:rFonts w:ascii="Times New Roman" w:hAnsi="Times New Roman" w:cs="Times New Roman"/>
          <w:b/>
          <w:sz w:val="24"/>
          <w:szCs w:val="24"/>
        </w:rPr>
        <w:lastRenderedPageBreak/>
        <w:t xml:space="preserve">Рубрика: </w:t>
      </w:r>
      <w:r w:rsidRPr="00F46A43">
        <w:rPr>
          <w:rFonts w:ascii="Times New Roman" w:hAnsi="Times New Roman" w:cs="Times New Roman"/>
          <w:b/>
          <w:color w:val="000000"/>
          <w:sz w:val="24"/>
          <w:szCs w:val="24"/>
        </w:rPr>
        <w:t>Мировая экономика</w:t>
      </w:r>
    </w:p>
    <w:p w14:paraId="7A3BA008" w14:textId="77777777" w:rsidR="00212D0F" w:rsidRPr="003D7553" w:rsidRDefault="00212D0F" w:rsidP="00212D0F">
      <w:pPr>
        <w:jc w:val="both"/>
        <w:rPr>
          <w:rFonts w:ascii="Times New Roman" w:hAnsi="Times New Roman" w:cs="Times New Roman"/>
          <w:color w:val="333333"/>
          <w:sz w:val="24"/>
          <w:szCs w:val="24"/>
          <w:shd w:val="clear" w:color="auto" w:fill="FFFFFF"/>
        </w:rPr>
      </w:pPr>
      <w:r w:rsidRPr="003D7553">
        <w:rPr>
          <w:rFonts w:ascii="Times New Roman" w:hAnsi="Times New Roman" w:cs="Times New Roman"/>
          <w:sz w:val="24"/>
          <w:szCs w:val="24"/>
        </w:rPr>
        <w:t>УДК 332.1</w:t>
      </w:r>
    </w:p>
    <w:p w14:paraId="431191DB" w14:textId="77777777" w:rsidR="00212D0F" w:rsidRPr="003D7553" w:rsidRDefault="00F46A43" w:rsidP="00212D0F">
      <w:pPr>
        <w:jc w:val="center"/>
        <w:rPr>
          <w:rFonts w:ascii="Times New Roman" w:hAnsi="Times New Roman" w:cs="Times New Roman"/>
          <w:b/>
          <w:caps/>
          <w:sz w:val="24"/>
          <w:szCs w:val="24"/>
        </w:rPr>
      </w:pPr>
      <w:r w:rsidRPr="003D7553">
        <w:rPr>
          <w:rFonts w:ascii="Times New Roman" w:hAnsi="Times New Roman" w:cs="Times New Roman"/>
          <w:b/>
          <w:sz w:val="24"/>
          <w:szCs w:val="24"/>
        </w:rPr>
        <w:t>ОРГАНИЗАЦИОННО-ФИНАНСОВЫЕ ПРОБЛЕМЫ ФУНКЦИОНИРОВАНИЯ СВОБОДНОГО ПОРТА ВЛАДИВОСТОК.</w:t>
      </w:r>
    </w:p>
    <w:p w14:paraId="3DC97F07" w14:textId="77777777" w:rsidR="003D7553" w:rsidRPr="00F46A43" w:rsidRDefault="00F46A43" w:rsidP="00F46A43">
      <w:pPr>
        <w:shd w:val="clear" w:color="auto" w:fill="FFFFFF"/>
        <w:spacing w:after="0" w:line="240" w:lineRule="auto"/>
        <w:jc w:val="center"/>
        <w:textAlignment w:val="baseline"/>
        <w:outlineLvl w:val="1"/>
        <w:rPr>
          <w:rFonts w:ascii="Times New Roman" w:hAnsi="Times New Roman" w:cs="Times New Roman"/>
          <w:b/>
          <w:sz w:val="24"/>
          <w:szCs w:val="24"/>
        </w:rPr>
      </w:pPr>
      <w:r w:rsidRPr="00F46A43">
        <w:rPr>
          <w:rFonts w:ascii="Times New Roman" w:hAnsi="Times New Roman" w:cs="Times New Roman"/>
          <w:b/>
          <w:sz w:val="24"/>
          <w:szCs w:val="24"/>
        </w:rPr>
        <w:t>Чураков Егор Евгеньевич</w:t>
      </w:r>
    </w:p>
    <w:p w14:paraId="38700641" w14:textId="77777777" w:rsidR="00212D0F" w:rsidRPr="003D7553" w:rsidRDefault="630840AF" w:rsidP="630840AF">
      <w:pPr>
        <w:shd w:val="clear" w:color="auto" w:fill="FFFFFF" w:themeFill="background1"/>
        <w:spacing w:line="240" w:lineRule="auto"/>
        <w:jc w:val="center"/>
        <w:textAlignment w:val="baseline"/>
        <w:outlineLvl w:val="1"/>
        <w:rPr>
          <w:rFonts w:ascii="Times New Roman" w:hAnsi="Times New Roman" w:cs="Times New Roman"/>
          <w:sz w:val="24"/>
          <w:szCs w:val="24"/>
        </w:rPr>
      </w:pPr>
      <w:r w:rsidRPr="630840AF">
        <w:rPr>
          <w:rFonts w:ascii="Times New Roman" w:hAnsi="Times New Roman" w:cs="Times New Roman"/>
          <w:sz w:val="24"/>
          <w:szCs w:val="24"/>
        </w:rPr>
        <w:t>магистрант</w:t>
      </w:r>
    </w:p>
    <w:p w14:paraId="45672534" w14:textId="77777777" w:rsidR="00212D0F" w:rsidRPr="003D7553" w:rsidRDefault="00212D0F" w:rsidP="00F46A43">
      <w:pPr>
        <w:spacing w:after="0" w:line="240" w:lineRule="auto"/>
        <w:jc w:val="center"/>
        <w:rPr>
          <w:rFonts w:ascii="Times New Roman" w:hAnsi="Times New Roman" w:cs="Times New Roman"/>
          <w:i/>
          <w:sz w:val="24"/>
          <w:szCs w:val="24"/>
        </w:rPr>
      </w:pPr>
      <w:r w:rsidRPr="003D7553">
        <w:rPr>
          <w:rFonts w:ascii="Times New Roman" w:hAnsi="Times New Roman" w:cs="Times New Roman"/>
          <w:i/>
          <w:sz w:val="24"/>
          <w:szCs w:val="24"/>
        </w:rPr>
        <w:t>Владивостокский государственный университет экономики и сервиса</w:t>
      </w:r>
    </w:p>
    <w:p w14:paraId="479E0B7E" w14:textId="77777777" w:rsidR="00212D0F" w:rsidRPr="003D7553" w:rsidRDefault="00212D0F" w:rsidP="00F46A43">
      <w:pPr>
        <w:spacing w:after="0" w:line="240" w:lineRule="auto"/>
        <w:jc w:val="center"/>
        <w:rPr>
          <w:rFonts w:ascii="Times New Roman" w:hAnsi="Times New Roman" w:cs="Times New Roman"/>
          <w:i/>
          <w:sz w:val="24"/>
          <w:szCs w:val="24"/>
        </w:rPr>
      </w:pPr>
      <w:r w:rsidRPr="003D7553">
        <w:rPr>
          <w:rFonts w:ascii="Times New Roman" w:hAnsi="Times New Roman" w:cs="Times New Roman"/>
          <w:i/>
          <w:sz w:val="24"/>
          <w:szCs w:val="24"/>
        </w:rPr>
        <w:t>Россия, Владивосток</w:t>
      </w:r>
    </w:p>
    <w:p w14:paraId="44A116FE" w14:textId="77777777" w:rsidR="00212D0F" w:rsidRPr="007E1000" w:rsidRDefault="00212D0F" w:rsidP="00F46A43">
      <w:pPr>
        <w:spacing w:after="0"/>
        <w:jc w:val="center"/>
        <w:rPr>
          <w:rFonts w:ascii="Times New Roman" w:hAnsi="Times New Roman" w:cs="Times New Roman"/>
          <w:sz w:val="24"/>
          <w:szCs w:val="24"/>
        </w:rPr>
      </w:pPr>
      <w:r w:rsidRPr="003D7553">
        <w:rPr>
          <w:rFonts w:ascii="Times New Roman" w:hAnsi="Times New Roman" w:cs="Times New Roman"/>
          <w:bCs/>
          <w:sz w:val="24"/>
          <w:szCs w:val="24"/>
          <w:lang w:val="en-US"/>
        </w:rPr>
        <w:t>E</w:t>
      </w:r>
      <w:r w:rsidRPr="007E1000">
        <w:rPr>
          <w:rFonts w:ascii="Times New Roman" w:hAnsi="Times New Roman" w:cs="Times New Roman"/>
          <w:bCs/>
          <w:sz w:val="24"/>
          <w:szCs w:val="24"/>
        </w:rPr>
        <w:t>-</w:t>
      </w:r>
      <w:r w:rsidRPr="003D7553">
        <w:rPr>
          <w:rFonts w:ascii="Times New Roman" w:hAnsi="Times New Roman" w:cs="Times New Roman"/>
          <w:bCs/>
          <w:sz w:val="24"/>
          <w:szCs w:val="24"/>
          <w:lang w:val="en-US"/>
        </w:rPr>
        <w:t>mail</w:t>
      </w:r>
      <w:r w:rsidRPr="007E1000">
        <w:rPr>
          <w:rFonts w:ascii="Times New Roman" w:hAnsi="Times New Roman" w:cs="Times New Roman"/>
          <w:sz w:val="24"/>
          <w:szCs w:val="24"/>
        </w:rPr>
        <w:t xml:space="preserve">: </w:t>
      </w:r>
      <w:r w:rsidRPr="003D7553">
        <w:rPr>
          <w:rFonts w:ascii="Times New Roman" w:hAnsi="Times New Roman" w:cs="Times New Roman"/>
          <w:sz w:val="24"/>
          <w:szCs w:val="24"/>
          <w:lang w:val="en-US"/>
        </w:rPr>
        <w:t>churegor</w:t>
      </w:r>
      <w:r w:rsidRPr="007E1000">
        <w:rPr>
          <w:rFonts w:ascii="Times New Roman" w:hAnsi="Times New Roman" w:cs="Times New Roman"/>
          <w:sz w:val="24"/>
          <w:szCs w:val="24"/>
        </w:rPr>
        <w:t>@</w:t>
      </w:r>
      <w:r w:rsidRPr="003D7553">
        <w:rPr>
          <w:rFonts w:ascii="Times New Roman" w:hAnsi="Times New Roman" w:cs="Times New Roman"/>
          <w:sz w:val="24"/>
          <w:szCs w:val="24"/>
          <w:lang w:val="en-US"/>
        </w:rPr>
        <w:t>gmail</w:t>
      </w:r>
      <w:r w:rsidRPr="007E1000">
        <w:rPr>
          <w:rFonts w:ascii="Times New Roman" w:hAnsi="Times New Roman" w:cs="Times New Roman"/>
          <w:sz w:val="24"/>
          <w:szCs w:val="24"/>
        </w:rPr>
        <w:t>.</w:t>
      </w:r>
      <w:r w:rsidRPr="003D7553">
        <w:rPr>
          <w:rFonts w:ascii="Times New Roman" w:hAnsi="Times New Roman" w:cs="Times New Roman"/>
          <w:sz w:val="24"/>
          <w:szCs w:val="24"/>
          <w:lang w:val="en-US"/>
        </w:rPr>
        <w:t>com</w:t>
      </w:r>
      <w:r w:rsidRPr="007E1000">
        <w:rPr>
          <w:rFonts w:ascii="Times New Roman" w:hAnsi="Times New Roman" w:cs="Times New Roman"/>
          <w:sz w:val="24"/>
          <w:szCs w:val="24"/>
        </w:rPr>
        <w:t xml:space="preserve">; </w:t>
      </w:r>
      <w:r w:rsidRPr="003D7553">
        <w:rPr>
          <w:rFonts w:ascii="Times New Roman" w:hAnsi="Times New Roman" w:cs="Times New Roman"/>
          <w:sz w:val="24"/>
          <w:szCs w:val="24"/>
        </w:rPr>
        <w:t>тел</w:t>
      </w:r>
      <w:r w:rsidRPr="007E1000">
        <w:rPr>
          <w:rFonts w:ascii="Times New Roman" w:hAnsi="Times New Roman" w:cs="Times New Roman"/>
          <w:sz w:val="24"/>
          <w:szCs w:val="24"/>
        </w:rPr>
        <w:t>.: +79147174876</w:t>
      </w:r>
    </w:p>
    <w:p w14:paraId="62EBF9A1" w14:textId="77777777" w:rsidR="00212D0F" w:rsidRPr="007E1000" w:rsidRDefault="00212D0F" w:rsidP="00212D0F">
      <w:pPr>
        <w:ind w:firstLine="284"/>
        <w:jc w:val="center"/>
        <w:rPr>
          <w:rFonts w:ascii="Times New Roman" w:hAnsi="Times New Roman" w:cs="Times New Roman"/>
          <w:i/>
          <w:sz w:val="24"/>
          <w:szCs w:val="24"/>
        </w:rPr>
      </w:pPr>
    </w:p>
    <w:p w14:paraId="1DBB194F" w14:textId="77777777" w:rsidR="00F46A43" w:rsidRDefault="00212D0F" w:rsidP="00F46A43">
      <w:pPr>
        <w:spacing w:after="0"/>
        <w:ind w:firstLine="708"/>
        <w:jc w:val="both"/>
        <w:rPr>
          <w:rFonts w:ascii="Times New Roman" w:hAnsi="Times New Roman" w:cs="Times New Roman"/>
          <w:i/>
          <w:sz w:val="24"/>
          <w:szCs w:val="24"/>
        </w:rPr>
      </w:pPr>
      <w:r w:rsidRPr="003D7553">
        <w:rPr>
          <w:rFonts w:ascii="Times New Roman" w:hAnsi="Times New Roman" w:cs="Times New Roman"/>
          <w:i/>
          <w:sz w:val="24"/>
          <w:szCs w:val="24"/>
        </w:rPr>
        <w:t>Для решения социально-экономических проблем в нашей стране реализуют особую экономическую политику. Результатом данной политики является создание свободного порта Владивосток. С самого начала работы особого режима, существовали проблемы и недостатки в его реализации и работе. А поскольку процесс работы данного проекта протекает крайне динамично, возникает необходимость постоянного мониторинга, анализа существующей ситуации, корректировки условий и действий для повышения эффективност</w:t>
      </w:r>
      <w:r w:rsidR="00F46A43">
        <w:rPr>
          <w:rFonts w:ascii="Times New Roman" w:hAnsi="Times New Roman" w:cs="Times New Roman"/>
          <w:i/>
          <w:sz w:val="24"/>
          <w:szCs w:val="24"/>
        </w:rPr>
        <w:t>и работы режима.</w:t>
      </w:r>
    </w:p>
    <w:p w14:paraId="002A60EA" w14:textId="77777777" w:rsidR="00F46A43" w:rsidRPr="00F46A43" w:rsidRDefault="00212D0F" w:rsidP="00F46A43">
      <w:pPr>
        <w:spacing w:line="240" w:lineRule="auto"/>
        <w:ind w:firstLine="708"/>
        <w:jc w:val="both"/>
        <w:rPr>
          <w:rFonts w:ascii="Times New Roman" w:hAnsi="Times New Roman" w:cs="Times New Roman"/>
          <w:i/>
          <w:sz w:val="24"/>
          <w:szCs w:val="24"/>
        </w:rPr>
      </w:pPr>
      <w:r w:rsidRPr="003D7553">
        <w:rPr>
          <w:rFonts w:ascii="Times New Roman" w:hAnsi="Times New Roman" w:cs="Times New Roman"/>
          <w:b/>
          <w:i/>
          <w:sz w:val="24"/>
          <w:szCs w:val="24"/>
        </w:rPr>
        <w:t>Ключевые слова и словосочетания:</w:t>
      </w:r>
      <w:r w:rsidRPr="003D7553">
        <w:rPr>
          <w:rFonts w:ascii="Times New Roman" w:hAnsi="Times New Roman" w:cs="Times New Roman"/>
          <w:i/>
          <w:sz w:val="24"/>
          <w:szCs w:val="24"/>
        </w:rPr>
        <w:t xml:space="preserve"> свободная портовая зона, особая зона экономического и социального развития, свободный порт Владивосток, Приморский край, Дальний Восток, Россия.</w:t>
      </w:r>
    </w:p>
    <w:p w14:paraId="513D4EA4" w14:textId="77777777" w:rsidR="00212D0F" w:rsidRPr="003D7553" w:rsidRDefault="00F46A43" w:rsidP="00F46A43">
      <w:pPr>
        <w:spacing w:line="240" w:lineRule="auto"/>
        <w:ind w:firstLine="284"/>
        <w:jc w:val="center"/>
        <w:rPr>
          <w:rFonts w:ascii="Times New Roman" w:hAnsi="Times New Roman" w:cs="Times New Roman"/>
          <w:b/>
          <w:sz w:val="24"/>
          <w:szCs w:val="24"/>
          <w:lang w:val="en-US"/>
        </w:rPr>
      </w:pPr>
      <w:r w:rsidRPr="003D7553">
        <w:rPr>
          <w:rFonts w:ascii="Times New Roman" w:hAnsi="Times New Roman" w:cs="Times New Roman"/>
          <w:b/>
          <w:sz w:val="24"/>
          <w:szCs w:val="24"/>
          <w:lang w:val="en-US"/>
        </w:rPr>
        <w:t>ORGANIZATIONAL AND FINANCIAL PROBLEMS OF FUNCTIONING OF THE FREE PORT OF VLADIVOSTOK.</w:t>
      </w:r>
    </w:p>
    <w:p w14:paraId="1DC10E2C" w14:textId="77777777" w:rsidR="00F46A43" w:rsidRDefault="00212D0F" w:rsidP="00F46A43">
      <w:pPr>
        <w:spacing w:after="0" w:line="240" w:lineRule="auto"/>
        <w:ind w:firstLine="708"/>
        <w:jc w:val="both"/>
        <w:rPr>
          <w:rFonts w:ascii="Times New Roman" w:hAnsi="Times New Roman" w:cs="Times New Roman"/>
          <w:i/>
          <w:sz w:val="24"/>
          <w:szCs w:val="24"/>
          <w:lang w:val="en-US"/>
        </w:rPr>
      </w:pPr>
      <w:r w:rsidRPr="003D7553">
        <w:rPr>
          <w:rFonts w:ascii="Times New Roman" w:hAnsi="Times New Roman" w:cs="Times New Roman"/>
          <w:i/>
          <w:sz w:val="24"/>
          <w:szCs w:val="24"/>
          <w:lang w:val="en-US"/>
        </w:rPr>
        <w:t xml:space="preserve">To solve social and economic problems in our country, implement a special economic policy. The result of this policy is the creation of a free port of Vladivostok. Since the beginning of the special regime, there have been problems and shortcomings in its implementation and operation. And since the process of this project is very dynamic, there is a need for constant monitoring, analysis of the current situation, adjusting the conditions and actions to improve the efficiency of the </w:t>
      </w:r>
      <w:r w:rsidR="00F46A43">
        <w:rPr>
          <w:rFonts w:ascii="Times New Roman" w:hAnsi="Times New Roman" w:cs="Times New Roman"/>
          <w:i/>
          <w:sz w:val="24"/>
          <w:szCs w:val="24"/>
          <w:lang w:val="en-US"/>
        </w:rPr>
        <w:t>regime.</w:t>
      </w:r>
    </w:p>
    <w:p w14:paraId="55007AC4" w14:textId="77777777" w:rsidR="00212D0F" w:rsidRPr="00F46A43" w:rsidRDefault="00212D0F" w:rsidP="00F46A43">
      <w:pPr>
        <w:spacing w:after="0" w:line="240" w:lineRule="auto"/>
        <w:ind w:firstLine="708"/>
        <w:jc w:val="both"/>
        <w:rPr>
          <w:rFonts w:ascii="Times New Roman" w:hAnsi="Times New Roman" w:cs="Times New Roman"/>
          <w:i/>
          <w:sz w:val="24"/>
          <w:szCs w:val="24"/>
          <w:lang w:val="en-US"/>
        </w:rPr>
      </w:pPr>
      <w:r w:rsidRPr="003D7553">
        <w:rPr>
          <w:rFonts w:ascii="Times New Roman" w:hAnsi="Times New Roman" w:cs="Times New Roman"/>
          <w:b/>
          <w:i/>
          <w:sz w:val="24"/>
          <w:szCs w:val="24"/>
          <w:lang w:val="en-US"/>
        </w:rPr>
        <w:t>Keywords:</w:t>
      </w:r>
      <w:r w:rsidRPr="003D7553">
        <w:rPr>
          <w:rFonts w:ascii="Times New Roman" w:hAnsi="Times New Roman" w:cs="Times New Roman"/>
          <w:b/>
          <w:sz w:val="24"/>
          <w:szCs w:val="24"/>
          <w:lang w:val="en-US"/>
        </w:rPr>
        <w:t xml:space="preserve"> </w:t>
      </w:r>
      <w:r w:rsidRPr="003D7553">
        <w:rPr>
          <w:rFonts w:ascii="Times New Roman" w:hAnsi="Times New Roman" w:cs="Times New Roman"/>
          <w:sz w:val="24"/>
          <w:szCs w:val="24"/>
          <w:lang w:val="en-US"/>
        </w:rPr>
        <w:t>free port zone, a special area of economic and social development, the free port of Vladivostok, Primorsky Krai, Far East, Russia.</w:t>
      </w:r>
    </w:p>
    <w:p w14:paraId="0C6C2CD5" w14:textId="77777777" w:rsidR="00F46A43" w:rsidRPr="007E1000" w:rsidRDefault="00F46A43" w:rsidP="003D7553">
      <w:pPr>
        <w:ind w:firstLine="709"/>
        <w:jc w:val="both"/>
        <w:rPr>
          <w:rFonts w:ascii="Times New Roman" w:hAnsi="Times New Roman" w:cs="Times New Roman"/>
          <w:sz w:val="24"/>
          <w:szCs w:val="24"/>
          <w:lang w:val="en-US"/>
        </w:rPr>
      </w:pPr>
    </w:p>
    <w:p w14:paraId="3174D966" w14:textId="77777777" w:rsidR="00212D0F" w:rsidRPr="003D7553" w:rsidRDefault="00212D0F" w:rsidP="003D7553">
      <w:pPr>
        <w:ind w:firstLine="709"/>
        <w:jc w:val="both"/>
        <w:rPr>
          <w:rFonts w:ascii="Times New Roman" w:hAnsi="Times New Roman" w:cs="Times New Roman"/>
          <w:sz w:val="24"/>
          <w:szCs w:val="24"/>
        </w:rPr>
      </w:pPr>
      <w:r w:rsidRPr="003D7553">
        <w:rPr>
          <w:rFonts w:ascii="Times New Roman" w:hAnsi="Times New Roman" w:cs="Times New Roman"/>
          <w:sz w:val="24"/>
          <w:szCs w:val="24"/>
        </w:rPr>
        <w:t>Одним из экономических инструментов, используемым в качестве активизатора инвестиционного и инновационного развития региона, является создание на её территории особой экономической зоны. Одной из разновидностей особой экономической зоны является Свободный порт. Режим Свободного порта Владивосток распространяется на портовые зоны пяти субъектов Дальневосточного Федерального округа: Приморского, Хабаровского и Камчатского краев, Сахалинскую область и Чукотский автономный округ.</w:t>
      </w:r>
    </w:p>
    <w:p w14:paraId="7A57D095" w14:textId="77777777" w:rsidR="00212D0F" w:rsidRPr="003D7553" w:rsidRDefault="00212D0F" w:rsidP="00212D0F">
      <w:pPr>
        <w:ind w:firstLine="709"/>
        <w:contextualSpacing/>
        <w:jc w:val="both"/>
        <w:rPr>
          <w:rFonts w:ascii="Times New Roman" w:hAnsi="Times New Roman" w:cs="Times New Roman"/>
          <w:sz w:val="24"/>
          <w:szCs w:val="24"/>
        </w:rPr>
      </w:pPr>
      <w:r w:rsidRPr="003D7553">
        <w:rPr>
          <w:rFonts w:ascii="Times New Roman" w:hAnsi="Times New Roman" w:cs="Times New Roman"/>
          <w:sz w:val="24"/>
          <w:szCs w:val="24"/>
        </w:rPr>
        <w:t xml:space="preserve">Главной задачей Свободного порта Владивосток является установление особых мер государственной поддержки предпринимательской деятельности, которые регулируются статьей 18 № 212-ФЗ. </w:t>
      </w:r>
    </w:p>
    <w:p w14:paraId="06395C7E"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lastRenderedPageBreak/>
        <w:t>Целью настоящего исследования является обоснование рекомендаций по формированию этапов развития г. Владивостока в условиях функционирования режима Свободного порта.</w:t>
      </w:r>
    </w:p>
    <w:p w14:paraId="4AF62155"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Задачи исследования:</w:t>
      </w:r>
    </w:p>
    <w:p w14:paraId="34653A01"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проанализировать экономические показатели реализации проекта Свободный порт Владивосток;</w:t>
      </w:r>
    </w:p>
    <w:p w14:paraId="3267FB2B"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выявить организационно-финансовые проб</w:t>
      </w:r>
      <w:r w:rsidR="003D7553">
        <w:rPr>
          <w:rFonts w:ascii="Times New Roman" w:hAnsi="Times New Roman"/>
          <w:color w:val="000000"/>
          <w:sz w:val="24"/>
          <w:szCs w:val="24"/>
          <w:lang w:eastAsia="ru-RU"/>
        </w:rPr>
        <w:t>лемы функционирования Свободног</w:t>
      </w:r>
      <w:r w:rsidRPr="003D7553">
        <w:rPr>
          <w:rFonts w:ascii="Times New Roman" w:hAnsi="Times New Roman"/>
          <w:color w:val="000000"/>
          <w:sz w:val="24"/>
          <w:szCs w:val="24"/>
          <w:lang w:eastAsia="ru-RU"/>
        </w:rPr>
        <w:t>о порта Владивосток на современном этапе;</w:t>
      </w:r>
    </w:p>
    <w:p w14:paraId="7F04BD30"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определить пути развития г. Владивостока в сложившихся условиях.</w:t>
      </w:r>
    </w:p>
    <w:p w14:paraId="77F4420C"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Предметом исследования выступают тенденции развития и особенности функционирования г. Владивостока в условиях действия режима Свободного порта Владивосток.</w:t>
      </w:r>
    </w:p>
    <w:p w14:paraId="6ED3C5C2"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Обоснованность и достоверность исследования достигается применением общенаучных методов анализа.</w:t>
      </w:r>
    </w:p>
    <w:p w14:paraId="784D57E7"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xml:space="preserve">Одним из основных инструментов привлечения к работе резидентов в условиях данного режима является предоставление государством специальных льгот, которые представляются резидентам свободного порта Владивосток при осуществлении их деятельности в сравнении со стандартными ставками налоговых сборов действующими на данный момент. Данные налоговые льготы предназначены для привлечения к работе свободного порта новых резидентов и дальнейшего ускорения социально-экономического развития всего дальневосточного региона путем сокращения затрат резидентов на выплаты по налогам и сборам в начале своей деятельности. Освободившиеся благодаря этому деньги могут быть использованы для улучшения состояния предприятия и создания более экономически развитой среды[4,5,11]. </w:t>
      </w:r>
    </w:p>
    <w:p w14:paraId="42BA2AB1" w14:textId="77777777" w:rsidR="00212D0F" w:rsidRPr="003D7553" w:rsidRDefault="00212D0F" w:rsidP="00212D0F">
      <w:pPr>
        <w:pStyle w:val="afc"/>
        <w:ind w:firstLine="709"/>
        <w:jc w:val="both"/>
        <w:rPr>
          <w:rFonts w:ascii="Times New Roman" w:hAnsi="Times New Roman"/>
          <w:sz w:val="24"/>
          <w:szCs w:val="24"/>
        </w:rPr>
      </w:pPr>
      <w:r w:rsidRPr="003D7553">
        <w:rPr>
          <w:rFonts w:ascii="Times New Roman" w:hAnsi="Times New Roman"/>
          <w:color w:val="000000"/>
          <w:sz w:val="24"/>
          <w:szCs w:val="24"/>
          <w:lang w:eastAsia="ru-RU"/>
        </w:rPr>
        <w:t>Для оценки достигнутых на сегодняшний день результатов работы режима свободного порта рассмотрены основные статистические показатели его деятельности на протяжении 2016 и 2017 года из официальных источников, а именно данные, предоставляемые АО «Корпорация развития Дальнего Востока», отчеты о деятельности данной организации, а также реестр резидентов свободного порта[6-8, 10].</w:t>
      </w:r>
    </w:p>
    <w:p w14:paraId="14229FF7"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Следует отметить что на протяжении двух лет работы режима наблюдается постоянное превышение фактических показателей над плановыми, исключением является лишь 2 и 3 квартал 2016 годы в котором количество созданных рабочих мест достигло лишь 50-60% от существующего плана. Данный показатель не является критичным и связан со снижением количества рабочих мест на предприятии «Авиаполис янковский» на момент открытия предприятия. Оценив общую динамику можно увидеть увеличивающийся темп роста показателей к 2017 году, что говорит о развитии режима и роста интереса к нему со стороны бизнес сообщества. Продолжение данной динамики ожидается и в 2018 году, что свидетельствует о хорошем развитии режима и готовности региона развиваться в данном направлении.</w:t>
      </w:r>
    </w:p>
    <w:p w14:paraId="6A38747C"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Для исследования основных проблем и недостатков в работе СПВ были изучены отчеты таможенных служб о деятельности режима. Анализ мнений специалистов и экспертов[1,2, 9] позволил разделить существующие проблемы на две основные группы:</w:t>
      </w:r>
    </w:p>
    <w:p w14:paraId="5CD44D2F"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территориальные;</w:t>
      </w:r>
    </w:p>
    <w:p w14:paraId="76886DA4"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технологические.</w:t>
      </w:r>
    </w:p>
    <w:p w14:paraId="31BBA2C6"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К территориальным проблемам на сегодняшний день можно отнести такие проблемы как:</w:t>
      </w:r>
    </w:p>
    <w:p w14:paraId="3C05F2F4"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обеспечение резидентов земельными участками;</w:t>
      </w:r>
    </w:p>
    <w:p w14:paraId="35B3D58A"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реализация процедуры специальной таможенной зоны.</w:t>
      </w:r>
    </w:p>
    <w:p w14:paraId="48959A8D"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слабая готовность таможенной инфраструктуры</w:t>
      </w:r>
    </w:p>
    <w:p w14:paraId="51635F1D"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xml:space="preserve">Обеспечение резидентов свободного порта земельными участками является одним из ключевых факторов работы режима. Ранее отмечалась слабая подготовленность административных структур к работе по выдаче земельных участков, отсутствовали точные </w:t>
      </w:r>
      <w:r w:rsidRPr="003D7553">
        <w:rPr>
          <w:rFonts w:ascii="Times New Roman" w:hAnsi="Times New Roman"/>
          <w:color w:val="000000"/>
          <w:sz w:val="24"/>
          <w:szCs w:val="24"/>
          <w:lang w:eastAsia="ru-RU"/>
        </w:rPr>
        <w:lastRenderedPageBreak/>
        <w:t xml:space="preserve">кадастровые карты и информация по конкретным земельным участкам. На данный момент ведутся работы по данному направлению, были подготовлены более точные данные, однако их по прежнему не достаточно, резидентам по прежнему не доступна полная информация по доступным для них земельных участков. А также негативным фактором является отсутствие какой либо инфраструктуры на выдаваемых участках. Для решения данной проблемы необходимо продолжить сбор информации и обеспечить резидентам полноценный доступ к данной информации посредствам электронно-информационных ресурсов. Площадкой для размещения данной информации могут служить электронные ресурсы «КРДВ». </w:t>
      </w:r>
    </w:p>
    <w:p w14:paraId="4E15E978"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xml:space="preserve">Проблема подготовки резидентами своего участка для реализации процедуры специальной таможенной зоны (СТЗ) также оказывает большое влияние на ход реализации проекта. Проблема состоит в том, что существующие на данный момент требования по прежнему являются не достаточно проработаны, в них отсутствует прозрачность и резиденты отказываются ее использовать. Согласно мнению Сергея Федорова, первого замначальника Дальневосточного таможенного управления, таможенная часть закона используется не в полной мере, работает крайне слабо и  на сегодняшний день существует только два резидента, которые применяют процедуру СТЗ. Стоит отметить, что на данный момент разработаны послабления для подготовки участка тем предприятиям, которые реализуют на участке использование электронной системы учета, однако для полного решения проблемы необходимо разработка более доступных и простых для резидентов требований. </w:t>
      </w:r>
    </w:p>
    <w:p w14:paraId="0303663D"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Развитие таможенной инфраструктуры является необходимостью для нормальной работы СПВ, с самого начала работы режима административные органы столкнулись с полной неготовности таможни к работе в условиях свободного порта. На сегодняшний день была проведена большая работа по развитию таможенной инфраструктуры, но как отмечают таможенники, этого по прежнему недостаточно. По словам Сергея Федорова, есть проблемы на сухопутной границе, она не обустроена и не готова к работе, а также китайские коллеги не готовы перейти на круглосуточные режим работы. пока режим СПВ не начал работу в полную силу нагрузка на таможенные органы не является критичной, однако если не решить проблему в ближайшее время, это может существенно сказаться на работе всего режима. Для решения данной проблемы необходимо подключение административных органов и совместная работа с зарубежными партнерами.</w:t>
      </w:r>
    </w:p>
    <w:p w14:paraId="2C5B891A"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К технологическим проблемам реализации проекта свободного порта относится:</w:t>
      </w:r>
    </w:p>
    <w:p w14:paraId="0E40A204"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высокая административная нагрузка для резидентов СПВ</w:t>
      </w:r>
    </w:p>
    <w:p w14:paraId="34B5A1CA"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использование комплекса программных средств «Портал Морской порт»,</w:t>
      </w:r>
    </w:p>
    <w:p w14:paraId="18B6DCA8"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использование автоматизированной системы учета при реализации резидентом процедуры СТЗ.</w:t>
      </w:r>
    </w:p>
    <w:p w14:paraId="76667E04"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необходимость корректировки принципов ускоренного возврата НДС</w:t>
      </w:r>
    </w:p>
    <w:p w14:paraId="797265FE"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Проблема высокой административной нагрузки существовала с самого начала работы режима, однако до недавнего времени отодвигалась на второй план на фоне первичных проблем реализации режима. сегодня эта проблема все чаще звучит среди резидентов. По словам Александра Шуматова, генерального директора ООО "Центр детского здоровья" разработка ограничений на проверки важно для нас, потому что очень много трудового ресурса идет на заполнение документов и подготовку к проверке. работа по решению подобной проблемы ведется постоянно, однако по мнению самих резидентов решение проблемы заключается в сокращении бюрократических процедур и перенос документооборота в электронный вид.</w:t>
      </w:r>
    </w:p>
    <w:p w14:paraId="1AD5731E"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 xml:space="preserve"> Увеличение грузооборота безусловный фактор, который сопровождает развитие режима свободного порта и обязывает разрабатывать особые инструменты для упрощения работы таможенным органам. Таким инструментом стал комплекс программных средств «Портал Морской порт». Он позволяет резиденту производить необходимый ему комплекс операций по перевозке, контролю своего груза на территории СПВ с любого компьютера, имеющего доступ в интернет. Согласно мнению Л. К. Пулиной, если говорить о проводимом </w:t>
      </w:r>
      <w:r w:rsidRPr="003D7553">
        <w:rPr>
          <w:rFonts w:ascii="Times New Roman" w:hAnsi="Times New Roman"/>
          <w:color w:val="000000"/>
          <w:sz w:val="24"/>
          <w:szCs w:val="24"/>
          <w:lang w:eastAsia="ru-RU"/>
        </w:rPr>
        <w:lastRenderedPageBreak/>
        <w:t>эксперименте в морских портах по внедрению портала, то можно отметить как положительные, так и целый ряд отрицательных замечаний к его работе, позволяющих сделать общий вывод о том, что портал на сегодняшний день не готов выполнять те функции и задачи, которые на него возлагаются и требует значительной доработки. В свою очередь главный государственный таможенный инспектор отдела по внедрению перспективных таможенных технологий службы организации таможенного контроля Дальневосточного таможенного управления О. В. Гаврюшкова отмечает, что работа по его улучшению постоянно ведется, и данный портал продолжит работать. На наш взгляд, несмотря на существующие недостатки в работе системы, а также учитывая предполагаемые объемы грузооборота свободного порта в будущем, подобный комплекс программных средств необходим для полноценной работы режима. На данный момент необходимо проведение исследований, направленных на выявление недочетов в его работе. В дальнейшем благодаря данному комплексу ожидается полный переход таможенных органов на использование в своей работе электронного документооборота.</w:t>
      </w:r>
    </w:p>
    <w:p w14:paraId="6C941F67"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Система автоматизированного учета грузов была предложена для использования резидентами как дополнение при организации своего участка под процедуру СТЗ. Как отмечает начальник отдела Главного управления организации таможенного оформления и таможенного контроля ФТС России Т. П.  Денисова, использование данной системы позволяет сократить количество требований, предъявляемых резидентам при обустройстве своих территорий. Данное сокращение позволяет упростить процедуру обустройства территории и открыть доступ к созданию подобных территорий для любого предприятия. Сегодняшняя проблема заключается в процедуре внедрения и использования данной системы некоторыми резидентами. У резидентов на данный момент наблюдается нехватка опыта для создания и активного использования подобной системы. На наш взгляд, для решения данной проблемы необходимо пересмотреть процесс внедрения и реализации данной системы, это позволит обеспечить не только развитие, но и более активное ее использование, что в дальнейшем приведет к упрощению и ускорению процедуры СТЗ у большинства резидентов свободного порта.</w:t>
      </w:r>
    </w:p>
    <w:p w14:paraId="4E8E6332"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Возможность ускоренного возврата НДС является одним из основополагающих принципов работы СПВ. Однако как показывает практика данный принцип работает не идеально. По словам Евгения Панина, генерального директора ООО "Восток ЛПГ", в корпорации нет фонда для того, чтобы осуществлять поддержку и выдавать какие-либо гарантии, сейчас разрабатывается документация, создание подобного фонда улучшит как скорость работы режима, так и его надежность и престижность для будущих резидентов.</w:t>
      </w:r>
    </w:p>
    <w:p w14:paraId="0E3ADDCE" w14:textId="77777777" w:rsidR="00212D0F" w:rsidRPr="003D7553" w:rsidRDefault="00212D0F" w:rsidP="00212D0F">
      <w:pPr>
        <w:pStyle w:val="afc"/>
        <w:ind w:firstLine="709"/>
        <w:jc w:val="both"/>
        <w:rPr>
          <w:rFonts w:ascii="Times New Roman" w:hAnsi="Times New Roman"/>
          <w:color w:val="000000"/>
          <w:sz w:val="24"/>
          <w:szCs w:val="24"/>
          <w:lang w:eastAsia="ru-RU"/>
        </w:rPr>
      </w:pPr>
      <w:r w:rsidRPr="003D7553">
        <w:rPr>
          <w:rFonts w:ascii="Times New Roman" w:hAnsi="Times New Roman"/>
          <w:color w:val="000000"/>
          <w:sz w:val="24"/>
          <w:szCs w:val="24"/>
          <w:lang w:eastAsia="ru-RU"/>
        </w:rPr>
        <w:t>Таким образом, по анализу рассмотренных экономических показателей, а также основных проблем реализации проекта можно сделать общий вывод, что влияние режима особой зоны на экономику города сегодня незначительна, однако режим уже начал свою работу. Исходя из результатов проведенного исследования можно выделить несколько этапов развития города Владивостока в условиях работы режима СПВ.</w:t>
      </w:r>
    </w:p>
    <w:p w14:paraId="4A6AF921" w14:textId="77777777" w:rsidR="00212D0F" w:rsidRPr="003D7553" w:rsidRDefault="00212D0F" w:rsidP="00212D0F">
      <w:pPr>
        <w:ind w:firstLine="709"/>
        <w:jc w:val="both"/>
        <w:rPr>
          <w:rFonts w:ascii="Times New Roman" w:hAnsi="Times New Roman" w:cs="Times New Roman"/>
          <w:color w:val="000000"/>
          <w:sz w:val="24"/>
          <w:szCs w:val="24"/>
        </w:rPr>
      </w:pPr>
      <w:r w:rsidRPr="003D7553">
        <w:rPr>
          <w:rFonts w:ascii="Times New Roman" w:hAnsi="Times New Roman" w:cs="Times New Roman"/>
          <w:color w:val="000000"/>
          <w:sz w:val="24"/>
          <w:szCs w:val="24"/>
        </w:rPr>
        <w:t xml:space="preserve">Первый этап, включает в себя работу по реализации режима и запуска проекта в полную силу. Основной проблемой данного этапа является незаконченные элементы инфраструктуры, а также рассмотренные проблемы в реализации режима. Большинство проблем, существующих в СПВ, являются результатом недостаточного опыта, как у резидентов свободного порта, так и у контролирующих их деятельность органов. Учитывая особенности реализации режима СПВ, а также новизну его использования для всей страны в целом, что позволяет говорить о том, что подобная ситуация является естественной. основной проблемой данного периода является неготовность инфраструктуры СПВ, что тормозит его развитие и отталкивает возможных резидентов от участия в проекте. К окончанию 2017 года основной объем строительства первоочередных объектов инфраструктуры был завершен[3], таким образом на данный момент уже ведутся финальные работы по вводу данных объектов в эксплуатацию.  Учитывая работу над существующими </w:t>
      </w:r>
      <w:r w:rsidRPr="003D7553">
        <w:rPr>
          <w:rFonts w:ascii="Times New Roman" w:hAnsi="Times New Roman" w:cs="Times New Roman"/>
          <w:color w:val="000000"/>
          <w:sz w:val="24"/>
          <w:szCs w:val="24"/>
        </w:rPr>
        <w:lastRenderedPageBreak/>
        <w:t>проблемами реализации проекта и сроки окончания инфраструктурных работ, завершение первого этапа ожидается к началу 2018 года.</w:t>
      </w:r>
    </w:p>
    <w:p w14:paraId="6F459ED8" w14:textId="77777777" w:rsidR="00212D0F" w:rsidRPr="003D7553" w:rsidRDefault="00212D0F" w:rsidP="00212D0F">
      <w:pPr>
        <w:ind w:firstLine="709"/>
        <w:jc w:val="both"/>
        <w:rPr>
          <w:rFonts w:ascii="Times New Roman" w:hAnsi="Times New Roman" w:cs="Times New Roman"/>
          <w:color w:val="000000"/>
          <w:sz w:val="24"/>
          <w:szCs w:val="24"/>
        </w:rPr>
      </w:pPr>
      <w:r w:rsidRPr="003D7553">
        <w:rPr>
          <w:rFonts w:ascii="Times New Roman" w:hAnsi="Times New Roman" w:cs="Times New Roman"/>
          <w:color w:val="000000"/>
          <w:sz w:val="24"/>
          <w:szCs w:val="24"/>
        </w:rPr>
        <w:t>Второй этап включает в себя реальный запуск проекта, начало работы основных предприятий в режиме СПВ и первичный экономический рост. на сегодняшний день мы находимся в самом начале данного этапа, крупные резиденты уже начали работу на своих предприятиях, но это пока не принесло значительного экономического роста. На протяжении 2018-2020 годов произойдет запуск основных производств в рамках работы режима, что приведет к первичному росту основных показателей и оттачиванию работы самого режима.</w:t>
      </w:r>
    </w:p>
    <w:p w14:paraId="58FBA323" w14:textId="77777777" w:rsidR="00212D0F" w:rsidRPr="003D7553" w:rsidRDefault="00212D0F" w:rsidP="00212D0F">
      <w:pPr>
        <w:ind w:firstLine="709"/>
        <w:jc w:val="both"/>
        <w:rPr>
          <w:rFonts w:ascii="Times New Roman" w:hAnsi="Times New Roman" w:cs="Times New Roman"/>
          <w:color w:val="000000"/>
          <w:sz w:val="24"/>
          <w:szCs w:val="24"/>
        </w:rPr>
      </w:pPr>
      <w:r w:rsidRPr="003D7553">
        <w:rPr>
          <w:rFonts w:ascii="Times New Roman" w:hAnsi="Times New Roman" w:cs="Times New Roman"/>
          <w:color w:val="000000"/>
          <w:sz w:val="24"/>
          <w:szCs w:val="24"/>
        </w:rPr>
        <w:t xml:space="preserve"> Третий этап представляет собой основной период развития города в статусе СПВ. По прогнозным данным корпорации развития дальнего востока к моменту начала данного этапа на территории особой зоны уже будут работать в полную силу более 600 предприятий. На данном этапе ожидается более высокий рост как экономических, так и социальных показателей развития города. </w:t>
      </w:r>
    </w:p>
    <w:p w14:paraId="741DD5CE" w14:textId="77777777" w:rsidR="00212D0F" w:rsidRPr="003D7553" w:rsidRDefault="00212D0F" w:rsidP="00212D0F">
      <w:pPr>
        <w:pStyle w:val="a9"/>
        <w:spacing w:before="0" w:beforeAutospacing="0" w:after="0" w:afterAutospacing="0"/>
        <w:ind w:firstLine="284"/>
        <w:jc w:val="both"/>
        <w:rPr>
          <w:b/>
          <w:bCs/>
          <w:caps/>
        </w:rPr>
      </w:pPr>
      <w:r w:rsidRPr="003D7553">
        <w:rPr>
          <w:b/>
          <w:bCs/>
          <w:caps/>
        </w:rPr>
        <w:t>_______________________________________</w:t>
      </w:r>
    </w:p>
    <w:p w14:paraId="709E88E4" w14:textId="77777777" w:rsidR="00212D0F" w:rsidRPr="003D7553" w:rsidRDefault="00212D0F" w:rsidP="00212D0F">
      <w:pPr>
        <w:pStyle w:val="a9"/>
        <w:spacing w:before="0" w:beforeAutospacing="0" w:after="0" w:afterAutospacing="0"/>
        <w:ind w:left="644"/>
        <w:jc w:val="both"/>
        <w:rPr>
          <w:bCs/>
        </w:rPr>
      </w:pPr>
    </w:p>
    <w:p w14:paraId="6A4D5628"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Актуальные вопросы реализации федеральных законов от 13.07.2015 г. № 212-ФЗ «О свободном порте Владивосток» и от 29.12.2014 г. № 473-ФЗ «О территориях опережающего социально-экономического развития в Российской Федерации», в том числе вопросы применения таможенной процедуры свободной таможенной зоны. // Материалы заседания Консультативного совета по работе с участниками внешнеэкономической деятельности при Дальневосточном таможенном управлении. 2016 г.</w:t>
      </w:r>
    </w:p>
    <w:p w14:paraId="5BEE0C32" w14:textId="77777777" w:rsidR="00212D0F" w:rsidRPr="003D7553" w:rsidRDefault="00212D0F" w:rsidP="00212D0F">
      <w:pPr>
        <w:pStyle w:val="a9"/>
        <w:numPr>
          <w:ilvl w:val="0"/>
          <w:numId w:val="76"/>
        </w:numPr>
        <w:spacing w:before="0" w:beforeAutospacing="0" w:after="0" w:afterAutospacing="0"/>
        <w:jc w:val="both"/>
      </w:pPr>
      <w:r w:rsidRPr="003D7553">
        <w:t>Бетуган И.М. Свободные экономические зоны: международный опыт // Вестник финансового университета. 2015. № 2. С 88-97</w:t>
      </w:r>
    </w:p>
    <w:p w14:paraId="36461758"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Данные мониторинга строительства инфраструктуры АО «Корпорация развития Дальнего Востока» [Электронный ресурс]. – Режим доступа: http://erdc.ru/personal/tor_info/</w:t>
      </w:r>
    </w:p>
    <w:p w14:paraId="3A4E7694" w14:textId="77777777" w:rsidR="00212D0F" w:rsidRPr="003D7553" w:rsidRDefault="00212D0F" w:rsidP="00212D0F">
      <w:pPr>
        <w:pStyle w:val="a9"/>
        <w:numPr>
          <w:ilvl w:val="0"/>
          <w:numId w:val="76"/>
        </w:numPr>
        <w:spacing w:before="0" w:beforeAutospacing="0" w:after="0" w:afterAutospacing="0"/>
        <w:jc w:val="both"/>
      </w:pPr>
      <w:r w:rsidRPr="003D7553">
        <w:t>Конвисарова Е.В., Литвин А.А. Предпосылки создания режима свободного порта во Владивостоке // Фундаментальные исследования. 2015. № 9-2. С. 352-355.</w:t>
      </w:r>
    </w:p>
    <w:p w14:paraId="05915EE7"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Корнейко О.В., Ворожбит О.Ю. Перспективы развития рыбохозяйственной деятельности Приморья в условиях свободного порта Владивостока: монография // Издательский дом «Библио-Глобус». 2015</w:t>
      </w:r>
    </w:p>
    <w:p w14:paraId="0F0A36E6" w14:textId="77777777" w:rsidR="00212D0F" w:rsidRPr="003D7553" w:rsidRDefault="00212D0F" w:rsidP="00212D0F">
      <w:pPr>
        <w:pStyle w:val="a9"/>
        <w:numPr>
          <w:ilvl w:val="0"/>
          <w:numId w:val="76"/>
        </w:numPr>
        <w:spacing w:before="0" w:beforeAutospacing="0" w:after="0" w:afterAutospacing="0"/>
        <w:jc w:val="both"/>
      </w:pPr>
      <w:r w:rsidRPr="003D7553">
        <w:t>Об утверждении критериев отбора резидентов свободного порта Владивосток. Постановление Правительства №1123 от 20.10.2015 г. [Электронный ресурс]. – Режим доступа: http://www.consultant.ru/document/cons_doc_LAW_187746/</w:t>
      </w:r>
    </w:p>
    <w:p w14:paraId="6F66E74F"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Отчет о деятельности АО</w:t>
      </w:r>
      <w:r w:rsidRPr="003D7553">
        <w:rPr>
          <w:color w:val="000000"/>
        </w:rPr>
        <w:t xml:space="preserve"> «Корпорация развития Дальнего Востока» </w:t>
      </w:r>
      <w:r w:rsidRPr="003D7553">
        <w:rPr>
          <w:bCs/>
        </w:rPr>
        <w:t>[Электронный ресурс]. – Режим доступа:</w:t>
      </w:r>
      <w:r w:rsidRPr="003D7553">
        <w:t xml:space="preserve"> </w:t>
      </w:r>
      <w:r w:rsidRPr="003D7553">
        <w:rPr>
          <w:bCs/>
        </w:rPr>
        <w:t>http://erdc.ru/local/tpl/docs/otchet9.pdf</w:t>
      </w:r>
    </w:p>
    <w:p w14:paraId="4F76DE99" w14:textId="77777777" w:rsidR="00212D0F" w:rsidRPr="003D7553" w:rsidRDefault="00212D0F" w:rsidP="00212D0F">
      <w:pPr>
        <w:pStyle w:val="a9"/>
        <w:numPr>
          <w:ilvl w:val="0"/>
          <w:numId w:val="76"/>
        </w:numPr>
        <w:spacing w:before="0" w:beforeAutospacing="0" w:after="0" w:afterAutospacing="0"/>
        <w:jc w:val="both"/>
      </w:pPr>
      <w:r w:rsidRPr="003D7553">
        <w:rPr>
          <w:bCs/>
        </w:rPr>
        <w:t>Официальный сайт Акционерного Общества «Корпорация развития Дальнего Востока» [Электронный ресурс]. – Режим доступа: http://erdc.ru</w:t>
      </w:r>
    </w:p>
    <w:p w14:paraId="5AB06E63"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Официальный сайт Федеральной таможенной службы. [Электронный ресурс]. – Режим доступа: http://www.customs.ru/index.php</w:t>
      </w:r>
    </w:p>
    <w:p w14:paraId="422A75E2"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Реестр резидентов свободного порта Владивосток [Электронный ресурс]. – Режим доступа: http://erdc.ru/upload/iblock/2f6/2f6c2b97664598e92bf835fa1bba29af.pdf</w:t>
      </w:r>
    </w:p>
    <w:p w14:paraId="17208226" w14:textId="77777777" w:rsidR="00212D0F" w:rsidRPr="003D7553" w:rsidRDefault="00212D0F" w:rsidP="00212D0F">
      <w:pPr>
        <w:pStyle w:val="a9"/>
        <w:numPr>
          <w:ilvl w:val="0"/>
          <w:numId w:val="76"/>
        </w:numPr>
        <w:spacing w:before="0" w:beforeAutospacing="0" w:after="0" w:afterAutospacing="0"/>
        <w:jc w:val="both"/>
        <w:rPr>
          <w:bCs/>
        </w:rPr>
      </w:pPr>
      <w:r w:rsidRPr="003D7553">
        <w:rPr>
          <w:bCs/>
        </w:rPr>
        <w:t>Стихиляс И.В., Кривошапова С.В. Проблемы эффективного функционирования территорий опережающего развития в Приморском крае // Фундаментальные исследования. 2015. № 12-6. С. 1273-1277.</w:t>
      </w:r>
    </w:p>
    <w:p w14:paraId="508C98E9" w14:textId="77777777" w:rsidR="00212D0F" w:rsidRPr="003D7553" w:rsidRDefault="00212D0F" w:rsidP="002245D5">
      <w:pPr>
        <w:widowControl w:val="0"/>
        <w:autoSpaceDE w:val="0"/>
        <w:autoSpaceDN w:val="0"/>
        <w:adjustRightInd w:val="0"/>
        <w:spacing w:line="240" w:lineRule="auto"/>
        <w:rPr>
          <w:rFonts w:ascii="Times New Roman" w:eastAsia="MS ??" w:hAnsi="Times New Roman" w:cs="Times New Roman"/>
          <w:b/>
          <w:sz w:val="24"/>
          <w:szCs w:val="24"/>
          <w:lang w:eastAsia="ru-RU"/>
        </w:rPr>
      </w:pPr>
    </w:p>
    <w:p w14:paraId="779F8E76" w14:textId="77777777" w:rsidR="003D7553" w:rsidRDefault="003D7553" w:rsidP="002245D5">
      <w:pPr>
        <w:widowControl w:val="0"/>
        <w:autoSpaceDE w:val="0"/>
        <w:autoSpaceDN w:val="0"/>
        <w:adjustRightInd w:val="0"/>
        <w:spacing w:line="240" w:lineRule="auto"/>
        <w:rPr>
          <w:rFonts w:ascii="Times New Roman" w:eastAsia="MS ??" w:hAnsi="Times New Roman" w:cs="Times New Roman"/>
          <w:b/>
          <w:sz w:val="20"/>
          <w:szCs w:val="24"/>
          <w:lang w:eastAsia="ru-RU"/>
        </w:rPr>
      </w:pPr>
    </w:p>
    <w:p w14:paraId="35B5B0CF" w14:textId="77777777" w:rsidR="002245D5" w:rsidRPr="003D7553" w:rsidRDefault="002245D5" w:rsidP="002245D5">
      <w:pPr>
        <w:widowControl w:val="0"/>
        <w:autoSpaceDE w:val="0"/>
        <w:autoSpaceDN w:val="0"/>
        <w:adjustRightInd w:val="0"/>
        <w:spacing w:line="240" w:lineRule="auto"/>
        <w:rPr>
          <w:rFonts w:ascii="Times New Roman" w:eastAsia="MS ??" w:hAnsi="Times New Roman" w:cs="Times New Roman"/>
          <w:b/>
          <w:sz w:val="24"/>
          <w:szCs w:val="24"/>
          <w:lang w:eastAsia="ru-RU"/>
        </w:rPr>
      </w:pPr>
      <w:r w:rsidRPr="003D7553">
        <w:rPr>
          <w:rFonts w:ascii="Times New Roman" w:eastAsia="MS ??" w:hAnsi="Times New Roman" w:cs="Times New Roman"/>
          <w:b/>
          <w:sz w:val="24"/>
          <w:szCs w:val="24"/>
          <w:lang w:eastAsia="ru-RU"/>
        </w:rPr>
        <w:lastRenderedPageBreak/>
        <w:t xml:space="preserve">Рубрика: </w:t>
      </w:r>
    </w:p>
    <w:p w14:paraId="0D1242F6" w14:textId="77777777" w:rsidR="002245D5" w:rsidRPr="003D7553" w:rsidRDefault="00C030A9" w:rsidP="00C030A9">
      <w:pPr>
        <w:widowControl w:val="0"/>
        <w:autoSpaceDE w:val="0"/>
        <w:autoSpaceDN w:val="0"/>
        <w:adjustRightInd w:val="0"/>
        <w:spacing w:line="240" w:lineRule="auto"/>
        <w:rPr>
          <w:rFonts w:ascii="Times New Roman" w:eastAsia="MS ??" w:hAnsi="Times New Roman" w:cs="Times New Roman"/>
          <w:sz w:val="24"/>
          <w:szCs w:val="24"/>
          <w:lang w:eastAsia="ru-RU"/>
        </w:rPr>
      </w:pPr>
      <w:r w:rsidRPr="003D7553">
        <w:rPr>
          <w:rFonts w:ascii="Times New Roman" w:eastAsia="MS ??" w:hAnsi="Times New Roman" w:cs="Times New Roman"/>
          <w:sz w:val="24"/>
          <w:szCs w:val="24"/>
          <w:lang w:eastAsia="ru-RU"/>
        </w:rPr>
        <w:t>УДК 33</w:t>
      </w:r>
    </w:p>
    <w:p w14:paraId="13755AB6" w14:textId="77777777" w:rsidR="002245D5" w:rsidRPr="003D7553" w:rsidRDefault="00F025EC" w:rsidP="002245D5">
      <w:pPr>
        <w:spacing w:after="0" w:line="240" w:lineRule="auto"/>
        <w:jc w:val="center"/>
        <w:rPr>
          <w:rFonts w:ascii="Times New Roman" w:hAnsi="Times New Roman" w:cs="Times New Roman"/>
          <w:b/>
          <w:sz w:val="24"/>
          <w:szCs w:val="24"/>
        </w:rPr>
      </w:pPr>
      <w:r w:rsidRPr="003D7553">
        <w:rPr>
          <w:rFonts w:ascii="Times New Roman" w:hAnsi="Times New Roman" w:cs="Times New Roman"/>
          <w:b/>
          <w:sz w:val="24"/>
          <w:szCs w:val="24"/>
        </w:rPr>
        <w:t>НАЛОГОВАЯ СИСТЕМА РФ И ПРАКТИКА РАЗРЕШЕНИЯ НАЛОГОВЫХ СПОРОВ</w:t>
      </w:r>
    </w:p>
    <w:p w14:paraId="7818863E" w14:textId="77777777" w:rsidR="00F025EC" w:rsidRPr="003D7553" w:rsidRDefault="00F025EC" w:rsidP="002245D5">
      <w:pPr>
        <w:spacing w:after="0" w:line="240" w:lineRule="auto"/>
        <w:jc w:val="center"/>
        <w:rPr>
          <w:rFonts w:ascii="Times New Roman" w:hAnsi="Times New Roman" w:cs="Times New Roman"/>
          <w:b/>
          <w:sz w:val="24"/>
          <w:szCs w:val="24"/>
        </w:rPr>
      </w:pPr>
    </w:p>
    <w:p w14:paraId="437DC52A" w14:textId="77777777" w:rsidR="002245D5" w:rsidRPr="003D7553" w:rsidRDefault="002245D5" w:rsidP="002245D5">
      <w:pPr>
        <w:spacing w:after="0" w:line="240" w:lineRule="auto"/>
        <w:jc w:val="center"/>
        <w:rPr>
          <w:rFonts w:ascii="Times New Roman" w:hAnsi="Times New Roman" w:cs="Times New Roman"/>
          <w:b/>
          <w:sz w:val="24"/>
          <w:szCs w:val="24"/>
        </w:rPr>
      </w:pPr>
      <w:r w:rsidRPr="003D7553">
        <w:rPr>
          <w:rFonts w:ascii="Times New Roman" w:hAnsi="Times New Roman" w:cs="Times New Roman"/>
          <w:b/>
          <w:sz w:val="24"/>
          <w:szCs w:val="24"/>
        </w:rPr>
        <w:t>Шлямова Виктория Валерьевна</w:t>
      </w:r>
    </w:p>
    <w:p w14:paraId="3EF71BCF" w14:textId="77777777" w:rsidR="002245D5" w:rsidRPr="003D7553" w:rsidRDefault="002245D5" w:rsidP="002245D5">
      <w:pPr>
        <w:spacing w:after="0" w:line="240" w:lineRule="auto"/>
        <w:jc w:val="center"/>
        <w:rPr>
          <w:rFonts w:ascii="Times New Roman" w:hAnsi="Times New Roman" w:cs="Times New Roman"/>
          <w:sz w:val="24"/>
          <w:szCs w:val="24"/>
        </w:rPr>
      </w:pPr>
      <w:r w:rsidRPr="003D7553">
        <w:rPr>
          <w:rFonts w:ascii="Times New Roman" w:hAnsi="Times New Roman" w:cs="Times New Roman"/>
          <w:sz w:val="24"/>
          <w:szCs w:val="24"/>
        </w:rPr>
        <w:t>Бакалавр</w:t>
      </w:r>
    </w:p>
    <w:p w14:paraId="7ADD48ED" w14:textId="77777777" w:rsidR="002245D5" w:rsidRPr="003D7553" w:rsidRDefault="002245D5" w:rsidP="002245D5">
      <w:pPr>
        <w:spacing w:after="0" w:line="240" w:lineRule="auto"/>
        <w:jc w:val="center"/>
        <w:rPr>
          <w:rStyle w:val="a4"/>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lang w:val="en-US"/>
        </w:rPr>
        <w:t>E</w:t>
      </w:r>
      <w:r w:rsidRPr="003D7553">
        <w:rPr>
          <w:rFonts w:ascii="Times New Roman" w:hAnsi="Times New Roman" w:cs="Times New Roman"/>
          <w:color w:val="000000" w:themeColor="text1"/>
          <w:sz w:val="24"/>
          <w:szCs w:val="24"/>
        </w:rPr>
        <w:t>-</w:t>
      </w:r>
      <w:r w:rsidRPr="003D7553">
        <w:rPr>
          <w:rFonts w:ascii="Times New Roman" w:hAnsi="Times New Roman" w:cs="Times New Roman"/>
          <w:color w:val="000000" w:themeColor="text1"/>
          <w:sz w:val="24"/>
          <w:szCs w:val="24"/>
          <w:lang w:val="en-US"/>
        </w:rPr>
        <w:t>mail</w:t>
      </w:r>
      <w:r w:rsidRPr="003D7553">
        <w:rPr>
          <w:rFonts w:ascii="Times New Roman" w:hAnsi="Times New Roman" w:cs="Times New Roman"/>
          <w:color w:val="000000" w:themeColor="text1"/>
          <w:sz w:val="24"/>
          <w:szCs w:val="24"/>
        </w:rPr>
        <w:t xml:space="preserve">: </w:t>
      </w:r>
      <w:hyperlink r:id="rId36" w:history="1">
        <w:r w:rsidRPr="003D7553">
          <w:rPr>
            <w:rStyle w:val="a4"/>
            <w:rFonts w:ascii="Times New Roman" w:hAnsi="Times New Roman" w:cs="Times New Roman"/>
            <w:color w:val="000000" w:themeColor="text1"/>
            <w:sz w:val="24"/>
            <w:szCs w:val="24"/>
            <w:lang w:val="en-US"/>
          </w:rPr>
          <w:t>vika</w:t>
        </w:r>
        <w:r w:rsidRPr="003D7553">
          <w:rPr>
            <w:rStyle w:val="a4"/>
            <w:rFonts w:ascii="Times New Roman" w:hAnsi="Times New Roman" w:cs="Times New Roman"/>
            <w:color w:val="000000" w:themeColor="text1"/>
            <w:sz w:val="24"/>
            <w:szCs w:val="24"/>
          </w:rPr>
          <w:t>.</w:t>
        </w:r>
        <w:r w:rsidRPr="003D7553">
          <w:rPr>
            <w:rStyle w:val="a4"/>
            <w:rFonts w:ascii="Times New Roman" w:hAnsi="Times New Roman" w:cs="Times New Roman"/>
            <w:color w:val="000000" w:themeColor="text1"/>
            <w:sz w:val="24"/>
            <w:szCs w:val="24"/>
            <w:lang w:val="en-US"/>
          </w:rPr>
          <w:t>shlyamova</w:t>
        </w:r>
        <w:r w:rsidRPr="003D7553">
          <w:rPr>
            <w:rStyle w:val="a4"/>
            <w:rFonts w:ascii="Times New Roman" w:hAnsi="Times New Roman" w:cs="Times New Roman"/>
            <w:color w:val="000000" w:themeColor="text1"/>
            <w:sz w:val="24"/>
            <w:szCs w:val="24"/>
          </w:rPr>
          <w:t>@</w:t>
        </w:r>
        <w:r w:rsidRPr="003D7553">
          <w:rPr>
            <w:rStyle w:val="a4"/>
            <w:rFonts w:ascii="Times New Roman" w:hAnsi="Times New Roman" w:cs="Times New Roman"/>
            <w:color w:val="000000" w:themeColor="text1"/>
            <w:sz w:val="24"/>
            <w:szCs w:val="24"/>
            <w:lang w:val="en-US"/>
          </w:rPr>
          <w:t>mail</w:t>
        </w:r>
        <w:r w:rsidRPr="003D7553">
          <w:rPr>
            <w:rStyle w:val="a4"/>
            <w:rFonts w:ascii="Times New Roman" w:hAnsi="Times New Roman" w:cs="Times New Roman"/>
            <w:color w:val="000000" w:themeColor="text1"/>
            <w:sz w:val="24"/>
            <w:szCs w:val="24"/>
          </w:rPr>
          <w:t>.</w:t>
        </w:r>
        <w:r w:rsidRPr="003D7553">
          <w:rPr>
            <w:rStyle w:val="a4"/>
            <w:rFonts w:ascii="Times New Roman" w:hAnsi="Times New Roman" w:cs="Times New Roman"/>
            <w:color w:val="000000" w:themeColor="text1"/>
            <w:sz w:val="24"/>
            <w:szCs w:val="24"/>
            <w:lang w:val="en-US"/>
          </w:rPr>
          <w:t>ru</w:t>
        </w:r>
      </w:hyperlink>
    </w:p>
    <w:p w14:paraId="44F69B9A" w14:textId="77777777" w:rsidR="00A454E5" w:rsidRPr="003D7553" w:rsidRDefault="00A454E5" w:rsidP="002245D5">
      <w:pPr>
        <w:spacing w:after="0" w:line="240" w:lineRule="auto"/>
        <w:jc w:val="center"/>
        <w:rPr>
          <w:rFonts w:ascii="Times New Roman" w:hAnsi="Times New Roman" w:cs="Times New Roman"/>
          <w:color w:val="000000" w:themeColor="text1"/>
          <w:sz w:val="24"/>
          <w:szCs w:val="24"/>
        </w:rPr>
      </w:pPr>
    </w:p>
    <w:p w14:paraId="363B8987" w14:textId="77777777" w:rsidR="002245D5" w:rsidRPr="003D7553" w:rsidRDefault="002245D5" w:rsidP="002245D5">
      <w:pPr>
        <w:spacing w:after="0" w:line="240" w:lineRule="auto"/>
        <w:jc w:val="center"/>
        <w:rPr>
          <w:rFonts w:ascii="Times New Roman" w:hAnsi="Times New Roman" w:cs="Times New Roman"/>
          <w:b/>
          <w:color w:val="000000" w:themeColor="text1"/>
          <w:sz w:val="24"/>
          <w:szCs w:val="24"/>
        </w:rPr>
      </w:pPr>
      <w:r w:rsidRPr="003D7553">
        <w:rPr>
          <w:rFonts w:ascii="Times New Roman" w:hAnsi="Times New Roman" w:cs="Times New Roman"/>
          <w:b/>
          <w:color w:val="000000" w:themeColor="text1"/>
          <w:sz w:val="24"/>
          <w:szCs w:val="24"/>
        </w:rPr>
        <w:t>Карагусова Анастасия Дмитриевна</w:t>
      </w:r>
    </w:p>
    <w:p w14:paraId="1B4718A1" w14:textId="77777777" w:rsidR="002245D5" w:rsidRPr="003D7553" w:rsidRDefault="002245D5" w:rsidP="002245D5">
      <w:pPr>
        <w:spacing w:after="0" w:line="240" w:lineRule="auto"/>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Бакалавр</w:t>
      </w:r>
    </w:p>
    <w:p w14:paraId="6D23A20B" w14:textId="77777777" w:rsidR="002245D5" w:rsidRPr="007E1000" w:rsidRDefault="002245D5" w:rsidP="002245D5">
      <w:pPr>
        <w:spacing w:after="0" w:line="240" w:lineRule="auto"/>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lang w:val="en-US"/>
        </w:rPr>
        <w:t>E</w:t>
      </w:r>
      <w:r w:rsidRPr="007E1000">
        <w:rPr>
          <w:rFonts w:ascii="Times New Roman" w:hAnsi="Times New Roman" w:cs="Times New Roman"/>
          <w:color w:val="000000" w:themeColor="text1"/>
          <w:sz w:val="24"/>
          <w:szCs w:val="24"/>
        </w:rPr>
        <w:t>-</w:t>
      </w:r>
      <w:r w:rsidRPr="003D7553">
        <w:rPr>
          <w:rFonts w:ascii="Times New Roman" w:hAnsi="Times New Roman" w:cs="Times New Roman"/>
          <w:color w:val="000000" w:themeColor="text1"/>
          <w:sz w:val="24"/>
          <w:szCs w:val="24"/>
          <w:lang w:val="en-US"/>
        </w:rPr>
        <w:t>mail</w:t>
      </w:r>
      <w:r w:rsidRPr="007E1000">
        <w:rPr>
          <w:rFonts w:ascii="Times New Roman" w:hAnsi="Times New Roman" w:cs="Times New Roman"/>
          <w:color w:val="000000" w:themeColor="text1"/>
          <w:sz w:val="24"/>
          <w:szCs w:val="24"/>
        </w:rPr>
        <w:t xml:space="preserve">: </w:t>
      </w:r>
      <w:hyperlink r:id="rId37" w:history="1">
        <w:r w:rsidRPr="003D7553">
          <w:rPr>
            <w:rStyle w:val="a4"/>
            <w:rFonts w:ascii="Times New Roman" w:hAnsi="Times New Roman" w:cs="Times New Roman"/>
            <w:color w:val="000000" w:themeColor="text1"/>
            <w:sz w:val="24"/>
            <w:szCs w:val="24"/>
            <w:lang w:val="en-US"/>
          </w:rPr>
          <w:t>karagusovanastya</w:t>
        </w:r>
        <w:r w:rsidRPr="007E1000">
          <w:rPr>
            <w:rStyle w:val="a4"/>
            <w:rFonts w:ascii="Times New Roman" w:hAnsi="Times New Roman" w:cs="Times New Roman"/>
            <w:color w:val="000000" w:themeColor="text1"/>
            <w:sz w:val="24"/>
            <w:szCs w:val="24"/>
          </w:rPr>
          <w:t>.</w:t>
        </w:r>
        <w:r w:rsidRPr="003D7553">
          <w:rPr>
            <w:rStyle w:val="a4"/>
            <w:rFonts w:ascii="Times New Roman" w:hAnsi="Times New Roman" w:cs="Times New Roman"/>
            <w:color w:val="000000" w:themeColor="text1"/>
            <w:sz w:val="24"/>
            <w:szCs w:val="24"/>
            <w:lang w:val="en-US"/>
          </w:rPr>
          <w:t>nastya</w:t>
        </w:r>
        <w:r w:rsidRPr="007E1000">
          <w:rPr>
            <w:rStyle w:val="a4"/>
            <w:rFonts w:ascii="Times New Roman" w:hAnsi="Times New Roman" w:cs="Times New Roman"/>
            <w:color w:val="000000" w:themeColor="text1"/>
            <w:sz w:val="24"/>
            <w:szCs w:val="24"/>
          </w:rPr>
          <w:t>@</w:t>
        </w:r>
        <w:r w:rsidRPr="003D7553">
          <w:rPr>
            <w:rStyle w:val="a4"/>
            <w:rFonts w:ascii="Times New Roman" w:hAnsi="Times New Roman" w:cs="Times New Roman"/>
            <w:color w:val="000000" w:themeColor="text1"/>
            <w:sz w:val="24"/>
            <w:szCs w:val="24"/>
            <w:lang w:val="en-US"/>
          </w:rPr>
          <w:t>mail</w:t>
        </w:r>
        <w:r w:rsidRPr="007E1000">
          <w:rPr>
            <w:rStyle w:val="a4"/>
            <w:rFonts w:ascii="Times New Roman" w:hAnsi="Times New Roman" w:cs="Times New Roman"/>
            <w:color w:val="000000" w:themeColor="text1"/>
            <w:sz w:val="24"/>
            <w:szCs w:val="24"/>
          </w:rPr>
          <w:t>.</w:t>
        </w:r>
        <w:r w:rsidRPr="003D7553">
          <w:rPr>
            <w:rStyle w:val="a4"/>
            <w:rFonts w:ascii="Times New Roman" w:hAnsi="Times New Roman" w:cs="Times New Roman"/>
            <w:color w:val="000000" w:themeColor="text1"/>
            <w:sz w:val="24"/>
            <w:szCs w:val="24"/>
            <w:lang w:val="en-US"/>
          </w:rPr>
          <w:t>ru</w:t>
        </w:r>
      </w:hyperlink>
      <w:r w:rsidRPr="007E1000">
        <w:rPr>
          <w:rStyle w:val="a4"/>
          <w:rFonts w:ascii="Times New Roman" w:hAnsi="Times New Roman" w:cs="Times New Roman"/>
          <w:color w:val="000000" w:themeColor="text1"/>
          <w:sz w:val="24"/>
          <w:szCs w:val="24"/>
        </w:rPr>
        <w:t xml:space="preserve">, </w:t>
      </w:r>
      <w:r w:rsidRPr="003D7553">
        <w:rPr>
          <w:rStyle w:val="a4"/>
          <w:rFonts w:ascii="Times New Roman" w:hAnsi="Times New Roman" w:cs="Times New Roman"/>
          <w:color w:val="000000" w:themeColor="text1"/>
          <w:sz w:val="24"/>
          <w:szCs w:val="24"/>
        </w:rPr>
        <w:t>тел</w:t>
      </w:r>
      <w:r w:rsidRPr="007E1000">
        <w:rPr>
          <w:rStyle w:val="a4"/>
          <w:rFonts w:ascii="Times New Roman" w:hAnsi="Times New Roman" w:cs="Times New Roman"/>
          <w:color w:val="000000" w:themeColor="text1"/>
          <w:sz w:val="24"/>
          <w:szCs w:val="24"/>
        </w:rPr>
        <w:t>.: +79242439368</w:t>
      </w:r>
    </w:p>
    <w:p w14:paraId="5F07D11E" w14:textId="77777777" w:rsidR="00A454E5" w:rsidRPr="007E1000" w:rsidRDefault="00A454E5" w:rsidP="002245D5">
      <w:pPr>
        <w:spacing w:after="0" w:line="240" w:lineRule="auto"/>
        <w:jc w:val="center"/>
        <w:rPr>
          <w:rFonts w:ascii="Times New Roman" w:hAnsi="Times New Roman" w:cs="Times New Roman"/>
          <w:color w:val="000000" w:themeColor="text1"/>
          <w:sz w:val="24"/>
          <w:szCs w:val="24"/>
        </w:rPr>
      </w:pPr>
    </w:p>
    <w:p w14:paraId="136171A7" w14:textId="77777777" w:rsidR="002245D5" w:rsidRPr="003D7553" w:rsidRDefault="002245D5" w:rsidP="002245D5">
      <w:pPr>
        <w:spacing w:after="0" w:line="240" w:lineRule="auto"/>
        <w:jc w:val="center"/>
        <w:rPr>
          <w:rFonts w:ascii="Times New Roman" w:hAnsi="Times New Roman" w:cs="Times New Roman"/>
          <w:i/>
          <w:color w:val="000000" w:themeColor="text1"/>
          <w:sz w:val="24"/>
          <w:szCs w:val="24"/>
        </w:rPr>
      </w:pPr>
      <w:r w:rsidRPr="003D7553">
        <w:rPr>
          <w:rFonts w:ascii="Times New Roman" w:hAnsi="Times New Roman" w:cs="Times New Roman"/>
          <w:i/>
          <w:color w:val="000000" w:themeColor="text1"/>
          <w:sz w:val="24"/>
          <w:szCs w:val="24"/>
        </w:rPr>
        <w:t>Владивостокский государственный университет экономики и сервиса</w:t>
      </w:r>
    </w:p>
    <w:p w14:paraId="4E0CE4D0" w14:textId="77777777" w:rsidR="002245D5" w:rsidRPr="003D7553" w:rsidRDefault="002245D5" w:rsidP="002245D5">
      <w:pPr>
        <w:spacing w:after="0" w:line="240" w:lineRule="auto"/>
        <w:jc w:val="center"/>
        <w:rPr>
          <w:rFonts w:ascii="Times New Roman" w:hAnsi="Times New Roman" w:cs="Times New Roman"/>
          <w:i/>
          <w:color w:val="000000" w:themeColor="text1"/>
          <w:sz w:val="24"/>
          <w:szCs w:val="24"/>
        </w:rPr>
      </w:pPr>
      <w:r w:rsidRPr="003D7553">
        <w:rPr>
          <w:rFonts w:ascii="Times New Roman" w:hAnsi="Times New Roman" w:cs="Times New Roman"/>
          <w:i/>
          <w:color w:val="000000" w:themeColor="text1"/>
          <w:sz w:val="24"/>
          <w:szCs w:val="24"/>
        </w:rPr>
        <w:t>Россия. Владивосток</w:t>
      </w:r>
    </w:p>
    <w:p w14:paraId="6DD0BD86" w14:textId="77777777" w:rsidR="002245D5" w:rsidRPr="003D7553" w:rsidRDefault="002245D5" w:rsidP="002245D5">
      <w:pPr>
        <w:spacing w:after="0" w:line="240" w:lineRule="auto"/>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ул. Гоголя, 41, г. Владивосток, Приморский край, Россия, 690014</w:t>
      </w:r>
    </w:p>
    <w:p w14:paraId="41508A3C" w14:textId="77777777" w:rsidR="00A454E5" w:rsidRPr="003D7553" w:rsidRDefault="00A454E5" w:rsidP="002245D5">
      <w:pPr>
        <w:spacing w:after="0" w:line="240" w:lineRule="auto"/>
        <w:jc w:val="center"/>
        <w:rPr>
          <w:rFonts w:ascii="Times New Roman" w:hAnsi="Times New Roman" w:cs="Times New Roman"/>
          <w:color w:val="000000" w:themeColor="text1"/>
          <w:sz w:val="24"/>
          <w:szCs w:val="24"/>
        </w:rPr>
      </w:pPr>
    </w:p>
    <w:p w14:paraId="52A7EADC" w14:textId="77777777" w:rsidR="002245D5" w:rsidRPr="003D7553" w:rsidRDefault="002245D5" w:rsidP="002245D5">
      <w:pPr>
        <w:spacing w:after="0" w:line="240" w:lineRule="auto"/>
        <w:jc w:val="center"/>
        <w:rPr>
          <w:rFonts w:ascii="Times New Roman" w:hAnsi="Times New Roman" w:cs="Times New Roman"/>
          <w:b/>
          <w:color w:val="000000" w:themeColor="text1"/>
          <w:sz w:val="24"/>
          <w:szCs w:val="24"/>
        </w:rPr>
      </w:pPr>
      <w:r w:rsidRPr="003D7553">
        <w:rPr>
          <w:rFonts w:ascii="Times New Roman" w:hAnsi="Times New Roman" w:cs="Times New Roman"/>
          <w:b/>
          <w:color w:val="000000" w:themeColor="text1"/>
          <w:sz w:val="24"/>
          <w:szCs w:val="24"/>
        </w:rPr>
        <w:t>Комиссарова Валерия Вячеславовна</w:t>
      </w:r>
    </w:p>
    <w:p w14:paraId="5E248DCB" w14:textId="77777777" w:rsidR="00C030A9" w:rsidRPr="003D7553" w:rsidRDefault="00C030A9" w:rsidP="00C030A9">
      <w:pPr>
        <w:spacing w:after="0" w:line="240" w:lineRule="auto"/>
        <w:jc w:val="center"/>
        <w:rPr>
          <w:rFonts w:ascii="Times New Roman" w:hAnsi="Times New Roman" w:cs="Times New Roman"/>
          <w:color w:val="000000" w:themeColor="text1"/>
          <w:sz w:val="24"/>
          <w:szCs w:val="24"/>
        </w:rPr>
      </w:pPr>
      <w:r w:rsidRPr="003D7553">
        <w:rPr>
          <w:rFonts w:ascii="Times New Roman" w:hAnsi="Times New Roman" w:cs="Times New Roman"/>
          <w:color w:val="000000" w:themeColor="text1"/>
          <w:sz w:val="24"/>
          <w:szCs w:val="24"/>
        </w:rPr>
        <w:t>научный руководитель, старший преподаватель</w:t>
      </w:r>
    </w:p>
    <w:p w14:paraId="43D6B1D6" w14:textId="77777777" w:rsidR="00C030A9" w:rsidRPr="003D7553" w:rsidRDefault="00C030A9" w:rsidP="002245D5">
      <w:pPr>
        <w:spacing w:after="0" w:line="240" w:lineRule="auto"/>
        <w:jc w:val="center"/>
        <w:rPr>
          <w:rFonts w:ascii="Times New Roman" w:hAnsi="Times New Roman" w:cs="Times New Roman"/>
          <w:b/>
          <w:color w:val="000000" w:themeColor="text1"/>
          <w:sz w:val="24"/>
          <w:szCs w:val="24"/>
        </w:rPr>
      </w:pPr>
    </w:p>
    <w:p w14:paraId="17DBC151" w14:textId="77777777" w:rsidR="002245D5" w:rsidRPr="003D7553" w:rsidRDefault="002245D5" w:rsidP="002245D5">
      <w:pPr>
        <w:spacing w:after="0" w:line="240" w:lineRule="auto"/>
        <w:ind w:firstLine="709"/>
        <w:jc w:val="both"/>
        <w:rPr>
          <w:rFonts w:ascii="Times New Roman" w:hAnsi="Times New Roman" w:cs="Times New Roman"/>
          <w:i/>
          <w:sz w:val="24"/>
          <w:szCs w:val="24"/>
        </w:rPr>
      </w:pPr>
    </w:p>
    <w:p w14:paraId="69ED81D7" w14:textId="77777777" w:rsidR="002245D5" w:rsidRPr="003D7553" w:rsidRDefault="002245D5" w:rsidP="002245D5">
      <w:pPr>
        <w:spacing w:after="0" w:line="240" w:lineRule="auto"/>
        <w:ind w:firstLine="709"/>
        <w:jc w:val="both"/>
        <w:rPr>
          <w:rFonts w:ascii="Times New Roman" w:hAnsi="Times New Roman" w:cs="Times New Roman"/>
          <w:i/>
          <w:sz w:val="24"/>
          <w:szCs w:val="24"/>
        </w:rPr>
      </w:pPr>
      <w:r w:rsidRPr="003D7553">
        <w:rPr>
          <w:rFonts w:ascii="Times New Roman" w:hAnsi="Times New Roman" w:cs="Times New Roman"/>
          <w:i/>
          <w:sz w:val="24"/>
          <w:szCs w:val="24"/>
        </w:rPr>
        <w:t>Уплата налогов является не только неотъемлемой частью существования самого государства, но также является одной из самых сложных в выполнении обязанностей перед страной всех тех лиц, которые признаны налогоплательщиками или плательщиками сборов. Следовательно, при таком крупномасштабном взаимодействии может возникнуть конфликт между налоговым органом и налогоплательщиком.</w:t>
      </w:r>
    </w:p>
    <w:p w14:paraId="3FF6FBF8" w14:textId="77777777" w:rsidR="002245D5" w:rsidRPr="003D7553" w:rsidRDefault="002245D5" w:rsidP="00F46A43">
      <w:pPr>
        <w:spacing w:after="0" w:line="240" w:lineRule="auto"/>
        <w:ind w:firstLine="708"/>
        <w:jc w:val="both"/>
        <w:rPr>
          <w:rFonts w:ascii="Times New Roman" w:hAnsi="Times New Roman" w:cs="Times New Roman"/>
          <w:i/>
          <w:sz w:val="24"/>
          <w:szCs w:val="24"/>
        </w:rPr>
      </w:pPr>
      <w:r w:rsidRPr="003D7553">
        <w:rPr>
          <w:rFonts w:ascii="Times New Roman" w:hAnsi="Times New Roman" w:cs="Times New Roman"/>
          <w:b/>
          <w:i/>
          <w:sz w:val="24"/>
          <w:szCs w:val="24"/>
        </w:rPr>
        <w:t>Ключевые слова:</w:t>
      </w:r>
      <w:r w:rsidRPr="003D7553">
        <w:rPr>
          <w:rFonts w:ascii="Times New Roman" w:hAnsi="Times New Roman" w:cs="Times New Roman"/>
          <w:i/>
          <w:sz w:val="24"/>
          <w:szCs w:val="24"/>
        </w:rPr>
        <w:t xml:space="preserve"> споры, налоги, суд, налогоплательщик, организации</w:t>
      </w:r>
    </w:p>
    <w:p w14:paraId="6F8BD81B" w14:textId="77777777" w:rsidR="002245D5" w:rsidRPr="003D7553" w:rsidRDefault="002245D5" w:rsidP="002245D5">
      <w:pPr>
        <w:spacing w:after="0" w:line="240" w:lineRule="auto"/>
        <w:ind w:firstLine="709"/>
        <w:jc w:val="both"/>
        <w:rPr>
          <w:rFonts w:ascii="Times New Roman" w:hAnsi="Times New Roman" w:cs="Times New Roman"/>
          <w:i/>
          <w:sz w:val="24"/>
          <w:szCs w:val="24"/>
        </w:rPr>
      </w:pPr>
    </w:p>
    <w:p w14:paraId="70331DC3" w14:textId="77777777" w:rsidR="002245D5" w:rsidRPr="003D7553" w:rsidRDefault="00F025EC" w:rsidP="00F025EC">
      <w:pPr>
        <w:spacing w:after="0" w:line="240" w:lineRule="auto"/>
        <w:ind w:firstLine="709"/>
        <w:jc w:val="center"/>
        <w:rPr>
          <w:rFonts w:ascii="Times New Roman" w:hAnsi="Times New Roman" w:cs="Times New Roman"/>
          <w:b/>
          <w:sz w:val="24"/>
          <w:szCs w:val="24"/>
          <w:lang w:val="en-US"/>
        </w:rPr>
      </w:pPr>
      <w:r w:rsidRPr="003D7553">
        <w:rPr>
          <w:rFonts w:ascii="Times New Roman" w:hAnsi="Times New Roman" w:cs="Times New Roman"/>
          <w:b/>
          <w:sz w:val="24"/>
          <w:szCs w:val="24"/>
          <w:lang w:val="en-US"/>
        </w:rPr>
        <w:t>TAX DISPUTES: THE PRACTICE OF PERMISSION IN RUSSIA</w:t>
      </w:r>
    </w:p>
    <w:p w14:paraId="2613E9C1" w14:textId="77777777" w:rsidR="00F025EC" w:rsidRPr="003D7553" w:rsidRDefault="00F025EC" w:rsidP="002245D5">
      <w:pPr>
        <w:spacing w:after="0" w:line="240" w:lineRule="auto"/>
        <w:ind w:firstLine="709"/>
        <w:jc w:val="both"/>
        <w:rPr>
          <w:rFonts w:ascii="Times New Roman" w:hAnsi="Times New Roman" w:cs="Times New Roman"/>
          <w:i/>
          <w:sz w:val="24"/>
          <w:szCs w:val="24"/>
          <w:lang w:val="en-US"/>
        </w:rPr>
      </w:pPr>
    </w:p>
    <w:p w14:paraId="2A7807E2" w14:textId="77777777" w:rsidR="002245D5" w:rsidRPr="003D7553" w:rsidRDefault="002245D5" w:rsidP="002245D5">
      <w:pPr>
        <w:spacing w:after="0" w:line="240" w:lineRule="auto"/>
        <w:ind w:firstLine="709"/>
        <w:jc w:val="both"/>
        <w:rPr>
          <w:rFonts w:ascii="Times New Roman" w:hAnsi="Times New Roman" w:cs="Times New Roman"/>
          <w:i/>
          <w:sz w:val="24"/>
          <w:szCs w:val="24"/>
          <w:lang w:val="en-US"/>
        </w:rPr>
      </w:pPr>
      <w:r w:rsidRPr="003D7553">
        <w:rPr>
          <w:rFonts w:ascii="Times New Roman" w:hAnsi="Times New Roman" w:cs="Times New Roman"/>
          <w:i/>
          <w:sz w:val="24"/>
          <w:szCs w:val="24"/>
          <w:lang w:val="en-US"/>
        </w:rPr>
        <w:t>The payment of taxes is not only an integral part of the existence of the state itself, but it is also one of the most difficult in the performance of duties to the country of all those persons that are recognized as taxpayers or payers of fees. Hence, in such a large-scale interaction, there may be a conflict between the tax authority and the taxpayer.</w:t>
      </w:r>
    </w:p>
    <w:p w14:paraId="4282109E" w14:textId="77777777" w:rsidR="002245D5" w:rsidRPr="003D7553" w:rsidRDefault="002245D5" w:rsidP="00F46A43">
      <w:pPr>
        <w:spacing w:after="0" w:line="240" w:lineRule="auto"/>
        <w:ind w:firstLine="708"/>
        <w:jc w:val="both"/>
        <w:rPr>
          <w:rFonts w:ascii="Times New Roman" w:hAnsi="Times New Roman" w:cs="Times New Roman"/>
          <w:i/>
          <w:sz w:val="24"/>
          <w:szCs w:val="24"/>
          <w:lang w:val="en-US"/>
        </w:rPr>
      </w:pPr>
      <w:r w:rsidRPr="003D7553">
        <w:rPr>
          <w:rFonts w:ascii="Times New Roman" w:hAnsi="Times New Roman" w:cs="Times New Roman"/>
          <w:b/>
          <w:i/>
          <w:sz w:val="24"/>
          <w:szCs w:val="24"/>
          <w:lang w:val="en-US"/>
        </w:rPr>
        <w:t>Keywords:</w:t>
      </w:r>
      <w:r w:rsidRPr="003D7553">
        <w:rPr>
          <w:rFonts w:ascii="Times New Roman" w:hAnsi="Times New Roman" w:cs="Times New Roman"/>
          <w:i/>
          <w:sz w:val="24"/>
          <w:szCs w:val="24"/>
          <w:lang w:val="en-US"/>
        </w:rPr>
        <w:t xml:space="preserve"> disputes, taxes, court, taxpayer, organizations</w:t>
      </w:r>
    </w:p>
    <w:p w14:paraId="1037B8A3" w14:textId="77777777" w:rsidR="002245D5" w:rsidRPr="003D7553" w:rsidRDefault="002245D5" w:rsidP="002245D5">
      <w:pPr>
        <w:spacing w:after="0" w:line="240" w:lineRule="auto"/>
        <w:ind w:firstLine="709"/>
        <w:jc w:val="both"/>
        <w:rPr>
          <w:rFonts w:ascii="Times New Roman" w:hAnsi="Times New Roman" w:cs="Times New Roman"/>
          <w:i/>
          <w:sz w:val="24"/>
          <w:szCs w:val="24"/>
          <w:lang w:val="en-US"/>
        </w:rPr>
      </w:pPr>
    </w:p>
    <w:p w14:paraId="65C6B0B8"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Актуальность исследования определяется тем, что налоги, как и вся налоговая политика, являются мощным инструментом управления экономикой. От того, насколько правильно выбрано направление налоговой политики, зависит эффективное функционирование всего народного хозяйства и удовлетворенность населения в процессе налогообложения.</w:t>
      </w:r>
    </w:p>
    <w:p w14:paraId="17305B6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Цель данного исследования изучение теоретических основ налоговой системы РФ и практическое разрешение налоговых споров.</w:t>
      </w:r>
    </w:p>
    <w:p w14:paraId="22F28D03"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Исходя из поставленной цели решаются следующие задачи:</w:t>
      </w:r>
    </w:p>
    <w:p w14:paraId="3A92EA99" w14:textId="77777777" w:rsidR="002245D5" w:rsidRPr="003D7553" w:rsidRDefault="002245D5" w:rsidP="00202D58">
      <w:pPr>
        <w:pStyle w:val="a7"/>
        <w:numPr>
          <w:ilvl w:val="0"/>
          <w:numId w:val="6"/>
        </w:numPr>
        <w:jc w:val="both"/>
        <w:rPr>
          <w:rFonts w:ascii="Times New Roman" w:hAnsi="Times New Roman" w:cs="Times New Roman"/>
        </w:rPr>
      </w:pPr>
      <w:r w:rsidRPr="003D7553">
        <w:rPr>
          <w:rFonts w:ascii="Times New Roman" w:hAnsi="Times New Roman" w:cs="Times New Roman"/>
        </w:rPr>
        <w:t>Рассмотреть основы современной налоговой системы РФ</w:t>
      </w:r>
    </w:p>
    <w:p w14:paraId="6B12AC61" w14:textId="77777777" w:rsidR="002245D5" w:rsidRPr="003D7553" w:rsidRDefault="002245D5" w:rsidP="00202D58">
      <w:pPr>
        <w:pStyle w:val="a7"/>
        <w:numPr>
          <w:ilvl w:val="0"/>
          <w:numId w:val="6"/>
        </w:numPr>
        <w:jc w:val="both"/>
        <w:rPr>
          <w:rFonts w:ascii="Times New Roman" w:hAnsi="Times New Roman" w:cs="Times New Roman"/>
        </w:rPr>
      </w:pPr>
      <w:r w:rsidRPr="003D7553">
        <w:rPr>
          <w:rFonts w:ascii="Times New Roman" w:hAnsi="Times New Roman" w:cs="Times New Roman"/>
        </w:rPr>
        <w:t>Изучить постановления судов в разрешении налоговых споров</w:t>
      </w:r>
    </w:p>
    <w:p w14:paraId="38EA5E17"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Налоговая система России является сложной сферой в областях социально-политических и экономико-правовых явлениях, которые охватывают всю страну. Эти явления имеют не простую структуру, которая состоит из множества взаимосвязанных  систем,  элементов и  форм. Зачем же нужна налоговая система со всеми её сложностями? Посредством комплексного взаимодействия всех элементов налога, государство получает возможность распоряжаться денежно-финансовыми ресурсами и решать общесоциальные </w:t>
      </w:r>
      <w:r w:rsidRPr="003D7553">
        <w:rPr>
          <w:rFonts w:ascii="Times New Roman" w:hAnsi="Times New Roman" w:cs="Times New Roman"/>
          <w:sz w:val="24"/>
          <w:szCs w:val="24"/>
        </w:rPr>
        <w:lastRenderedPageBreak/>
        <w:t>задачи. Надобность налоговой системы  появляется из функциональных задач государства. Каждый новый этап в налоговой системе предопределяется историческими особенностями эволюции государства. Тем самым, организация и структура налоговой системы в стране определяет уровень экономического и государственного развития. Правовое регулирование досудебного разрешения налоговых споров на сегодняшний день остается малоизученным. Совместно с тем изыскание данного вопроса имеет как теоретическую (с целью обнаружения путей последующего улучшения права), так и утилитарную (для охраны прав налогоплательщиков и интересов государства) надобность. Налоговый кодекс Русской Федерации закрепил ряд мер, направленных на разрешение конфликтных обстановок между налоговыми органами и налогоплательщиками. Впрочем, нормы, регулирующие досудебное разрешение налоговых споров крайне размыты и не однозначны.</w:t>
      </w:r>
    </w:p>
    <w:p w14:paraId="694F1F4F"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 На сегодняшний день основным законодательным актом, устанавливающий систему налогов и сборов в Российской Федерации является Налоговый кодекс, который регулирует не только общие принципы налоговой системы, но и взаимоотношения между государством и налогоплательщиком по определенным видам налога.</w:t>
      </w:r>
    </w:p>
    <w:p w14:paraId="022D1514" w14:textId="77777777" w:rsidR="002245D5" w:rsidRPr="003D7553" w:rsidRDefault="002245D5" w:rsidP="002245D5">
      <w:pPr>
        <w:spacing w:after="0" w:line="240" w:lineRule="auto"/>
        <w:ind w:firstLine="709"/>
        <w:jc w:val="both"/>
        <w:rPr>
          <w:rFonts w:ascii="Times New Roman" w:hAnsi="Times New Roman" w:cs="Times New Roman"/>
          <w:iCs/>
          <w:sz w:val="24"/>
          <w:szCs w:val="24"/>
        </w:rPr>
      </w:pPr>
      <w:r w:rsidRPr="003D7553">
        <w:rPr>
          <w:rFonts w:ascii="Times New Roman" w:hAnsi="Times New Roman" w:cs="Times New Roman"/>
          <w:iCs/>
          <w:sz w:val="24"/>
          <w:szCs w:val="24"/>
        </w:rPr>
        <w:t>Налоговая система РФ — это основа для выполнения государством своих функций и главный источник доходов федерального, региональных и местных бюджетов.  В статье мы рассмотрим структуру и основные элементы налоговой системы, а так же  примеры разрешения налоговых споров. Налоговая система России устроена так, что все элементы комплексно взаимодействуют друг с другом: налоги и сборы, налогоплательщики, правовая система и государственные органы.</w:t>
      </w:r>
    </w:p>
    <w:p w14:paraId="687C6DE0" w14:textId="77777777" w:rsidR="002245D5" w:rsidRPr="003D7553" w:rsidRDefault="002245D5" w:rsidP="002245D5">
      <w:pPr>
        <w:spacing w:line="240" w:lineRule="auto"/>
        <w:rPr>
          <w:rFonts w:ascii="Times New Roman" w:hAnsi="Times New Roman" w:cs="Times New Roman"/>
          <w:sz w:val="24"/>
          <w:szCs w:val="24"/>
        </w:rPr>
      </w:pPr>
      <w:r w:rsidRPr="003D7553">
        <w:rPr>
          <w:rFonts w:ascii="Times New Roman" w:hAnsi="Times New Roman" w:cs="Times New Roman"/>
          <w:noProof/>
          <w:sz w:val="24"/>
          <w:szCs w:val="24"/>
          <w:lang w:eastAsia="ru-RU"/>
        </w:rPr>
        <w:drawing>
          <wp:inline distT="0" distB="0" distL="0" distR="0" wp14:anchorId="7A82E76C" wp14:editId="07777777">
            <wp:extent cx="5610225" cy="3090545"/>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Безымянный.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610225" cy="3090545"/>
                    </a:xfrm>
                    <a:prstGeom prst="rect">
                      <a:avLst/>
                    </a:prstGeom>
                  </pic:spPr>
                </pic:pic>
              </a:graphicData>
            </a:graphic>
          </wp:inline>
        </w:drawing>
      </w:r>
    </w:p>
    <w:p w14:paraId="5397CE80" w14:textId="77777777" w:rsidR="002245D5" w:rsidRPr="003D7553" w:rsidRDefault="002245D5" w:rsidP="002245D5">
      <w:pPr>
        <w:spacing w:after="0" w:line="240" w:lineRule="auto"/>
        <w:ind w:firstLine="709"/>
        <w:jc w:val="center"/>
        <w:rPr>
          <w:rFonts w:ascii="Times New Roman" w:hAnsi="Times New Roman" w:cs="Times New Roman"/>
          <w:sz w:val="24"/>
          <w:szCs w:val="24"/>
        </w:rPr>
      </w:pPr>
      <w:r w:rsidRPr="003D7553">
        <w:rPr>
          <w:rFonts w:ascii="Times New Roman" w:hAnsi="Times New Roman" w:cs="Times New Roman"/>
          <w:sz w:val="24"/>
          <w:szCs w:val="24"/>
        </w:rPr>
        <w:t>Рис.1. Структура налоговой системы РФ</w:t>
      </w:r>
    </w:p>
    <w:p w14:paraId="5B2F9378" w14:textId="77777777" w:rsidR="00F025EC" w:rsidRPr="003D7553" w:rsidRDefault="00F025EC" w:rsidP="002245D5">
      <w:pPr>
        <w:spacing w:after="0" w:line="240" w:lineRule="auto"/>
        <w:ind w:firstLine="709"/>
        <w:jc w:val="both"/>
        <w:rPr>
          <w:rFonts w:ascii="Times New Roman" w:hAnsi="Times New Roman" w:cs="Times New Roman"/>
          <w:sz w:val="24"/>
          <w:szCs w:val="24"/>
        </w:rPr>
      </w:pPr>
    </w:p>
    <w:p w14:paraId="28128489"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Всего в России насчитывается 14 налогов: 8 федеральных, 3 региональных и 3 местных. Немного обособленно стоят 5 специальных систем налогообложения.</w:t>
      </w:r>
    </w:p>
    <w:p w14:paraId="495D80DB"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Юридические и физические лица, налоговые агенты являются субъектами налогообложения – налогоплательщики, то есть те, кто, согласно налоговому кодексу, уплачивают налоги и сборы. Контроль за соблюдением налогового законодательства Российской Федерации осуществляет единая цетрализованная система – налоговые органы. Осуществляют контроль за правильностью исчисления налогов и сборов, своевременностью и полнотой поступления в бюджет соответствующих налогов. К системе налоговых органов Российской Федерации относят Министерство финансов РФ и Федеральную налоговую службу РФ. Минфин РФ определяет главные направления налоговой политики нашего </w:t>
      </w:r>
      <w:r w:rsidRPr="003D7553">
        <w:rPr>
          <w:rFonts w:ascii="Times New Roman" w:hAnsi="Times New Roman" w:cs="Times New Roman"/>
          <w:sz w:val="24"/>
          <w:szCs w:val="24"/>
        </w:rPr>
        <w:lastRenderedPageBreak/>
        <w:t xml:space="preserve">государства, прогнозирует налоговые поступления и вносит предложения по улучшению налоговой системы РФ в целом.  </w:t>
      </w:r>
    </w:p>
    <w:p w14:paraId="07989038" w14:textId="77777777" w:rsidR="002245D5" w:rsidRPr="003D7553" w:rsidRDefault="002245D5" w:rsidP="00F025EC">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Для обеспечения эффективного налогообложения нужно гармоничное сочетание налогового механизма с целями и задачами, которые ставит для себя государство. Для каждого элемента, участвующего в налоговой системе, эффективное налогообл</w:t>
      </w:r>
      <w:r w:rsidR="00F025EC" w:rsidRPr="003D7553">
        <w:rPr>
          <w:rFonts w:ascii="Times New Roman" w:hAnsi="Times New Roman" w:cs="Times New Roman"/>
          <w:sz w:val="24"/>
          <w:szCs w:val="24"/>
        </w:rPr>
        <w:t>ожение определяется по разному.</w:t>
      </w:r>
    </w:p>
    <w:p w14:paraId="58E6DD4E" w14:textId="77777777" w:rsidR="00F025EC" w:rsidRPr="003D7553" w:rsidRDefault="00F025EC" w:rsidP="00F025EC">
      <w:pPr>
        <w:spacing w:after="0" w:line="240" w:lineRule="auto"/>
        <w:ind w:firstLine="709"/>
        <w:jc w:val="both"/>
        <w:rPr>
          <w:rFonts w:ascii="Times New Roman" w:hAnsi="Times New Roman" w:cs="Times New Roman"/>
          <w:sz w:val="24"/>
          <w:szCs w:val="24"/>
        </w:rPr>
      </w:pPr>
    </w:p>
    <w:p w14:paraId="65E69E93" w14:textId="77777777" w:rsidR="002245D5" w:rsidRPr="003D7553" w:rsidRDefault="002245D5" w:rsidP="002245D5">
      <w:pPr>
        <w:spacing w:after="0" w:line="240" w:lineRule="auto"/>
        <w:ind w:firstLine="709"/>
        <w:jc w:val="right"/>
        <w:rPr>
          <w:rFonts w:ascii="Times New Roman" w:hAnsi="Times New Roman" w:cs="Times New Roman"/>
          <w:i/>
          <w:sz w:val="24"/>
          <w:szCs w:val="24"/>
        </w:rPr>
      </w:pPr>
      <w:r w:rsidRPr="003D7553">
        <w:rPr>
          <w:rFonts w:ascii="Times New Roman" w:hAnsi="Times New Roman" w:cs="Times New Roman"/>
          <w:i/>
          <w:sz w:val="24"/>
          <w:szCs w:val="24"/>
        </w:rPr>
        <w:t xml:space="preserve">Таблица 1 </w:t>
      </w:r>
    </w:p>
    <w:p w14:paraId="7D3BEE8F" w14:textId="77777777" w:rsidR="00F025EC" w:rsidRPr="003D7553" w:rsidRDefault="00F025EC" w:rsidP="002245D5">
      <w:pPr>
        <w:spacing w:after="0" w:line="240" w:lineRule="auto"/>
        <w:ind w:firstLine="709"/>
        <w:jc w:val="right"/>
        <w:rPr>
          <w:rFonts w:ascii="Times New Roman" w:hAnsi="Times New Roman" w:cs="Times New Roman"/>
          <w:i/>
          <w:sz w:val="24"/>
          <w:szCs w:val="24"/>
        </w:rPr>
      </w:pPr>
    </w:p>
    <w:p w14:paraId="490D730A" w14:textId="77777777" w:rsidR="002245D5" w:rsidRPr="003D7553" w:rsidRDefault="00F025EC" w:rsidP="00F025EC">
      <w:pPr>
        <w:spacing w:after="0" w:line="240" w:lineRule="auto"/>
        <w:ind w:firstLine="709"/>
        <w:jc w:val="center"/>
        <w:rPr>
          <w:rFonts w:ascii="Times New Roman" w:hAnsi="Times New Roman" w:cs="Times New Roman"/>
          <w:b/>
          <w:sz w:val="24"/>
          <w:szCs w:val="24"/>
        </w:rPr>
      </w:pPr>
      <w:r w:rsidRPr="003D7553">
        <w:rPr>
          <w:rFonts w:ascii="Times New Roman" w:hAnsi="Times New Roman" w:cs="Times New Roman"/>
          <w:b/>
          <w:sz w:val="24"/>
          <w:szCs w:val="24"/>
        </w:rPr>
        <w:t>Эффективное налогооб</w:t>
      </w:r>
      <w:r w:rsidR="002245D5" w:rsidRPr="003D7553">
        <w:rPr>
          <w:rFonts w:ascii="Times New Roman" w:hAnsi="Times New Roman" w:cs="Times New Roman"/>
          <w:b/>
          <w:sz w:val="24"/>
          <w:szCs w:val="24"/>
        </w:rPr>
        <w:t xml:space="preserve">ложение для элементов, </w:t>
      </w:r>
      <w:r w:rsidRPr="003D7553">
        <w:rPr>
          <w:rFonts w:ascii="Times New Roman" w:hAnsi="Times New Roman" w:cs="Times New Roman"/>
          <w:b/>
          <w:sz w:val="24"/>
          <w:szCs w:val="24"/>
        </w:rPr>
        <w:t>участвующих в налоговой системе</w:t>
      </w:r>
    </w:p>
    <w:p w14:paraId="3B88899E" w14:textId="77777777" w:rsidR="00F025EC" w:rsidRPr="003D7553" w:rsidRDefault="00F025EC" w:rsidP="00F025EC">
      <w:pPr>
        <w:spacing w:after="0" w:line="240" w:lineRule="auto"/>
        <w:ind w:firstLine="709"/>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11"/>
        <w:gridCol w:w="4943"/>
      </w:tblGrid>
      <w:tr w:rsidR="002245D5" w:rsidRPr="003D7553" w14:paraId="2EB10699" w14:textId="77777777" w:rsidTr="002245D5">
        <w:tc>
          <w:tcPr>
            <w:tcW w:w="5565" w:type="dxa"/>
          </w:tcPr>
          <w:p w14:paraId="4F0C61CF"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Элементы, участвующие в налоговой системе</w:t>
            </w:r>
          </w:p>
        </w:tc>
        <w:tc>
          <w:tcPr>
            <w:tcW w:w="5565" w:type="dxa"/>
          </w:tcPr>
          <w:p w14:paraId="3C7D192B"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Желаемый результат при налогообложении</w:t>
            </w:r>
          </w:p>
        </w:tc>
      </w:tr>
      <w:tr w:rsidR="002245D5" w:rsidRPr="003D7553" w14:paraId="348DDC6C" w14:textId="77777777" w:rsidTr="002245D5">
        <w:tc>
          <w:tcPr>
            <w:tcW w:w="5565" w:type="dxa"/>
          </w:tcPr>
          <w:p w14:paraId="27C4B830"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Государство</w:t>
            </w:r>
          </w:p>
        </w:tc>
        <w:tc>
          <w:tcPr>
            <w:tcW w:w="5565" w:type="dxa"/>
          </w:tcPr>
          <w:p w14:paraId="4E7E1DB1"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Увеличение доходов бюджета за счет налогов и увеличение налогооблагаемой базы</w:t>
            </w:r>
          </w:p>
        </w:tc>
      </w:tr>
      <w:tr w:rsidR="002245D5" w:rsidRPr="003D7553" w14:paraId="52434C62" w14:textId="77777777" w:rsidTr="002245D5">
        <w:tc>
          <w:tcPr>
            <w:tcW w:w="5565" w:type="dxa"/>
          </w:tcPr>
          <w:p w14:paraId="6ACFB509"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Хозяйствующий субъект</w:t>
            </w:r>
          </w:p>
        </w:tc>
        <w:tc>
          <w:tcPr>
            <w:tcW w:w="5565" w:type="dxa"/>
          </w:tcPr>
          <w:p w14:paraId="5437934C"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Получение максимальной прибыли при минимизации налоговых платежей</w:t>
            </w:r>
          </w:p>
        </w:tc>
      </w:tr>
      <w:tr w:rsidR="002245D5" w:rsidRPr="003D7553" w14:paraId="1596F79A" w14:textId="77777777" w:rsidTr="002245D5">
        <w:tc>
          <w:tcPr>
            <w:tcW w:w="5565" w:type="dxa"/>
          </w:tcPr>
          <w:p w14:paraId="6A089F32"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Население</w:t>
            </w:r>
          </w:p>
        </w:tc>
        <w:tc>
          <w:tcPr>
            <w:tcW w:w="5565" w:type="dxa"/>
          </w:tcPr>
          <w:p w14:paraId="5F3B61F1" w14:textId="77777777" w:rsidR="002245D5" w:rsidRPr="003D7553" w:rsidRDefault="002245D5" w:rsidP="002245D5">
            <w:pPr>
              <w:jc w:val="center"/>
              <w:rPr>
                <w:rFonts w:ascii="Times New Roman" w:hAnsi="Times New Roman" w:cs="Times New Roman"/>
                <w:sz w:val="24"/>
                <w:szCs w:val="24"/>
              </w:rPr>
            </w:pPr>
            <w:r w:rsidRPr="003D7553">
              <w:rPr>
                <w:rFonts w:ascii="Times New Roman" w:hAnsi="Times New Roman" w:cs="Times New Roman"/>
                <w:sz w:val="24"/>
                <w:szCs w:val="24"/>
              </w:rPr>
              <w:t>Получение достаточных доходов на жизнь, с учетом уплаты всех установленных налогов, за счет которых предоставляются социальные услуги</w:t>
            </w:r>
          </w:p>
        </w:tc>
      </w:tr>
    </w:tbl>
    <w:p w14:paraId="69E2BB2B" w14:textId="77777777" w:rsidR="002245D5" w:rsidRPr="003D7553" w:rsidRDefault="002245D5" w:rsidP="002245D5">
      <w:pPr>
        <w:spacing w:line="240" w:lineRule="auto"/>
        <w:rPr>
          <w:rFonts w:ascii="Times New Roman" w:hAnsi="Times New Roman" w:cs="Times New Roman"/>
          <w:sz w:val="24"/>
          <w:szCs w:val="24"/>
        </w:rPr>
      </w:pPr>
    </w:p>
    <w:p w14:paraId="1651F0A2"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Как известно, налоговый контроль и изменение  налоговыми  органами  самостоятельно исчисленных организациями и индивидуальными предпринимателями  сумм  налогов,  приводит  к возникновению  налоговых  споров.  Сегодня  их немало в практике налогообложения, более подробно рассмотрим некоторые из них.</w:t>
      </w:r>
    </w:p>
    <w:p w14:paraId="3A8BF49B"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Налоговый спор появляется после оценивания деяний (действий либо бездействия) налогоплательщика налоговыми органами. Обычно до предъявления требований в суде данный неразрешённый конфликт выступает предметом рассмотрения государственными органами, а также представляет собой вещественное налоговое правоотношение. В данном случае налоговый спор преодолевают в порядке, который предусмотрен законодательством о налогах и сборах (раздел 7 НК РФ).</w:t>
      </w:r>
    </w:p>
    <w:p w14:paraId="2560182A"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Налоговым спором называют ситуацию, когда налогоплательщик не согласен с мнением налогового органа по тому либо другому вопросу. </w:t>
      </w:r>
    </w:p>
    <w:p w14:paraId="2C7EA5E9"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основе налогового спора заложены разногласия между налогоплательщиком, налоговым агентом с одной стороны, и государственным органом и их должностным лицом – с другой, появляющиеся по поводу верности применения норм налогового права, а также дозволяемые компетентным государственным органом. Наиболее часто налоговые споры возникают как результат камеральной либо выездной налоговой проверки. </w:t>
      </w:r>
    </w:p>
    <w:p w14:paraId="551F57AB" w14:textId="77777777" w:rsidR="002245D5" w:rsidRPr="003D7553" w:rsidRDefault="630840AF" w:rsidP="630840AF">
      <w:pPr>
        <w:shd w:val="clear" w:color="auto" w:fill="FFFFFF" w:themeFill="background1"/>
        <w:spacing w:after="0" w:line="240" w:lineRule="auto"/>
        <w:ind w:firstLine="709"/>
        <w:jc w:val="both"/>
        <w:rPr>
          <w:rFonts w:ascii="Times New Roman" w:hAnsi="Times New Roman" w:cs="Times New Roman"/>
          <w:sz w:val="24"/>
          <w:szCs w:val="24"/>
        </w:rPr>
      </w:pPr>
      <w:r w:rsidRPr="630840AF">
        <w:rPr>
          <w:rFonts w:ascii="Times New Roman" w:hAnsi="Times New Roman" w:cs="Times New Roman"/>
          <w:sz w:val="24"/>
          <w:szCs w:val="24"/>
        </w:rPr>
        <w:t xml:space="preserve">При появлении налоговых споров участники налоговых правоотношений с самого начала не равны между собой, поскольку с одной стороны всегда выступает государство в лице налоговых органов, а с другой - налогоплательщик - физическое или юридическое лицо. У налогоплательщиков часто возникают административные жалобы с которыми они неохотно обращаются в государственные органы, так как вышестоящие налоговые органы нехотя отменяют заключение своих подчиненных. В таких случаях налогоплательщики вынуждены обращаться с жалобой в арбитражный суд в надежде, что до разрешения налогового спора, взыскание штрафов и налогов прекратится.  Поэтому обращения налогоплательщиков являются основным способом урегулирования налоговых споров. Однако, это может сказываться на работе судебной системы, так как помимо судебной, необходимы и другие процедуры для разрешения налоговых споров. Из-за многочисленных </w:t>
      </w:r>
      <w:r w:rsidRPr="630840AF">
        <w:rPr>
          <w:rFonts w:ascii="Times New Roman" w:hAnsi="Times New Roman" w:cs="Times New Roman"/>
          <w:sz w:val="24"/>
          <w:szCs w:val="24"/>
        </w:rPr>
        <w:lastRenderedPageBreak/>
        <w:t>обращений в судебные органы, происходит перегрузка, которая может повлиять на качество судебных решений. В процессе разрешения налоговых споров судебные органы обязаны проверять обоснованность и законность решений, действий и бездействий налоговых органов. Нередко сами судебные органы обращают внимание на обстоятельства, которые налоговые органы упустили, тем самым дорабатывая за налоговыми органами.</w:t>
      </w:r>
    </w:p>
    <w:p w14:paraId="3C140DC4"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Судебная практика по налоговым спорам постоянно меняется, как и само налоговое законодательство. Так, если еще несколько лет назад в 2012-2014 годах при рассмотрении арбитражных налоговых споров по делам о необоснованной налоговой выгоде суды в большей степени занимали позицию налогоплательщиков и учитывали положения п. 6 ст. 108 НК РФ в соответствии, с которым обязанность доказывания обстоятельств, свидетельствующих о совершении налогоплательщиком  налогового правонарушения возлагалась на налоговый орган, а у налогоплательщика отсутствует обязанность по доказыванию своей невиновности, то уже с 2015 года ситуация коренным образом изменилась. На данном этапе формирования судебно-арбитражной практики при недоказанности со стороны налоговых органов совершения налогоплательщиком правонарушения и лишь при наличии решения налоговой проверки с доначислениями существует большая вероятность получения отказа в признании незаконным этого решения, если налогоплательщик недостаточным образом подготовит правовую позицию и доказательства для суда. Например, в Постановлении Девятого арбитражного апелляционного суда от 05.11.2013 N 09АП-35965/2013-АК по делу N А40-162962/12 суды приходят к выводу, что налоговый орган не доказал, что документы представленные налогоплательщиком содержат недостоверные сведения, несмотря на то, что подрядчики налогоплательщика первого звена обладали признаками фирм однодневок, и налоговый орган оспаривал реальность выполнения работ данными подрядчиками [2].</w:t>
      </w:r>
    </w:p>
    <w:p w14:paraId="5E4C965F"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Однако, при рассмотрении аналогичного налогового спора уже в 2016 году, тот же арбитражный суд города Москвы принимает противоположные решения. Так, в Постановлении Арбитражного суда Московского округа от 21.12.2016 N Ф05-19922/2016 по делу N А40-186341/2015, отказывая налогоплательщику в признании решения налогового органа незаконным, суды проигнорировали недоказанность со стороны налоговой инспекции аналогичных обстоятельств [1].</w:t>
      </w:r>
    </w:p>
    <w:p w14:paraId="1AF51B5C"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2017 году суды подтвердили, что ФНС России вправе в порядке ведомственного контроля отменять решения нижестоящих налоговых органов без обращения налогоплательщика, а Минфин может давать разъяснения налогового законодательства. Суды также пришли к выводу, что налоговая выгода признается необоснованной, только когда налоговая экономия приводит к негативным последствиям для бюджета. Эту судебную практику эксперты назвали позитивной, но были и негативные решения судов. Например. ООО "Аукционная компания Союзпушнина" перечисляло дивиденды кипрской компании. ФНС решила, что кипрская компания является кондуитом, не осуществляет реальной экономической деятельности, а перечисление дивидендов носит транзитный характер. Согласно мнению налоговой, подобную схему использовало общество в целях применения пониженной налоговой ставки, так как между Россией с Кипром заключено соответствующее двустороннее соглашение. Арбитражный суд города Москвы и 9-й арбитражный апелляционный суд согласились с мнением ФНС. Суды посчитали, что компания должна не только указать реального бенефициара и подтвердить его статус, но и представить достаточные доказательства перечисления денег именно физическому лицу. В противном случае, если деньги до бенефициара в силу разных причин не дошли, то и права на применение льготной ставки у налогоплательщика не имеется [2]. </w:t>
      </w:r>
    </w:p>
    <w:p w14:paraId="4D47E797"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Согласно правовой позиции Верховного суда, высказанной в рамках дела № А40-61604/16, после реализации покупателям и списания с баланса нежилых помещений и части общего имущества объекта обязанность по уплате налога на имущество организаций, а также по представлению соответствующей декларации на часть общего имущества объекта у продавца отсутствует [4].</w:t>
      </w:r>
    </w:p>
    <w:p w14:paraId="22152DC5"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lastRenderedPageBreak/>
        <w:t>Также Верховный суд в рамках дела № А40-44828/2016 [5] указал, что налоговая база по налогу на имущество организаций, рассчитанная в порядке ст. 378.2 НК, должна определяться исходя из кадастровой стоимости здания, определенной нормативным актом субъекта, в соответствии с которым утверждаются результаты определения кадастровой стоимости объектов недвижимого имущества, с учетом доли площади спорных помещений в общей площади здания.</w:t>
      </w:r>
    </w:p>
    <w:p w14:paraId="29139423" w14:textId="77777777" w:rsidR="002245D5" w:rsidRPr="003D7553" w:rsidRDefault="002245D5" w:rsidP="002245D5">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Таким образом, можно сделать вывод, что сделанный упор на фискальную функцию налоговой системы не оправдывает надежд государства: налоги душат налогоплательщика, тем самым сужается налогооблагаемая база и уменьшается налоговая масса от чего и возникают споры. На сегодняшний день необходима иная налоговая политика соответствующая интересам, как государства, так и народа. Для введения новой налоговой политики нужна серьезная теоретическая основа, которую мы можем подчеркнуть в странах Запада. Но нацеленность на их практику немного затруднена, так как нужно учитывать политические, социальные и экономические условия сегодняшней России.</w:t>
      </w:r>
    </w:p>
    <w:p w14:paraId="57C0D796" w14:textId="77777777" w:rsidR="002245D5" w:rsidRPr="003D7553" w:rsidRDefault="002245D5" w:rsidP="002245D5">
      <w:pPr>
        <w:spacing w:after="0" w:line="240" w:lineRule="auto"/>
        <w:ind w:firstLine="709"/>
        <w:jc w:val="both"/>
        <w:rPr>
          <w:rFonts w:ascii="Times New Roman" w:hAnsi="Times New Roman" w:cs="Times New Roman"/>
          <w:sz w:val="24"/>
          <w:szCs w:val="24"/>
        </w:rPr>
      </w:pPr>
    </w:p>
    <w:p w14:paraId="0D142F6F" w14:textId="77777777" w:rsidR="002245D5" w:rsidRPr="003D7553" w:rsidRDefault="007014C7" w:rsidP="002245D5">
      <w:pPr>
        <w:spacing w:line="240" w:lineRule="auto"/>
        <w:rPr>
          <w:rFonts w:ascii="Times New Roman" w:hAnsi="Times New Roman" w:cs="Times New Roman"/>
          <w:sz w:val="24"/>
          <w:szCs w:val="24"/>
        </w:rPr>
      </w:pPr>
      <w:r>
        <w:rPr>
          <w:rFonts w:ascii="Times New Roman" w:hAnsi="Times New Roman" w:cs="Times New Roman"/>
          <w:noProof/>
          <w:sz w:val="24"/>
          <w:szCs w:val="24"/>
          <w:lang w:eastAsia="ru-RU"/>
        </w:rPr>
        <w:pict w14:anchorId="22C2B56A">
          <v:line id="Прямая соединительная линия 10" o:spid="_x0000_s1142" style="position:absolute;flip:y;z-index:251660288;visibility:visible" from="35.35pt,5.75pt" to="249.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" strokecolor="black [3040]">
            <o:lock v:ext="edit" shapetype="f"/>
          </v:line>
        </w:pict>
      </w:r>
    </w:p>
    <w:p w14:paraId="3DC59BF6" w14:textId="77777777" w:rsidR="002245D5" w:rsidRPr="003D7553" w:rsidRDefault="002245D5" w:rsidP="00202D58">
      <w:pPr>
        <w:numPr>
          <w:ilvl w:val="1"/>
          <w:numId w:val="40"/>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Постановление Арбитражного суда Московского округа от 21.12.2016 N Ф05-19922/2016 по делу N А40-186341/2015  http://base.garant.ru/41720842/</w:t>
      </w:r>
    </w:p>
    <w:p w14:paraId="18493020" w14:textId="77777777" w:rsidR="002245D5" w:rsidRPr="003D7553" w:rsidRDefault="002245D5" w:rsidP="00202D58">
      <w:pPr>
        <w:numPr>
          <w:ilvl w:val="1"/>
          <w:numId w:val="40"/>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Постановление Девятого арбитражного апелляционного суда от 26.12.2017 N 09АП-60617/2017 по делу N А40-73573/17 http://www.consultant.ru/</w:t>
      </w:r>
    </w:p>
    <w:p w14:paraId="1F4C0AB3" w14:textId="77777777" w:rsidR="002245D5" w:rsidRPr="003D7553" w:rsidRDefault="002245D5" w:rsidP="00202D58">
      <w:pPr>
        <w:numPr>
          <w:ilvl w:val="1"/>
          <w:numId w:val="40"/>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Постановление Арбитражного суда Московского округа (ФАС МО) от 23 мая 2017 г. по делу № А40-133431/2016</w:t>
      </w:r>
    </w:p>
    <w:p w14:paraId="3C72491B" w14:textId="77777777" w:rsidR="002245D5" w:rsidRPr="003D7553" w:rsidRDefault="002245D5" w:rsidP="00202D58">
      <w:pPr>
        <w:numPr>
          <w:ilvl w:val="1"/>
          <w:numId w:val="40"/>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Определение ВС РФ от 19 мая 2017 г. № 305-КГ17-4803 по делу № А40-61604/16 http://www.consultant.ru/</w:t>
      </w:r>
    </w:p>
    <w:p w14:paraId="39B16C81" w14:textId="77777777" w:rsidR="002245D5" w:rsidRPr="003D7553" w:rsidRDefault="002245D5" w:rsidP="00202D58">
      <w:pPr>
        <w:numPr>
          <w:ilvl w:val="1"/>
          <w:numId w:val="40"/>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Определение Верховного Суда РФ от 25.07.2017 N 305-КГ17-6783 по делу N А40-44828/2016 http://www.consultant.ru/</w:t>
      </w:r>
    </w:p>
    <w:p w14:paraId="7D803549" w14:textId="77777777" w:rsidR="002245D5" w:rsidRPr="003D7553" w:rsidRDefault="002245D5" w:rsidP="00202D58">
      <w:pPr>
        <w:numPr>
          <w:ilvl w:val="1"/>
          <w:numId w:val="40"/>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Зутиков И.А. Защита прав и законных интересов кредитных организаций в налоговом процессе // Административное и муниципальное право. 2015. № 6.</w:t>
      </w:r>
    </w:p>
    <w:bookmarkEnd w:id="0"/>
    <w:bookmarkEnd w:id="1"/>
    <w:bookmarkEnd w:id="2"/>
    <w:bookmarkEnd w:id="3"/>
    <w:bookmarkEnd w:id="4"/>
    <w:bookmarkEnd w:id="5"/>
    <w:p w14:paraId="4475AD14" w14:textId="77777777" w:rsidR="002245D5" w:rsidRDefault="002245D5" w:rsidP="002245D5">
      <w:pPr>
        <w:jc w:val="both"/>
        <w:rPr>
          <w:rFonts w:ascii="Times New Roman" w:eastAsia="Times New Roman" w:hAnsi="Times New Roman" w:cs="Times New Roman"/>
          <w:color w:val="000000" w:themeColor="text1"/>
          <w:u w:val="single"/>
        </w:rPr>
      </w:pPr>
    </w:p>
    <w:p w14:paraId="48779CB0" w14:textId="77777777" w:rsidR="00202D58" w:rsidRPr="003D7553" w:rsidRDefault="00202D58" w:rsidP="003D7553">
      <w:pPr>
        <w:keepNext/>
        <w:spacing w:before="120" w:after="120" w:line="240" w:lineRule="auto"/>
        <w:outlineLvl w:val="3"/>
        <w:rPr>
          <w:rFonts w:ascii="Times New Roman" w:eastAsia="Calibri" w:hAnsi="Times New Roman" w:cs="Times New Roman"/>
          <w:b/>
          <w:bCs/>
          <w:sz w:val="24"/>
          <w:szCs w:val="24"/>
        </w:rPr>
      </w:pPr>
      <w:r w:rsidRPr="003D7553">
        <w:rPr>
          <w:rFonts w:ascii="Times New Roman" w:eastAsia="Calibri" w:hAnsi="Times New Roman" w:cs="Times New Roman"/>
          <w:b/>
          <w:bCs/>
          <w:sz w:val="24"/>
          <w:szCs w:val="24"/>
        </w:rPr>
        <w:t>Рубрика: Мировая экономика</w:t>
      </w:r>
    </w:p>
    <w:p w14:paraId="51FEA003" w14:textId="77777777" w:rsidR="00202D58" w:rsidRPr="003D7553" w:rsidRDefault="00202D58" w:rsidP="003D7553">
      <w:pPr>
        <w:spacing w:after="0" w:line="240" w:lineRule="auto"/>
        <w:jc w:val="both"/>
        <w:rPr>
          <w:rFonts w:ascii="Times New Roman" w:eastAsia="Calibri" w:hAnsi="Times New Roman" w:cs="Times New Roman"/>
          <w:sz w:val="24"/>
          <w:szCs w:val="24"/>
        </w:rPr>
      </w:pPr>
      <w:r w:rsidRPr="003D7553">
        <w:rPr>
          <w:rFonts w:ascii="Times New Roman" w:eastAsia="Calibri" w:hAnsi="Times New Roman" w:cs="Times New Roman"/>
          <w:sz w:val="24"/>
          <w:szCs w:val="24"/>
        </w:rPr>
        <w:t>УДК 339.94</w:t>
      </w:r>
    </w:p>
    <w:p w14:paraId="40E70FD3" w14:textId="77777777" w:rsidR="00202D58" w:rsidRPr="003D7553" w:rsidRDefault="00202D58" w:rsidP="003D7553">
      <w:pPr>
        <w:keepNext/>
        <w:spacing w:before="240" w:after="240" w:line="240" w:lineRule="auto"/>
        <w:jc w:val="center"/>
        <w:outlineLvl w:val="0"/>
        <w:rPr>
          <w:rFonts w:ascii="Times New Roman" w:eastAsia="Times New Roman" w:hAnsi="Times New Roman" w:cs="Times New Roman"/>
          <w:b/>
          <w:bCs/>
          <w:caps/>
          <w:kern w:val="28"/>
          <w:sz w:val="24"/>
          <w:szCs w:val="24"/>
        </w:rPr>
      </w:pPr>
      <w:r w:rsidRPr="003D7553">
        <w:rPr>
          <w:rFonts w:ascii="Times New Roman" w:eastAsia="Times New Roman" w:hAnsi="Times New Roman" w:cs="Times New Roman"/>
          <w:b/>
          <w:bCs/>
          <w:caps/>
          <w:kern w:val="28"/>
          <w:sz w:val="24"/>
          <w:szCs w:val="24"/>
        </w:rPr>
        <w:t>Международная практика создания экономических кластеров: опыт КНР</w:t>
      </w:r>
    </w:p>
    <w:p w14:paraId="2C5559B8" w14:textId="77777777" w:rsidR="00202D58" w:rsidRPr="003D7553" w:rsidRDefault="00202D58" w:rsidP="003D7553">
      <w:pPr>
        <w:spacing w:after="0" w:line="240" w:lineRule="auto"/>
        <w:jc w:val="center"/>
        <w:rPr>
          <w:rFonts w:ascii="Times New Roman" w:eastAsia="Calibri" w:hAnsi="Times New Roman" w:cs="Times New Roman"/>
          <w:b/>
          <w:bCs/>
          <w:sz w:val="24"/>
          <w:szCs w:val="24"/>
          <w:lang w:eastAsia="ru-RU"/>
        </w:rPr>
      </w:pPr>
      <w:r w:rsidRPr="003D7553">
        <w:rPr>
          <w:rFonts w:ascii="Times New Roman" w:eastAsia="Calibri" w:hAnsi="Times New Roman" w:cs="Times New Roman"/>
          <w:b/>
          <w:bCs/>
          <w:sz w:val="24"/>
          <w:szCs w:val="24"/>
          <w:lang w:eastAsia="ru-RU"/>
        </w:rPr>
        <w:t>Шокурова Юлия Сергеевна</w:t>
      </w:r>
    </w:p>
    <w:p w14:paraId="7178B195" w14:textId="77777777" w:rsidR="00202D58" w:rsidRPr="003D7553" w:rsidRDefault="00202D58" w:rsidP="003D7553">
      <w:pPr>
        <w:spacing w:line="240" w:lineRule="auto"/>
        <w:jc w:val="center"/>
        <w:rPr>
          <w:rFonts w:ascii="Times New Roman" w:eastAsia="Calibri" w:hAnsi="Times New Roman" w:cs="Times New Roman"/>
          <w:bCs/>
          <w:sz w:val="24"/>
          <w:szCs w:val="24"/>
          <w:lang w:eastAsia="ru-RU"/>
        </w:rPr>
      </w:pPr>
      <w:r w:rsidRPr="003D7553">
        <w:rPr>
          <w:rFonts w:ascii="Times New Roman" w:eastAsia="Calibri" w:hAnsi="Times New Roman" w:cs="Times New Roman"/>
          <w:bCs/>
          <w:sz w:val="24"/>
          <w:szCs w:val="24"/>
          <w:lang w:eastAsia="ru-RU"/>
        </w:rPr>
        <w:t xml:space="preserve">магистрант </w:t>
      </w:r>
    </w:p>
    <w:p w14:paraId="5F96B3E1" w14:textId="77777777" w:rsidR="00202D58" w:rsidRPr="003D7553" w:rsidRDefault="00202D58" w:rsidP="003D7553">
      <w:pPr>
        <w:spacing w:after="0" w:line="240" w:lineRule="auto"/>
        <w:jc w:val="center"/>
        <w:rPr>
          <w:rFonts w:ascii="Times New Roman" w:eastAsia="Calibri" w:hAnsi="Times New Roman" w:cs="Times New Roman"/>
          <w:i/>
          <w:sz w:val="24"/>
          <w:szCs w:val="24"/>
        </w:rPr>
      </w:pPr>
      <w:r w:rsidRPr="003D7553">
        <w:rPr>
          <w:rFonts w:ascii="Times New Roman" w:eastAsia="Calibri" w:hAnsi="Times New Roman" w:cs="Times New Roman"/>
          <w:i/>
          <w:sz w:val="24"/>
          <w:szCs w:val="24"/>
        </w:rPr>
        <w:t>Владивостокский государственный университет экономики и сервиса</w:t>
      </w:r>
    </w:p>
    <w:p w14:paraId="57E559A5" w14:textId="77777777" w:rsidR="00202D58" w:rsidRPr="003D7553" w:rsidRDefault="00202D58" w:rsidP="003D7553">
      <w:pPr>
        <w:spacing w:line="240" w:lineRule="auto"/>
        <w:jc w:val="center"/>
        <w:rPr>
          <w:rFonts w:ascii="Times New Roman" w:eastAsia="Calibri" w:hAnsi="Times New Roman" w:cs="Times New Roman"/>
          <w:i/>
          <w:sz w:val="24"/>
          <w:szCs w:val="24"/>
        </w:rPr>
      </w:pPr>
      <w:r w:rsidRPr="003D7553">
        <w:rPr>
          <w:rFonts w:ascii="Times New Roman" w:eastAsia="Calibri" w:hAnsi="Times New Roman" w:cs="Times New Roman"/>
          <w:i/>
          <w:sz w:val="24"/>
          <w:szCs w:val="24"/>
        </w:rPr>
        <w:t>Россия. Владивосток</w:t>
      </w:r>
    </w:p>
    <w:p w14:paraId="6559A297" w14:textId="77777777" w:rsidR="00202D58" w:rsidRPr="007E1000" w:rsidRDefault="00202D58" w:rsidP="003D7553">
      <w:pPr>
        <w:spacing w:after="0" w:line="240" w:lineRule="auto"/>
        <w:jc w:val="center"/>
        <w:rPr>
          <w:rFonts w:ascii="Times New Roman" w:hAnsi="Times New Roman" w:cs="Times New Roman"/>
          <w:sz w:val="24"/>
          <w:szCs w:val="24"/>
        </w:rPr>
      </w:pPr>
      <w:r w:rsidRPr="003D7553">
        <w:rPr>
          <w:rFonts w:ascii="Times New Roman" w:hAnsi="Times New Roman" w:cs="Times New Roman"/>
          <w:sz w:val="24"/>
          <w:szCs w:val="24"/>
          <w:lang w:val="en-US"/>
        </w:rPr>
        <w:t>E</w:t>
      </w:r>
      <w:r w:rsidRPr="007E1000">
        <w:rPr>
          <w:rFonts w:ascii="Times New Roman" w:hAnsi="Times New Roman" w:cs="Times New Roman"/>
          <w:sz w:val="24"/>
          <w:szCs w:val="24"/>
        </w:rPr>
        <w:t>-</w:t>
      </w:r>
      <w:r w:rsidRPr="003D7553">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3D7553">
        <w:rPr>
          <w:rFonts w:ascii="Times New Roman" w:hAnsi="Times New Roman" w:cs="Times New Roman"/>
          <w:sz w:val="24"/>
          <w:szCs w:val="24"/>
          <w:lang w:val="en-US"/>
        </w:rPr>
        <w:t>yulya</w:t>
      </w:r>
      <w:r w:rsidRPr="007E1000">
        <w:rPr>
          <w:rFonts w:ascii="Times New Roman" w:hAnsi="Times New Roman" w:cs="Times New Roman"/>
          <w:sz w:val="24"/>
          <w:szCs w:val="24"/>
        </w:rPr>
        <w:t>.</w:t>
      </w:r>
      <w:r w:rsidRPr="003D7553">
        <w:rPr>
          <w:rFonts w:ascii="Times New Roman" w:hAnsi="Times New Roman" w:cs="Times New Roman"/>
          <w:sz w:val="24"/>
          <w:szCs w:val="24"/>
          <w:lang w:val="en-US"/>
        </w:rPr>
        <w:t>shokyrova</w:t>
      </w:r>
      <w:r w:rsidRPr="007E1000">
        <w:rPr>
          <w:rFonts w:ascii="Times New Roman" w:hAnsi="Times New Roman" w:cs="Times New Roman"/>
          <w:sz w:val="24"/>
          <w:szCs w:val="24"/>
        </w:rPr>
        <w:t>@</w:t>
      </w:r>
      <w:r w:rsidRPr="003D7553">
        <w:rPr>
          <w:rFonts w:ascii="Times New Roman" w:hAnsi="Times New Roman" w:cs="Times New Roman"/>
          <w:sz w:val="24"/>
          <w:szCs w:val="24"/>
          <w:lang w:val="en-US"/>
        </w:rPr>
        <w:t>bk</w:t>
      </w:r>
      <w:r w:rsidRPr="007E1000">
        <w:rPr>
          <w:rFonts w:ascii="Times New Roman" w:hAnsi="Times New Roman" w:cs="Times New Roman"/>
          <w:sz w:val="24"/>
          <w:szCs w:val="24"/>
        </w:rPr>
        <w:t>.</w:t>
      </w:r>
      <w:r w:rsidRPr="003D7553">
        <w:rPr>
          <w:rFonts w:ascii="Times New Roman" w:hAnsi="Times New Roman" w:cs="Times New Roman"/>
          <w:sz w:val="24"/>
          <w:szCs w:val="24"/>
          <w:lang w:val="en-US"/>
        </w:rPr>
        <w:t>ru</w:t>
      </w:r>
      <w:r w:rsidRPr="007E1000">
        <w:rPr>
          <w:rFonts w:ascii="Times New Roman" w:hAnsi="Times New Roman" w:cs="Times New Roman"/>
          <w:sz w:val="24"/>
          <w:szCs w:val="24"/>
        </w:rPr>
        <w:t xml:space="preserve">; </w:t>
      </w:r>
      <w:r w:rsidRPr="003D7553">
        <w:rPr>
          <w:rFonts w:ascii="Times New Roman" w:hAnsi="Times New Roman" w:cs="Times New Roman"/>
          <w:sz w:val="24"/>
          <w:szCs w:val="24"/>
        </w:rPr>
        <w:t>тел</w:t>
      </w:r>
      <w:r w:rsidRPr="007E1000">
        <w:rPr>
          <w:rFonts w:ascii="Times New Roman" w:hAnsi="Times New Roman" w:cs="Times New Roman"/>
          <w:sz w:val="24"/>
          <w:szCs w:val="24"/>
        </w:rPr>
        <w:t>.: +7(966)2704390</w:t>
      </w:r>
    </w:p>
    <w:p w14:paraId="6F750C3C" w14:textId="77777777" w:rsidR="00202D58" w:rsidRPr="003D7553" w:rsidRDefault="00202D58" w:rsidP="003D7553">
      <w:pPr>
        <w:spacing w:line="240" w:lineRule="auto"/>
        <w:jc w:val="center"/>
        <w:rPr>
          <w:rFonts w:ascii="Times New Roman" w:hAnsi="Times New Roman" w:cs="Times New Roman"/>
          <w:sz w:val="24"/>
          <w:szCs w:val="24"/>
        </w:rPr>
      </w:pPr>
      <w:r w:rsidRPr="003D7553">
        <w:rPr>
          <w:rFonts w:ascii="Times New Roman" w:hAnsi="Times New Roman" w:cs="Times New Roman"/>
          <w:sz w:val="24"/>
          <w:szCs w:val="24"/>
        </w:rPr>
        <w:t>ул. Гоголя, 41, г. Владивосток, Приморский край, Россия, 690014</w:t>
      </w:r>
    </w:p>
    <w:p w14:paraId="0E045477" w14:textId="77777777" w:rsidR="00F46A43" w:rsidRPr="00F46A43" w:rsidRDefault="00202D58" w:rsidP="003D7553">
      <w:pPr>
        <w:spacing w:after="0" w:line="240" w:lineRule="auto"/>
        <w:jc w:val="center"/>
        <w:rPr>
          <w:rFonts w:ascii="Times New Roman" w:eastAsia="Calibri" w:hAnsi="Times New Roman" w:cs="Times New Roman"/>
          <w:b/>
          <w:bCs/>
          <w:sz w:val="24"/>
          <w:szCs w:val="24"/>
          <w:lang w:eastAsia="ru-RU"/>
        </w:rPr>
      </w:pPr>
      <w:r w:rsidRPr="00F46A43">
        <w:rPr>
          <w:rFonts w:ascii="Times New Roman" w:eastAsia="Calibri" w:hAnsi="Times New Roman" w:cs="Times New Roman"/>
          <w:b/>
          <w:bCs/>
          <w:sz w:val="24"/>
          <w:szCs w:val="24"/>
          <w:lang w:eastAsia="ru-RU"/>
        </w:rPr>
        <w:t>Научный руководи</w:t>
      </w:r>
      <w:r w:rsidR="00F46A43" w:rsidRPr="00F46A43">
        <w:rPr>
          <w:rFonts w:ascii="Times New Roman" w:eastAsia="Calibri" w:hAnsi="Times New Roman" w:cs="Times New Roman"/>
          <w:b/>
          <w:bCs/>
          <w:sz w:val="24"/>
          <w:szCs w:val="24"/>
          <w:lang w:eastAsia="ru-RU"/>
        </w:rPr>
        <w:t>тель – Гриванов Роман Игоревич</w:t>
      </w:r>
    </w:p>
    <w:p w14:paraId="0C8747C0" w14:textId="77777777" w:rsidR="00202D58" w:rsidRPr="003D7553" w:rsidRDefault="00202D58" w:rsidP="003D7553">
      <w:pPr>
        <w:spacing w:after="0" w:line="240" w:lineRule="auto"/>
        <w:jc w:val="center"/>
        <w:rPr>
          <w:rFonts w:ascii="Times New Roman" w:eastAsia="Calibri" w:hAnsi="Times New Roman" w:cs="Times New Roman"/>
          <w:bCs/>
          <w:sz w:val="24"/>
          <w:szCs w:val="24"/>
          <w:lang w:eastAsia="ru-RU"/>
        </w:rPr>
      </w:pPr>
      <w:r w:rsidRPr="003D7553">
        <w:rPr>
          <w:rFonts w:ascii="Times New Roman" w:eastAsia="Calibri" w:hAnsi="Times New Roman" w:cs="Times New Roman"/>
          <w:bCs/>
          <w:sz w:val="24"/>
          <w:szCs w:val="24"/>
          <w:lang w:eastAsia="ru-RU"/>
        </w:rPr>
        <w:t>канд. полит. наук, доцент кафедры экономики ВГУЭС</w:t>
      </w:r>
    </w:p>
    <w:p w14:paraId="120C4E94" w14:textId="77777777" w:rsidR="00202D58" w:rsidRPr="003D7553" w:rsidRDefault="00202D58" w:rsidP="003D7553">
      <w:pPr>
        <w:spacing w:after="0" w:line="240" w:lineRule="auto"/>
        <w:ind w:firstLine="709"/>
        <w:jc w:val="both"/>
        <w:rPr>
          <w:rFonts w:ascii="Times New Roman" w:hAnsi="Times New Roman" w:cs="Times New Roman"/>
          <w:i/>
          <w:sz w:val="24"/>
          <w:szCs w:val="24"/>
        </w:rPr>
      </w:pPr>
    </w:p>
    <w:p w14:paraId="283C8743" w14:textId="77777777" w:rsidR="003D7553" w:rsidRPr="00F46A43" w:rsidRDefault="00202D58" w:rsidP="00F46A43">
      <w:pPr>
        <w:spacing w:after="0" w:line="240" w:lineRule="auto"/>
        <w:ind w:firstLine="709"/>
        <w:jc w:val="both"/>
        <w:rPr>
          <w:rFonts w:ascii="Times New Roman" w:hAnsi="Times New Roman" w:cs="Times New Roman"/>
          <w:i/>
          <w:sz w:val="24"/>
          <w:szCs w:val="24"/>
        </w:rPr>
      </w:pPr>
      <w:r w:rsidRPr="003D7553">
        <w:rPr>
          <w:rFonts w:ascii="Times New Roman" w:hAnsi="Times New Roman" w:cs="Times New Roman"/>
          <w:i/>
          <w:sz w:val="24"/>
          <w:szCs w:val="24"/>
        </w:rPr>
        <w:t>Мировая экономика имеет положительный опыт в создании и использовании экономических кластеров на региональном уровне. Наиболее привлекательны в данном аспекте примеры Китая. В китайской кластерной модели правительство КНР играет важную роль в финансировании и поддержке кластеров, часто инициируя их создание.</w:t>
      </w:r>
      <w:r w:rsidRPr="003D7553">
        <w:rPr>
          <w:rFonts w:ascii="Times New Roman" w:hAnsi="Times New Roman" w:cs="Times New Roman"/>
          <w:color w:val="635E5E"/>
          <w:sz w:val="24"/>
          <w:szCs w:val="24"/>
          <w:shd w:val="clear" w:color="auto" w:fill="FFFFFF"/>
        </w:rPr>
        <w:t> </w:t>
      </w:r>
      <w:r w:rsidRPr="003D7553">
        <w:rPr>
          <w:rFonts w:ascii="Times New Roman" w:hAnsi="Times New Roman" w:cs="Times New Roman"/>
          <w:i/>
          <w:sz w:val="24"/>
          <w:szCs w:val="24"/>
        </w:rPr>
        <w:t xml:space="preserve">В </w:t>
      </w:r>
      <w:r w:rsidRPr="003D7553">
        <w:rPr>
          <w:rFonts w:ascii="Times New Roman" w:hAnsi="Times New Roman" w:cs="Times New Roman"/>
          <w:i/>
          <w:sz w:val="24"/>
          <w:szCs w:val="24"/>
        </w:rPr>
        <w:lastRenderedPageBreak/>
        <w:t>качестве примера можно привести кластер интегральных микросхем «Чжанцзян» в Шанхае, кластер световых технологий в провинции Цзянсу, кластер информационных технологий в Пекине и т.д.Успешными будут регионы, способные реализовать эффективное экономическое взаимодействие между государством, частным биз</w:t>
      </w:r>
      <w:r w:rsidR="00F46A43">
        <w:rPr>
          <w:rFonts w:ascii="Times New Roman" w:hAnsi="Times New Roman" w:cs="Times New Roman"/>
          <w:i/>
          <w:sz w:val="24"/>
          <w:szCs w:val="24"/>
        </w:rPr>
        <w:t>несом и научными организациями.</w:t>
      </w:r>
    </w:p>
    <w:p w14:paraId="720A73C7" w14:textId="77777777" w:rsidR="00202D58" w:rsidRPr="003D7553" w:rsidRDefault="00202D58" w:rsidP="003D7553">
      <w:pPr>
        <w:spacing w:after="0" w:line="240" w:lineRule="auto"/>
        <w:ind w:firstLine="709"/>
        <w:jc w:val="both"/>
        <w:rPr>
          <w:rFonts w:ascii="Times New Roman" w:hAnsi="Times New Roman" w:cs="Times New Roman"/>
          <w:i/>
          <w:sz w:val="24"/>
          <w:szCs w:val="24"/>
        </w:rPr>
      </w:pPr>
      <w:r w:rsidRPr="003D7553">
        <w:rPr>
          <w:rFonts w:ascii="Times New Roman" w:hAnsi="Times New Roman" w:cs="Times New Roman"/>
          <w:b/>
          <w:i/>
          <w:sz w:val="24"/>
          <w:szCs w:val="24"/>
        </w:rPr>
        <w:t>Ключевые слова и словосочетания:</w:t>
      </w:r>
      <w:r w:rsidRPr="003D7553">
        <w:rPr>
          <w:rFonts w:ascii="Times New Roman" w:hAnsi="Times New Roman" w:cs="Times New Roman"/>
          <w:i/>
          <w:sz w:val="24"/>
          <w:szCs w:val="24"/>
        </w:rPr>
        <w:t xml:space="preserve"> кластерные образования, региональная экономика, зарубежная практика, экономические кластеры, Азиатско-Тихоокеанский регион, Дальний Восток, анализ кластерных инициатив.</w:t>
      </w:r>
    </w:p>
    <w:p w14:paraId="37479E4A" w14:textId="77777777" w:rsidR="00202D58" w:rsidRPr="003D7553" w:rsidRDefault="00202D58" w:rsidP="003D7553">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3D7553">
        <w:rPr>
          <w:rFonts w:ascii="Times New Roman" w:eastAsia="Times New Roman" w:hAnsi="Times New Roman" w:cs="Times New Roman"/>
          <w:b/>
          <w:bCs/>
          <w:caps/>
          <w:kern w:val="28"/>
          <w:sz w:val="24"/>
          <w:szCs w:val="24"/>
          <w:lang w:val="en-US"/>
        </w:rPr>
        <w:t>International practice of creating economic clusters: the PRC experience</w:t>
      </w:r>
    </w:p>
    <w:p w14:paraId="776B6333" w14:textId="77777777" w:rsidR="003D7553" w:rsidRPr="00F46A43" w:rsidRDefault="00202D58" w:rsidP="00F46A43">
      <w:pPr>
        <w:spacing w:after="0" w:line="240" w:lineRule="auto"/>
        <w:ind w:firstLine="709"/>
        <w:jc w:val="both"/>
        <w:rPr>
          <w:rFonts w:ascii="Times New Roman" w:hAnsi="Times New Roman" w:cs="Times New Roman"/>
          <w:i/>
          <w:color w:val="000000"/>
          <w:sz w:val="24"/>
          <w:szCs w:val="24"/>
          <w:shd w:val="clear" w:color="auto" w:fill="FFFFFF"/>
          <w:lang w:val="en-US"/>
        </w:rPr>
      </w:pPr>
      <w:r w:rsidRPr="003D7553">
        <w:rPr>
          <w:rFonts w:ascii="Times New Roman" w:hAnsi="Times New Roman" w:cs="Times New Roman"/>
          <w:i/>
          <w:color w:val="000000"/>
          <w:sz w:val="24"/>
          <w:szCs w:val="24"/>
          <w:shd w:val="clear" w:color="auto" w:fill="FFFFFF"/>
          <w:lang w:val="en-US"/>
        </w:rPr>
        <w:t>The world economy has a positive experience in the creation and use of economic clusters at the regional level.  The most attractive examples in this respect are China.  In the Chinese cluster model, the PRC government plays an important role in financing and supporting clusters, often initiating their creation.  An example is the cluster of integrated circuits "Zhangjiang" in Shanghai, a cluster of fixtures and semiconductors in Jiangsu Province, an information technology cluster in Beijing, etc.  Successful regions will be able to realize effective economic interaction between the state, private busines</w:t>
      </w:r>
      <w:r w:rsidR="00F46A43">
        <w:rPr>
          <w:rFonts w:ascii="Times New Roman" w:hAnsi="Times New Roman" w:cs="Times New Roman"/>
          <w:i/>
          <w:color w:val="000000"/>
          <w:sz w:val="24"/>
          <w:szCs w:val="24"/>
          <w:shd w:val="clear" w:color="auto" w:fill="FFFFFF"/>
          <w:lang w:val="en-US"/>
        </w:rPr>
        <w:t>s and scientific organizations.</w:t>
      </w:r>
    </w:p>
    <w:p w14:paraId="416825C8" w14:textId="77777777" w:rsidR="00202D58" w:rsidRPr="003D7553" w:rsidRDefault="00202D58" w:rsidP="003D7553">
      <w:pPr>
        <w:spacing w:after="0" w:line="240" w:lineRule="auto"/>
        <w:ind w:firstLine="709"/>
        <w:jc w:val="both"/>
        <w:rPr>
          <w:rFonts w:ascii="Times New Roman" w:hAnsi="Times New Roman" w:cs="Times New Roman"/>
          <w:i/>
          <w:color w:val="000000"/>
          <w:sz w:val="24"/>
          <w:szCs w:val="24"/>
          <w:shd w:val="clear" w:color="auto" w:fill="FFFFFF"/>
          <w:lang w:val="en-US"/>
        </w:rPr>
      </w:pPr>
      <w:r w:rsidRPr="003D7553">
        <w:rPr>
          <w:rFonts w:ascii="Times New Roman" w:hAnsi="Times New Roman" w:cs="Times New Roman"/>
          <w:b/>
          <w:i/>
          <w:color w:val="000000"/>
          <w:sz w:val="24"/>
          <w:szCs w:val="24"/>
          <w:shd w:val="clear" w:color="auto" w:fill="FFFFFF"/>
          <w:lang w:val="en-US"/>
        </w:rPr>
        <w:t>Key words and word-combinations:</w:t>
      </w:r>
      <w:r w:rsidRPr="003D7553">
        <w:rPr>
          <w:rFonts w:ascii="Times New Roman" w:hAnsi="Times New Roman" w:cs="Times New Roman"/>
          <w:i/>
          <w:color w:val="000000"/>
          <w:sz w:val="24"/>
          <w:szCs w:val="24"/>
          <w:shd w:val="clear" w:color="auto" w:fill="FFFFFF"/>
          <w:lang w:val="en-US"/>
        </w:rPr>
        <w:t xml:space="preserve"> cluster education, regional economy, foreign practice, economic clusters, the Asia-Pacific region, the Far East, cluster initiatives analysis.</w:t>
      </w:r>
    </w:p>
    <w:p w14:paraId="42AFC42D" w14:textId="77777777" w:rsidR="00202D58" w:rsidRPr="003D7553" w:rsidRDefault="00202D58" w:rsidP="003D7553">
      <w:pPr>
        <w:spacing w:after="0" w:line="240" w:lineRule="auto"/>
        <w:rPr>
          <w:rFonts w:ascii="Times New Roman" w:hAnsi="Times New Roman" w:cs="Times New Roman"/>
          <w:color w:val="000000"/>
          <w:sz w:val="24"/>
          <w:szCs w:val="24"/>
          <w:shd w:val="clear" w:color="auto" w:fill="FFFFFF"/>
          <w:lang w:val="en-US"/>
        </w:rPr>
      </w:pPr>
    </w:p>
    <w:p w14:paraId="47FBB44C"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b/>
          <w:sz w:val="24"/>
          <w:szCs w:val="24"/>
        </w:rPr>
        <w:t>Актуальность исследования</w:t>
      </w:r>
      <w:r w:rsidRPr="003D7553">
        <w:rPr>
          <w:rFonts w:ascii="Times New Roman" w:hAnsi="Times New Roman" w:cs="Times New Roman"/>
          <w:sz w:val="24"/>
          <w:szCs w:val="24"/>
        </w:rPr>
        <w:t>. Понятие “кластер” было предложено Майклом Портером в 1990 г. в модели конкурентных преимуществ. Специфика кластеров, по сравнению с иными видами организации бизнеса, выражается в разном составе участников, многообразных географических размерах кластера от микро- до трансграничных кластеров.</w:t>
      </w:r>
    </w:p>
    <w:p w14:paraId="110C5D9D"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Модели кластерного развития регионов сегодня распространены как в России, так и зарубежных государствах. Анализ опыта самых развитых государств говорит о перспективности кластерного подхода к развитию экономик регионов. Мировой опыт имеет много примеров увеличения конкурентоспособности территорий и производственных комплексов при введении кластерной региональной политики. Во многих развитых государствах отраслевые кластеры стали уже обыкновенной формой работы бизнес-сообществ. </w:t>
      </w:r>
    </w:p>
    <w:p w14:paraId="52F16E04"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Анализ кластерных инициатив, исполненных в разных государствах указывает, что их высокая конкурентоспособность базируетсяна сильных позициях некоторых кластеров, которые усиливают ее и стабилизируют управление национальной экономикой. Крупный интерес имеет опыт КНР. Кластерный подход дает возможность усиливать результативность взаимодействия частного сектора, государства, торговых ассоциаций, исследовательских учреждений в инновационном процессе.Это все может быть базисом для:</w:t>
      </w:r>
    </w:p>
    <w:p w14:paraId="497B274D" w14:textId="77777777" w:rsidR="00202D58" w:rsidRPr="003D7553" w:rsidRDefault="00202D58" w:rsidP="003D7553">
      <w:pPr>
        <w:pStyle w:val="a7"/>
        <w:numPr>
          <w:ilvl w:val="0"/>
          <w:numId w:val="50"/>
        </w:numPr>
        <w:jc w:val="both"/>
        <w:rPr>
          <w:rFonts w:ascii="Times New Roman" w:hAnsi="Times New Roman" w:cs="Times New Roman"/>
        </w:rPr>
      </w:pPr>
      <w:r w:rsidRPr="003D7553">
        <w:rPr>
          <w:rFonts w:ascii="Times New Roman" w:hAnsi="Times New Roman" w:cs="Times New Roman"/>
        </w:rPr>
        <w:t>Функционального диалога между представителями предпринимательского сектора и государства;</w:t>
      </w:r>
    </w:p>
    <w:p w14:paraId="7A7D6E2F" w14:textId="77777777" w:rsidR="00202D58" w:rsidRPr="003D7553" w:rsidRDefault="00202D58" w:rsidP="003D7553">
      <w:pPr>
        <w:pStyle w:val="a7"/>
        <w:numPr>
          <w:ilvl w:val="0"/>
          <w:numId w:val="50"/>
        </w:numPr>
        <w:jc w:val="both"/>
        <w:rPr>
          <w:rFonts w:ascii="Times New Roman" w:hAnsi="Times New Roman" w:cs="Times New Roman"/>
        </w:rPr>
      </w:pPr>
      <w:r w:rsidRPr="003D7553">
        <w:rPr>
          <w:rFonts w:ascii="Times New Roman" w:hAnsi="Times New Roman" w:cs="Times New Roman"/>
        </w:rPr>
        <w:t>Обнаружения проблем производства;</w:t>
      </w:r>
    </w:p>
    <w:p w14:paraId="68523840" w14:textId="77777777" w:rsidR="00202D58" w:rsidRPr="003D7553" w:rsidRDefault="00202D58" w:rsidP="003D7553">
      <w:pPr>
        <w:pStyle w:val="a7"/>
        <w:numPr>
          <w:ilvl w:val="0"/>
          <w:numId w:val="50"/>
        </w:numPr>
        <w:jc w:val="both"/>
        <w:rPr>
          <w:rFonts w:ascii="Times New Roman" w:hAnsi="Times New Roman" w:cs="Times New Roman"/>
        </w:rPr>
      </w:pPr>
      <w:r w:rsidRPr="003D7553">
        <w:rPr>
          <w:rFonts w:ascii="Times New Roman" w:hAnsi="Times New Roman" w:cs="Times New Roman"/>
        </w:rPr>
        <w:t xml:space="preserve">Способом успешной реализации всех возникших инвестиционных возможностей, инновационного потенциала и мер государственной политики. </w:t>
      </w:r>
    </w:p>
    <w:p w14:paraId="306DD3AA" w14:textId="77777777" w:rsidR="00202D58" w:rsidRPr="003D7553" w:rsidRDefault="00202D58" w:rsidP="003D7553">
      <w:pPr>
        <w:spacing w:after="0" w:line="240" w:lineRule="auto"/>
        <w:jc w:val="both"/>
        <w:rPr>
          <w:rFonts w:ascii="Times New Roman" w:hAnsi="Times New Roman" w:cs="Times New Roman"/>
          <w:sz w:val="24"/>
          <w:szCs w:val="24"/>
        </w:rPr>
      </w:pPr>
      <w:r w:rsidRPr="003D7553">
        <w:rPr>
          <w:rFonts w:ascii="Times New Roman" w:hAnsi="Times New Roman" w:cs="Times New Roman"/>
          <w:sz w:val="24"/>
          <w:szCs w:val="24"/>
        </w:rPr>
        <w:t>Изучение зарубежной практики создания кластеров в Китае определили актуальность нашего исследования.</w:t>
      </w:r>
    </w:p>
    <w:p w14:paraId="03AD97CA" w14:textId="77777777" w:rsidR="00202D58" w:rsidRPr="003D7553" w:rsidRDefault="00202D58" w:rsidP="003D7553">
      <w:pPr>
        <w:spacing w:after="0" w:line="240" w:lineRule="auto"/>
        <w:ind w:firstLine="709"/>
        <w:jc w:val="both"/>
        <w:rPr>
          <w:rFonts w:ascii="Times New Roman" w:hAnsi="Times New Roman" w:cs="Times New Roman"/>
          <w:color w:val="000000"/>
          <w:sz w:val="24"/>
          <w:szCs w:val="24"/>
          <w:shd w:val="clear" w:color="auto" w:fill="FFFFFF"/>
        </w:rPr>
      </w:pPr>
      <w:r w:rsidRPr="003D7553">
        <w:rPr>
          <w:rFonts w:ascii="Times New Roman" w:hAnsi="Times New Roman" w:cs="Times New Roman"/>
          <w:b/>
          <w:color w:val="000000"/>
          <w:sz w:val="24"/>
          <w:szCs w:val="24"/>
          <w:shd w:val="clear" w:color="auto" w:fill="FFFFFF"/>
        </w:rPr>
        <w:t>Научная новизна исследования.</w:t>
      </w:r>
      <w:r w:rsidRPr="003D7553">
        <w:rPr>
          <w:rFonts w:ascii="Times New Roman" w:hAnsi="Times New Roman" w:cs="Times New Roman"/>
          <w:color w:val="000000"/>
          <w:sz w:val="24"/>
          <w:szCs w:val="24"/>
          <w:shd w:val="clear" w:color="auto" w:fill="FFFFFF"/>
        </w:rPr>
        <w:t xml:space="preserve"> Впервые были выделены основные направления кластеризации в современной экономике КНР.</w:t>
      </w:r>
    </w:p>
    <w:p w14:paraId="69AFEAEE" w14:textId="77777777" w:rsidR="00202D58" w:rsidRPr="003D7553" w:rsidRDefault="00202D58" w:rsidP="003D7553">
      <w:pPr>
        <w:spacing w:after="0" w:line="240" w:lineRule="auto"/>
        <w:ind w:firstLine="709"/>
        <w:jc w:val="both"/>
        <w:rPr>
          <w:rFonts w:ascii="Times New Roman" w:hAnsi="Times New Roman" w:cs="Times New Roman"/>
          <w:color w:val="000000"/>
          <w:sz w:val="24"/>
          <w:szCs w:val="24"/>
          <w:shd w:val="clear" w:color="auto" w:fill="FFFFFF"/>
        </w:rPr>
      </w:pPr>
      <w:r w:rsidRPr="003D7553">
        <w:rPr>
          <w:rFonts w:ascii="Times New Roman" w:hAnsi="Times New Roman" w:cs="Times New Roman"/>
          <w:b/>
          <w:color w:val="000000"/>
          <w:sz w:val="24"/>
          <w:szCs w:val="24"/>
          <w:shd w:val="clear" w:color="auto" w:fill="FFFFFF"/>
        </w:rPr>
        <w:t>Цель нашего исследования</w:t>
      </w:r>
      <w:r w:rsidRPr="003D7553">
        <w:rPr>
          <w:rFonts w:ascii="Times New Roman" w:hAnsi="Times New Roman" w:cs="Times New Roman"/>
          <w:color w:val="000000"/>
          <w:sz w:val="24"/>
          <w:szCs w:val="24"/>
          <w:shd w:val="clear" w:color="auto" w:fill="FFFFFF"/>
        </w:rPr>
        <w:t xml:space="preserve">. Определение типа кластерной политики в Китае, основные направления кластеризации экономики Китая. </w:t>
      </w:r>
    </w:p>
    <w:p w14:paraId="7672DA0E" w14:textId="77777777" w:rsidR="00202D58" w:rsidRPr="003D7553" w:rsidRDefault="00202D58" w:rsidP="003D7553">
      <w:pPr>
        <w:spacing w:after="0" w:line="240" w:lineRule="auto"/>
        <w:ind w:firstLine="709"/>
        <w:jc w:val="both"/>
        <w:rPr>
          <w:rFonts w:ascii="Times New Roman" w:hAnsi="Times New Roman" w:cs="Times New Roman"/>
          <w:color w:val="000000"/>
          <w:sz w:val="24"/>
          <w:szCs w:val="24"/>
          <w:shd w:val="clear" w:color="auto" w:fill="FFFFFF"/>
        </w:rPr>
      </w:pPr>
      <w:r w:rsidRPr="003D7553">
        <w:rPr>
          <w:rFonts w:ascii="Times New Roman" w:hAnsi="Times New Roman" w:cs="Times New Roman"/>
          <w:b/>
          <w:color w:val="000000"/>
          <w:sz w:val="24"/>
          <w:szCs w:val="24"/>
          <w:shd w:val="clear" w:color="auto" w:fill="FFFFFF"/>
        </w:rPr>
        <w:t>Методы исследования</w:t>
      </w:r>
      <w:r w:rsidRPr="003D7553">
        <w:rPr>
          <w:rFonts w:ascii="Times New Roman" w:hAnsi="Times New Roman" w:cs="Times New Roman"/>
          <w:color w:val="000000"/>
          <w:sz w:val="24"/>
          <w:szCs w:val="24"/>
          <w:shd w:val="clear" w:color="auto" w:fill="FFFFFF"/>
        </w:rPr>
        <w:t xml:space="preserve"> - </w:t>
      </w:r>
      <w:r w:rsidRPr="003D7553">
        <w:rPr>
          <w:rFonts w:ascii="Times New Roman" w:hAnsi="Times New Roman" w:cs="Times New Roman"/>
          <w:sz w:val="24"/>
          <w:szCs w:val="24"/>
        </w:rPr>
        <w:t xml:space="preserve"> анализ китайского опыта создания и формирования кластеров, анализ научного опыта по теме исследований.</w:t>
      </w:r>
    </w:p>
    <w:p w14:paraId="73FBEAB1"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b/>
          <w:color w:val="000000"/>
          <w:sz w:val="24"/>
          <w:szCs w:val="24"/>
          <w:shd w:val="clear" w:color="auto" w:fill="FFFFFF"/>
        </w:rPr>
        <w:lastRenderedPageBreak/>
        <w:t>Полученные результаты</w:t>
      </w:r>
      <w:r w:rsidRPr="003D7553">
        <w:rPr>
          <w:rFonts w:ascii="Times New Roman" w:hAnsi="Times New Roman" w:cs="Times New Roman"/>
          <w:sz w:val="24"/>
          <w:szCs w:val="24"/>
        </w:rPr>
        <w:t>Сегодня в КНР уже организовано около 1300 индустриальных и инновационных кластеров. В них работает около 560 тыс. научных и инженерных работников (включая 52 тыс. магистров, 9 тыс. докторов наук), а также треть всех выпускников колледжей. В инновационных кластерахфункционируют около250 инновационных и высокотехнологичных бизнес-инкубаторов, организованы мощные исследовательские центры с объёмом инвестиций в 8 раз большесредне национальных и в 6 раз превышающиеих удельные значения [1,</w:t>
      </w:r>
      <w:r w:rsidRPr="003D7553">
        <w:rPr>
          <w:rFonts w:ascii="Times New Roman" w:hAnsi="Times New Roman" w:cs="Times New Roman"/>
          <w:sz w:val="24"/>
          <w:szCs w:val="24"/>
          <w:lang w:val="en-US"/>
        </w:rPr>
        <w:t>c</w:t>
      </w:r>
      <w:r w:rsidRPr="003D7553">
        <w:rPr>
          <w:rFonts w:ascii="Times New Roman" w:hAnsi="Times New Roman" w:cs="Times New Roman"/>
          <w:sz w:val="24"/>
          <w:szCs w:val="24"/>
        </w:rPr>
        <w:t>. 93].</w:t>
      </w:r>
    </w:p>
    <w:p w14:paraId="6F82D247"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Проведенный автором анализ китайского опыта формирования кластеров показывает, что в Китае реализуется дирижистская кластерная политика </w:t>
      </w:r>
    </w:p>
    <w:p w14:paraId="56C45184"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Дирижисткую кластерную политику вводят те государства, которые энергично вовлечены в экономическую жизнь внутри страны (Франция, Корея, Сингапур, Япония, Швеция, Финляндия, Словения). В них государство играет более активную роль в процессе формирования кластеров. Эта политика заключает в себя комплекс мер – от выбора главенствующих направлений и финансирования программ по развитию региональных кластеров до целевого формирования ключевых факторов, их удачного развития. Представители дирижисткого направления сами избирают регион для образования кластера, целенаправленно организовывают инфраструктуру для ведущих кластерных направлений, а также назначают объем его финансирования[2, с.16-22].</w:t>
      </w:r>
    </w:p>
    <w:p w14:paraId="516CA73B"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Можно выделить три отличия дирижистской модели:</w:t>
      </w:r>
    </w:p>
    <w:p w14:paraId="3F5FC93C" w14:textId="77777777" w:rsidR="00202D58" w:rsidRPr="003D7553" w:rsidRDefault="00202D58" w:rsidP="003D7553">
      <w:pPr>
        <w:pStyle w:val="a7"/>
        <w:numPr>
          <w:ilvl w:val="0"/>
          <w:numId w:val="49"/>
        </w:numPr>
        <w:tabs>
          <w:tab w:val="left" w:pos="851"/>
          <w:tab w:val="left" w:pos="993"/>
        </w:tabs>
        <w:ind w:left="993" w:hanging="284"/>
        <w:jc w:val="both"/>
        <w:rPr>
          <w:rFonts w:ascii="Times New Roman" w:hAnsi="Times New Roman" w:cs="Times New Roman"/>
        </w:rPr>
      </w:pPr>
      <w:r w:rsidRPr="003D7553">
        <w:rPr>
          <w:rFonts w:ascii="Times New Roman" w:hAnsi="Times New Roman" w:cs="Times New Roman"/>
        </w:rPr>
        <w:t xml:space="preserve">Установка приоритетов. На государственном уровне, дирижисты выбирают отраслевые и региональные приоритеты и те кластеры, которые намерены развивать; </w:t>
      </w:r>
    </w:p>
    <w:p w14:paraId="687EA344" w14:textId="77777777" w:rsidR="00202D58" w:rsidRPr="003D7553" w:rsidRDefault="00202D58" w:rsidP="003D7553">
      <w:pPr>
        <w:pStyle w:val="a7"/>
        <w:numPr>
          <w:ilvl w:val="0"/>
          <w:numId w:val="49"/>
        </w:numPr>
        <w:tabs>
          <w:tab w:val="left" w:pos="851"/>
          <w:tab w:val="left" w:pos="993"/>
        </w:tabs>
        <w:ind w:left="993" w:hanging="284"/>
        <w:jc w:val="both"/>
        <w:rPr>
          <w:rFonts w:ascii="Times New Roman" w:hAnsi="Times New Roman" w:cs="Times New Roman"/>
        </w:rPr>
      </w:pPr>
      <w:r w:rsidRPr="003D7553">
        <w:rPr>
          <w:rFonts w:ascii="Times New Roman" w:hAnsi="Times New Roman" w:cs="Times New Roman"/>
        </w:rPr>
        <w:t>Формирование инфраструктуры. Целенаправленно создают инфраструктуру для приоритетных кластеров: университеты, научно-исследовательские институты, аэропорты, дороги;</w:t>
      </w:r>
    </w:p>
    <w:p w14:paraId="1D128758" w14:textId="77777777" w:rsidR="00202D58" w:rsidRPr="003D7553" w:rsidRDefault="00202D58" w:rsidP="003D7553">
      <w:pPr>
        <w:pStyle w:val="a7"/>
        <w:numPr>
          <w:ilvl w:val="0"/>
          <w:numId w:val="49"/>
        </w:numPr>
        <w:tabs>
          <w:tab w:val="left" w:pos="851"/>
          <w:tab w:val="left" w:pos="993"/>
        </w:tabs>
        <w:ind w:left="993" w:hanging="284"/>
        <w:jc w:val="both"/>
        <w:rPr>
          <w:rFonts w:ascii="Times New Roman" w:hAnsi="Times New Roman" w:cs="Times New Roman"/>
        </w:rPr>
      </w:pPr>
      <w:r w:rsidRPr="003D7553">
        <w:rPr>
          <w:rFonts w:ascii="Times New Roman" w:hAnsi="Times New Roman" w:cs="Times New Roman"/>
        </w:rPr>
        <w:t>Выбор региона кластерной деятельности. Самостоятельно выбирают регионы для создания кластеров, а также определяют объемы денежных вложений.</w:t>
      </w:r>
    </w:p>
    <w:p w14:paraId="3B1F2272"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В </w:t>
      </w:r>
      <w:r w:rsidRPr="003D7553">
        <w:rPr>
          <w:rFonts w:ascii="Times New Roman" w:hAnsi="Times New Roman" w:cs="Times New Roman"/>
          <w:sz w:val="24"/>
          <w:szCs w:val="24"/>
          <w:lang w:eastAsia="ja-JP"/>
        </w:rPr>
        <w:t>р</w:t>
      </w:r>
      <w:r w:rsidRPr="003D7553">
        <w:rPr>
          <w:rFonts w:ascii="Times New Roman" w:hAnsi="Times New Roman" w:cs="Times New Roman"/>
          <w:sz w:val="24"/>
          <w:szCs w:val="24"/>
        </w:rPr>
        <w:t>азных зарубежных государствахуже построены кластеры в разныхотраслях экономики, которые удачно работаюти дают возможность судить не только о важности развития кластеров, но и об действенности их работы, как со стороны участников кластера, так и в рамках региона и государства в целом [3, с.50].</w:t>
      </w:r>
    </w:p>
    <w:p w14:paraId="160A7CA7"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Проведенный анализ научной литературывыявил роль государственных структур и научных институтов при развитии кластерной стратегии и дал возможность выделить главные отраслевые направления кластеризации экономики Китая:</w:t>
      </w:r>
    </w:p>
    <w:p w14:paraId="12A424B6" w14:textId="77777777" w:rsidR="00202D58" w:rsidRPr="003D7553" w:rsidRDefault="00202D58" w:rsidP="003D7553">
      <w:pPr>
        <w:pStyle w:val="a7"/>
        <w:numPr>
          <w:ilvl w:val="0"/>
          <w:numId w:val="51"/>
        </w:numPr>
        <w:ind w:left="993" w:hanging="284"/>
        <w:jc w:val="both"/>
        <w:rPr>
          <w:rFonts w:ascii="Times New Roman" w:hAnsi="Times New Roman" w:cs="Times New Roman"/>
        </w:rPr>
      </w:pPr>
      <w:r w:rsidRPr="003D7553">
        <w:rPr>
          <w:rFonts w:ascii="Times New Roman" w:hAnsi="Times New Roman" w:cs="Times New Roman"/>
        </w:rPr>
        <w:t>Строительство;</w:t>
      </w:r>
    </w:p>
    <w:p w14:paraId="4220DE17" w14:textId="77777777" w:rsidR="00202D58" w:rsidRPr="003D7553" w:rsidRDefault="00202D58" w:rsidP="003D7553">
      <w:pPr>
        <w:pStyle w:val="a7"/>
        <w:numPr>
          <w:ilvl w:val="0"/>
          <w:numId w:val="51"/>
        </w:numPr>
        <w:ind w:left="993" w:hanging="284"/>
        <w:jc w:val="both"/>
        <w:rPr>
          <w:rFonts w:ascii="Times New Roman" w:hAnsi="Times New Roman" w:cs="Times New Roman"/>
        </w:rPr>
      </w:pPr>
      <w:r w:rsidRPr="003D7553">
        <w:rPr>
          <w:rFonts w:ascii="Times New Roman" w:hAnsi="Times New Roman" w:cs="Times New Roman"/>
        </w:rPr>
        <w:t>Легкая промышленность.</w:t>
      </w:r>
    </w:p>
    <w:p w14:paraId="03934227"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Разбор основных отраслевых направлений при формировании кластеров дал возможность определить такие выводы: </w:t>
      </w:r>
    </w:p>
    <w:p w14:paraId="29C526DB" w14:textId="77777777" w:rsidR="00202D58" w:rsidRPr="003D7553" w:rsidRDefault="00202D58" w:rsidP="003D7553">
      <w:pPr>
        <w:pStyle w:val="a7"/>
        <w:numPr>
          <w:ilvl w:val="0"/>
          <w:numId w:val="52"/>
        </w:numPr>
        <w:ind w:left="993" w:hanging="306"/>
        <w:jc w:val="both"/>
        <w:rPr>
          <w:rFonts w:ascii="Times New Roman" w:hAnsi="Times New Roman" w:cs="Times New Roman"/>
        </w:rPr>
      </w:pPr>
      <w:r w:rsidRPr="003D7553">
        <w:rPr>
          <w:rFonts w:ascii="Times New Roman" w:hAnsi="Times New Roman" w:cs="Times New Roman"/>
        </w:rPr>
        <w:t xml:space="preserve">Национальные качества существующей кластерной политики назначают основные установки кластерных инициатив; </w:t>
      </w:r>
    </w:p>
    <w:p w14:paraId="7729837E" w14:textId="77777777" w:rsidR="00202D58" w:rsidRPr="003D7553" w:rsidRDefault="00202D58" w:rsidP="003D7553">
      <w:pPr>
        <w:pStyle w:val="a7"/>
        <w:numPr>
          <w:ilvl w:val="0"/>
          <w:numId w:val="52"/>
        </w:numPr>
        <w:ind w:left="993" w:hanging="306"/>
        <w:jc w:val="both"/>
        <w:rPr>
          <w:rFonts w:ascii="Times New Roman" w:hAnsi="Times New Roman" w:cs="Times New Roman"/>
        </w:rPr>
      </w:pPr>
      <w:r w:rsidRPr="003D7553">
        <w:rPr>
          <w:rFonts w:ascii="Times New Roman" w:hAnsi="Times New Roman" w:cs="Times New Roman"/>
        </w:rPr>
        <w:t xml:space="preserve">Стратегические кластерные альтернативы обусловливаются национальными качествами и принятой кластерной концепцией; </w:t>
      </w:r>
    </w:p>
    <w:p w14:paraId="02C48E6C" w14:textId="77777777" w:rsidR="00202D58" w:rsidRPr="003D7553" w:rsidRDefault="00202D58" w:rsidP="003D7553">
      <w:pPr>
        <w:pStyle w:val="a7"/>
        <w:numPr>
          <w:ilvl w:val="0"/>
          <w:numId w:val="52"/>
        </w:numPr>
        <w:ind w:left="993" w:hanging="306"/>
        <w:jc w:val="both"/>
        <w:rPr>
          <w:rFonts w:ascii="Times New Roman" w:hAnsi="Times New Roman" w:cs="Times New Roman"/>
        </w:rPr>
      </w:pPr>
      <w:r w:rsidRPr="003D7553">
        <w:rPr>
          <w:rFonts w:ascii="Times New Roman" w:hAnsi="Times New Roman" w:cs="Times New Roman"/>
        </w:rPr>
        <w:t xml:space="preserve">Кластерные политики государств отличаются по степени вмешательства правительства в ход кластеризации; </w:t>
      </w:r>
    </w:p>
    <w:p w14:paraId="2673F9DD" w14:textId="77777777" w:rsidR="00202D58" w:rsidRPr="003D7553" w:rsidRDefault="00202D58" w:rsidP="003D7553">
      <w:pPr>
        <w:pStyle w:val="a7"/>
        <w:numPr>
          <w:ilvl w:val="0"/>
          <w:numId w:val="52"/>
        </w:numPr>
        <w:ind w:left="993" w:hanging="306"/>
        <w:jc w:val="both"/>
        <w:rPr>
          <w:rFonts w:ascii="Times New Roman" w:hAnsi="Times New Roman" w:cs="Times New Roman"/>
        </w:rPr>
      </w:pPr>
      <w:r w:rsidRPr="003D7553">
        <w:rPr>
          <w:rFonts w:ascii="Times New Roman" w:hAnsi="Times New Roman" w:cs="Times New Roman"/>
        </w:rPr>
        <w:t>Для оценки целесообразности кластерной стратегии формирования территории нужно сравнить степень инвестиционного потенциала и степень инвестиционной активности;</w:t>
      </w:r>
    </w:p>
    <w:p w14:paraId="5443C52B" w14:textId="77777777" w:rsidR="00202D58" w:rsidRPr="003D7553" w:rsidRDefault="00202D58" w:rsidP="003D7553">
      <w:pPr>
        <w:pStyle w:val="a7"/>
        <w:numPr>
          <w:ilvl w:val="0"/>
          <w:numId w:val="52"/>
        </w:numPr>
        <w:ind w:left="993" w:hanging="306"/>
        <w:jc w:val="both"/>
        <w:rPr>
          <w:rFonts w:ascii="Times New Roman" w:hAnsi="Times New Roman" w:cs="Times New Roman"/>
        </w:rPr>
      </w:pPr>
      <w:r w:rsidRPr="003D7553">
        <w:rPr>
          <w:rFonts w:ascii="Times New Roman" w:hAnsi="Times New Roman" w:cs="Times New Roman"/>
        </w:rPr>
        <w:t xml:space="preserve"> Методический базис развития территориальной кластерной стратегии пока еще не разработаны[4, с. 18-38].</w:t>
      </w:r>
    </w:p>
    <w:p w14:paraId="7FBA6F97"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 xml:space="preserve">Страны избирают свои собственные подходы к образованию кластеров и их управлению, и по-своему организует такую работу госорганов, ответственных за исполнение национальной промышленной стратегии конкурентоспособности территории. В Китайской </w:t>
      </w:r>
      <w:r w:rsidRPr="003D7553">
        <w:rPr>
          <w:rFonts w:ascii="Times New Roman" w:hAnsi="Times New Roman" w:cs="Times New Roman"/>
          <w:sz w:val="24"/>
          <w:szCs w:val="24"/>
        </w:rPr>
        <w:lastRenderedPageBreak/>
        <w:t>модели кластеров основное значение имеют прямые иностранные инвестиции, они привносят современные технологии, инвестиции и дают выход на мировые рынки[5, с.38-51].</w:t>
      </w:r>
    </w:p>
    <w:p w14:paraId="48ED9DE7"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Основная цель интернационализации в кластере – облегчение доступа предприятиям -участникам на зарубежные рынки. В Китае работает много кластеров из сотен соединенных друг сдругом малых предприятий, изготовляющих недорогие товары народного производства: игрушки, обувь, канцелярию. С господдержкой им удается выходить на внешние рынки. В Китае даже есть термин «экспортный кластер», или региональный кластер, определяемый как стартовая площадка для попадания на зарубежные рынки. С иной стороны, крупные китайские кластеры активно развивают партнёрские связи и сетевое взаимодействие с кластерами из Европы в рамках разных программ (bioXclusters, European Cluster Collaboration Platform, др.). В обоих случаях намечаетсясильная поддержка интернационализации кластерных инициатив от государства.</w:t>
      </w:r>
    </w:p>
    <w:p w14:paraId="18FBD4CE"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На сегодня экономическая деятельность практически всех кластерных структур Китая основана на низких производственных издержках. Это преимущество по мере роста затрат на оплату труда и насыщения внешних рынков в долгосрочном периоде может быть исчерпано. Китайские кластерные структуры в главной своей массе объединены с внешними рынками сбыта, их системообразующим элементом являются зарубежные предприятия, а ключевую роль играют национальные, региональные и местные власти[6, с.162-165].</w:t>
      </w:r>
    </w:p>
    <w:p w14:paraId="6EDBE15D"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Кластерные структуры КНР живут в обстановке серьёзной концентрации экономического пространства государства, нацеленной на включение национальной экономики в глобальное разделение труда.Существующая научно-техническая база КНР работаетблагодаря вводу импортных технологий, поэтому кластеры инновационного типа для Китая не важны[7, с.39-45].  Некоторая часть кластерных структур Китая функционируют в рамках неформальной экономики и представлена малыми и средними фирмами развитыми горизонтальными связями[8].</w:t>
      </w:r>
    </w:p>
    <w:p w14:paraId="2481579A" w14:textId="77777777" w:rsidR="00202D58" w:rsidRPr="003D7553" w:rsidRDefault="00202D58" w:rsidP="003D7553">
      <w:pPr>
        <w:spacing w:after="0" w:line="240" w:lineRule="auto"/>
        <w:ind w:firstLine="709"/>
        <w:jc w:val="both"/>
        <w:rPr>
          <w:rFonts w:ascii="Times New Roman" w:hAnsi="Times New Roman" w:cs="Times New Roman"/>
          <w:color w:val="000000"/>
          <w:sz w:val="24"/>
          <w:szCs w:val="24"/>
          <w:shd w:val="clear" w:color="auto" w:fill="FFFFFF"/>
        </w:rPr>
      </w:pPr>
      <w:r w:rsidRPr="003D7553">
        <w:rPr>
          <w:rFonts w:ascii="Times New Roman" w:hAnsi="Times New Roman" w:cs="Times New Roman"/>
          <w:sz w:val="24"/>
          <w:szCs w:val="24"/>
        </w:rPr>
        <w:t>Сложность в том, что кластерные структуры в Китае в разных регионах устойчиво преобразовываются при обновлении производственных фондов, формирования новых производственных цепочек и введенияновых технологий. Поэтому кластерные структуры трудно идентифицировать из-за отсутствия у них единой модели развития [9, с.166-173].</w:t>
      </w:r>
    </w:p>
    <w:p w14:paraId="6A5CC14A"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Основнымипроблемами, появляющимисяпри развитии кластеров в Китае, являются:</w:t>
      </w:r>
    </w:p>
    <w:p w14:paraId="243C642B" w14:textId="77777777" w:rsidR="00202D58" w:rsidRPr="003D7553" w:rsidRDefault="00202D58" w:rsidP="003D7553">
      <w:pPr>
        <w:pStyle w:val="a7"/>
        <w:numPr>
          <w:ilvl w:val="0"/>
          <w:numId w:val="54"/>
        </w:numPr>
        <w:ind w:left="993" w:hanging="284"/>
        <w:jc w:val="both"/>
        <w:rPr>
          <w:rFonts w:ascii="Times New Roman" w:hAnsi="Times New Roman" w:cs="Times New Roman"/>
        </w:rPr>
      </w:pPr>
      <w:r w:rsidRPr="003D7553">
        <w:rPr>
          <w:rFonts w:ascii="Times New Roman" w:hAnsi="Times New Roman" w:cs="Times New Roman"/>
        </w:rPr>
        <w:t>Отсутствие единой законодательной основы;</w:t>
      </w:r>
    </w:p>
    <w:p w14:paraId="2AD47386" w14:textId="77777777" w:rsidR="00202D58" w:rsidRPr="003D7553" w:rsidRDefault="00202D58" w:rsidP="003D7553">
      <w:pPr>
        <w:pStyle w:val="a7"/>
        <w:numPr>
          <w:ilvl w:val="0"/>
          <w:numId w:val="54"/>
        </w:numPr>
        <w:ind w:left="993" w:hanging="306"/>
        <w:jc w:val="both"/>
        <w:rPr>
          <w:rFonts w:ascii="Times New Roman" w:hAnsi="Times New Roman" w:cs="Times New Roman"/>
        </w:rPr>
      </w:pPr>
      <w:r w:rsidRPr="003D7553">
        <w:rPr>
          <w:rFonts w:ascii="Times New Roman" w:hAnsi="Times New Roman" w:cs="Times New Roman"/>
        </w:rPr>
        <w:t>Слабые связи между фирмамив кластерах;</w:t>
      </w:r>
    </w:p>
    <w:p w14:paraId="0C417A1A" w14:textId="77777777" w:rsidR="00202D58" w:rsidRPr="003D7553" w:rsidRDefault="00202D58" w:rsidP="003D7553">
      <w:pPr>
        <w:pStyle w:val="a7"/>
        <w:numPr>
          <w:ilvl w:val="0"/>
          <w:numId w:val="54"/>
        </w:numPr>
        <w:ind w:left="993" w:hanging="306"/>
        <w:jc w:val="both"/>
        <w:rPr>
          <w:rFonts w:ascii="Times New Roman" w:hAnsi="Times New Roman" w:cs="Times New Roman"/>
        </w:rPr>
      </w:pPr>
      <w:r w:rsidRPr="003D7553">
        <w:rPr>
          <w:rFonts w:ascii="Times New Roman" w:hAnsi="Times New Roman" w:cs="Times New Roman"/>
        </w:rPr>
        <w:t xml:space="preserve">Дефицит инновационных идей; </w:t>
      </w:r>
    </w:p>
    <w:p w14:paraId="06E6E982" w14:textId="77777777" w:rsidR="00202D58" w:rsidRPr="003D7553" w:rsidRDefault="00202D58" w:rsidP="003D7553">
      <w:pPr>
        <w:pStyle w:val="a7"/>
        <w:numPr>
          <w:ilvl w:val="0"/>
          <w:numId w:val="54"/>
        </w:numPr>
        <w:ind w:left="993" w:hanging="306"/>
        <w:jc w:val="both"/>
        <w:rPr>
          <w:rFonts w:ascii="Times New Roman" w:hAnsi="Times New Roman" w:cs="Times New Roman"/>
        </w:rPr>
      </w:pPr>
      <w:r w:rsidRPr="003D7553">
        <w:rPr>
          <w:rFonts w:ascii="Times New Roman" w:hAnsi="Times New Roman" w:cs="Times New Roman"/>
        </w:rPr>
        <w:t>Нехватка высококвалифицированных кадров;</w:t>
      </w:r>
    </w:p>
    <w:p w14:paraId="33895518" w14:textId="77777777" w:rsidR="00202D58" w:rsidRPr="003D7553" w:rsidRDefault="00202D58" w:rsidP="003D7553">
      <w:pPr>
        <w:pStyle w:val="a7"/>
        <w:numPr>
          <w:ilvl w:val="0"/>
          <w:numId w:val="54"/>
        </w:numPr>
        <w:ind w:left="993" w:hanging="306"/>
        <w:jc w:val="both"/>
        <w:rPr>
          <w:rFonts w:ascii="Times New Roman" w:hAnsi="Times New Roman" w:cs="Times New Roman"/>
        </w:rPr>
      </w:pPr>
      <w:r w:rsidRPr="003D7553">
        <w:rPr>
          <w:rFonts w:ascii="Times New Roman" w:hAnsi="Times New Roman" w:cs="Times New Roman"/>
        </w:rPr>
        <w:t>Отсутствие социальной роли кластера.</w:t>
      </w:r>
    </w:p>
    <w:p w14:paraId="21D9EF66"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sz w:val="24"/>
          <w:szCs w:val="24"/>
        </w:rPr>
        <w:t>Дальнейшее формирование национальной инновационной системы, правительство Китая определяет с распространением инновационных кластеров - объединений фирм, ориентированных и связанных интерактивными технологическими цепочками в производстве инновационной продукции и высоких технологий[10, с. 93-98].</w:t>
      </w:r>
    </w:p>
    <w:p w14:paraId="59AF127A" w14:textId="77777777" w:rsidR="00202D58" w:rsidRPr="003D7553" w:rsidRDefault="00202D58" w:rsidP="003D7553">
      <w:pPr>
        <w:spacing w:after="0" w:line="240" w:lineRule="auto"/>
        <w:ind w:firstLine="709"/>
        <w:jc w:val="both"/>
        <w:rPr>
          <w:rFonts w:ascii="Times New Roman" w:hAnsi="Times New Roman" w:cs="Times New Roman"/>
          <w:sz w:val="24"/>
          <w:szCs w:val="24"/>
        </w:rPr>
      </w:pPr>
      <w:r w:rsidRPr="003D7553">
        <w:rPr>
          <w:rFonts w:ascii="Times New Roman" w:hAnsi="Times New Roman" w:cs="Times New Roman"/>
          <w:b/>
          <w:color w:val="000000"/>
          <w:sz w:val="24"/>
          <w:szCs w:val="24"/>
          <w:shd w:val="clear" w:color="auto" w:fill="FFFFFF"/>
        </w:rPr>
        <w:t xml:space="preserve">Выводы. </w:t>
      </w:r>
      <w:r w:rsidRPr="003D7553">
        <w:rPr>
          <w:rFonts w:ascii="Times New Roman" w:hAnsi="Times New Roman" w:cs="Times New Roman"/>
          <w:sz w:val="24"/>
          <w:szCs w:val="24"/>
        </w:rPr>
        <w:t>В ходе проведенного нами исследования были получены следующие результаты: Китай использует дирижистская кластерную политику;  Основные отраслевые направления кластеризации экономики Китая - это строительство и легкая промышленность. Отмечается сильная поддержка интернационализации кластерных инициатив со стороны государства (на национальном и региональном уровнях).</w:t>
      </w:r>
    </w:p>
    <w:p w14:paraId="76B851F8" w14:textId="77777777" w:rsidR="00202D58" w:rsidRPr="003D7553" w:rsidRDefault="00202D58" w:rsidP="003D7553">
      <w:pPr>
        <w:spacing w:after="0" w:line="240" w:lineRule="auto"/>
        <w:rPr>
          <w:rFonts w:ascii="Times New Roman" w:hAnsi="Times New Roman" w:cs="Times New Roman"/>
          <w:color w:val="000000"/>
          <w:sz w:val="24"/>
          <w:szCs w:val="24"/>
          <w:shd w:val="clear" w:color="auto" w:fill="FFFFFF"/>
        </w:rPr>
      </w:pPr>
      <w:r w:rsidRPr="003D7553">
        <w:rPr>
          <w:rFonts w:ascii="Times New Roman" w:hAnsi="Times New Roman" w:cs="Times New Roman"/>
          <w:color w:val="000000"/>
          <w:sz w:val="24"/>
          <w:szCs w:val="24"/>
          <w:shd w:val="clear" w:color="auto" w:fill="FFFFFF"/>
        </w:rPr>
        <w:t>___________________________________</w:t>
      </w:r>
    </w:p>
    <w:p w14:paraId="271CA723" w14:textId="77777777" w:rsidR="00202D58" w:rsidRPr="003D7553" w:rsidRDefault="00202D58" w:rsidP="003D7553">
      <w:pPr>
        <w:spacing w:after="0" w:line="240" w:lineRule="auto"/>
        <w:rPr>
          <w:rFonts w:ascii="Times New Roman" w:hAnsi="Times New Roman" w:cs="Times New Roman"/>
          <w:color w:val="000000"/>
          <w:sz w:val="24"/>
          <w:szCs w:val="24"/>
          <w:shd w:val="clear" w:color="auto" w:fill="FFFFFF"/>
        </w:rPr>
      </w:pPr>
    </w:p>
    <w:p w14:paraId="06F97037"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Ксенофонтова О.Л. Опыт зарубежных стран по созданию и функционированию кластеров: модельный подход // Современные наукоемкие технологии. Региональное приложение –  №2 (42)  – 2015 – С. 36-42.</w:t>
      </w:r>
    </w:p>
    <w:p w14:paraId="0187E2EC"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Ли Ч. Кластерный подход в инновационном развитии Китая // Российское предпринимательство. – 2009. – Том 10. – № 7. – С. 16-22.</w:t>
      </w:r>
    </w:p>
    <w:p w14:paraId="1D874C52"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lastRenderedPageBreak/>
        <w:t>Исланкина Е.А. Зарубежные практики интернационализации региональных кластеров // Научный взгляд на современный этап развития общественных, технических, гуманитарных и естественных наук. Актуальные проблемы. – 2014. – С. 50.</w:t>
      </w:r>
    </w:p>
    <w:p w14:paraId="2284235D"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Изотов Д.А. Специфика кластерных структур в Китайкой экономике // Регионолистика. -2015 – Том 2.–- № 3.– С. 18-38.</w:t>
      </w:r>
    </w:p>
    <w:p w14:paraId="6A64C21A"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Ленчук Е.Б., Власкин Г.А. Кластерный подход в стратегии инновационного развития зарубежных стран // Проблемы и прогнозирования. – 2010. –- №5. – С. 38-51.</w:t>
      </w:r>
    </w:p>
    <w:p w14:paraId="4460CB4B"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Несмачных О.В, Литовченко В.В. Кластерная политика в стратегии инновационного развития России и зарубежных государств // Фундаментальные исследования. – 2014. – № 9 (часть 1) – С. 162-165.</w:t>
      </w:r>
    </w:p>
    <w:p w14:paraId="71BB547F"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Степанова Э.В. Инновационный ЛПК кластер в Китае и в России// Россия и Китай: Аспекты взаимодействия и взаимовлияния. – 2014. – С. 39-45.</w:t>
      </w:r>
    </w:p>
    <w:p w14:paraId="2AB472E1"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Шаталова Т.Н, Мулендеева Л.Н. Модели государственной кластерной политики[Электронный ресурс].– Режим доступа: http://be5.biz/ekonomika1/r2012/3029.htm</w:t>
      </w:r>
    </w:p>
    <w:p w14:paraId="716568BA"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Фролов А.В. Зарубежный опыт формирования кластеров// Актуальные вопросы современной науки: сборник научных статей / Под ред. проф. О.В. Буреш. – Оренбург: ООО ИПК «Университет», 2011. – Выпуск I. – С. 166-173.</w:t>
      </w:r>
    </w:p>
    <w:p w14:paraId="253C6175" w14:textId="77777777" w:rsidR="00202D58" w:rsidRPr="003D7553" w:rsidRDefault="00202D58" w:rsidP="003D7553">
      <w:pPr>
        <w:numPr>
          <w:ilvl w:val="0"/>
          <w:numId w:val="53"/>
        </w:numPr>
        <w:spacing w:after="0" w:line="240" w:lineRule="auto"/>
        <w:ind w:left="0" w:firstLine="397"/>
        <w:jc w:val="both"/>
        <w:rPr>
          <w:rFonts w:ascii="Times New Roman" w:eastAsia="Times New Roman" w:hAnsi="Times New Roman" w:cs="Times New Roman"/>
          <w:sz w:val="24"/>
          <w:szCs w:val="24"/>
          <w:lang w:eastAsia="ru-RU"/>
        </w:rPr>
      </w:pPr>
      <w:r w:rsidRPr="003D7553">
        <w:rPr>
          <w:rFonts w:ascii="Times New Roman" w:eastAsia="Times New Roman" w:hAnsi="Times New Roman" w:cs="Times New Roman"/>
          <w:sz w:val="24"/>
          <w:szCs w:val="24"/>
          <w:lang w:eastAsia="ru-RU"/>
        </w:rPr>
        <w:t>Фасхутдинов А.Р. Зарубежный опыт развития инновационных кластеров в локализованной системе предпринимательства России // Вопросы экономики и права.  – 2014.  –- № 3. – С. 93-98.</w:t>
      </w:r>
    </w:p>
    <w:p w14:paraId="75FBE423" w14:textId="77777777" w:rsidR="00202D58" w:rsidRPr="003D7553" w:rsidRDefault="00202D58" w:rsidP="003D7553">
      <w:pPr>
        <w:spacing w:line="240" w:lineRule="auto"/>
        <w:jc w:val="both"/>
        <w:rPr>
          <w:rFonts w:ascii="Times New Roman" w:eastAsia="Times New Roman" w:hAnsi="Times New Roman" w:cs="Times New Roman"/>
          <w:color w:val="000000" w:themeColor="text1"/>
          <w:sz w:val="24"/>
          <w:szCs w:val="24"/>
          <w:u w:val="single"/>
        </w:rPr>
      </w:pPr>
    </w:p>
    <w:p w14:paraId="2D3F0BEC" w14:textId="77777777" w:rsidR="00F025EC" w:rsidRDefault="00F025EC">
      <w:pPr>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br w:type="page"/>
      </w:r>
    </w:p>
    <w:p w14:paraId="67B4C5BA" w14:textId="77777777" w:rsidR="00173C65" w:rsidRPr="00B92001" w:rsidRDefault="00B92001" w:rsidP="00B92001">
      <w:pPr>
        <w:keepNext/>
        <w:pageBreakBefore/>
        <w:spacing w:after="240" w:line="240" w:lineRule="auto"/>
        <w:jc w:val="center"/>
        <w:outlineLvl w:val="0"/>
        <w:rPr>
          <w:rFonts w:ascii="Book Antiqua" w:eastAsia="Times New Roman" w:hAnsi="Book Antiqua" w:cs="Times New Roman"/>
          <w:b/>
          <w:bCs/>
          <w:caps/>
          <w:kern w:val="28"/>
          <w:sz w:val="24"/>
          <w:szCs w:val="20"/>
          <w:lang w:eastAsia="ru-RU"/>
        </w:rPr>
      </w:pPr>
      <w:r w:rsidRPr="00B92001">
        <w:rPr>
          <w:rFonts w:ascii="Book Antiqua" w:eastAsia="Times New Roman" w:hAnsi="Book Antiqua" w:cs="Times New Roman"/>
          <w:b/>
          <w:bCs/>
          <w:kern w:val="28"/>
          <w:sz w:val="24"/>
          <w:szCs w:val="20"/>
          <w:lang w:eastAsia="ru-RU"/>
        </w:rPr>
        <w:lastRenderedPageBreak/>
        <w:t>Секция</w:t>
      </w:r>
      <w:r w:rsidR="00F025EC" w:rsidRPr="00B92001">
        <w:rPr>
          <w:rFonts w:ascii="Book Antiqua" w:eastAsia="Times New Roman" w:hAnsi="Book Antiqua" w:cs="Times New Roman"/>
          <w:b/>
          <w:bCs/>
          <w:caps/>
          <w:kern w:val="28"/>
          <w:sz w:val="24"/>
          <w:szCs w:val="20"/>
          <w:lang w:eastAsia="ru-RU"/>
        </w:rPr>
        <w:t xml:space="preserve">. УЧЁТ, АНАЛИЗ, АУДИТ И СТАТИСТИКА: ИССЛЕДОВАНИЕ ТЕНДЕНЦИЙ </w:t>
      </w:r>
      <w:r w:rsidR="00173C65" w:rsidRPr="00B92001">
        <w:rPr>
          <w:rFonts w:ascii="Book Antiqua" w:eastAsia="Times New Roman" w:hAnsi="Book Antiqua" w:cs="Times New Roman"/>
          <w:b/>
          <w:bCs/>
          <w:caps/>
          <w:kern w:val="28"/>
          <w:sz w:val="24"/>
          <w:szCs w:val="20"/>
          <w:lang w:eastAsia="ru-RU"/>
        </w:rPr>
        <w:t xml:space="preserve"> И ПРОБЛЕМ СОВЕРШЕНСТВОВАНИЯ.</w:t>
      </w:r>
    </w:p>
    <w:p w14:paraId="53422741" w14:textId="77777777" w:rsidR="00AD2A2E" w:rsidRPr="00CD13A8" w:rsidRDefault="00AD2A2E" w:rsidP="00AD2A2E">
      <w:pPr>
        <w:keepNext/>
        <w:spacing w:before="120" w:after="120" w:line="240" w:lineRule="auto"/>
        <w:outlineLvl w:val="3"/>
        <w:rPr>
          <w:rFonts w:ascii="Times New Roman" w:eastAsia="Calibri" w:hAnsi="Times New Roman" w:cs="Times New Roman"/>
          <w:b/>
          <w:bCs/>
          <w:sz w:val="24"/>
          <w:szCs w:val="24"/>
        </w:rPr>
      </w:pPr>
      <w:r w:rsidRPr="00CD13A8">
        <w:rPr>
          <w:rFonts w:ascii="Times New Roman" w:eastAsia="Calibri" w:hAnsi="Times New Roman" w:cs="Times New Roman"/>
          <w:b/>
          <w:bCs/>
          <w:sz w:val="24"/>
          <w:szCs w:val="24"/>
        </w:rPr>
        <w:t>Рубрика: Экономика</w:t>
      </w:r>
    </w:p>
    <w:p w14:paraId="2ECB6E58" w14:textId="77777777" w:rsidR="00AD2A2E" w:rsidRPr="00CD13A8" w:rsidRDefault="00AD2A2E" w:rsidP="00AD2A2E">
      <w:pPr>
        <w:spacing w:after="0" w:line="240" w:lineRule="auto"/>
        <w:jc w:val="both"/>
        <w:rPr>
          <w:rFonts w:ascii="Times New Roman" w:eastAsia="Calibri" w:hAnsi="Times New Roman" w:cs="Times New Roman"/>
          <w:sz w:val="24"/>
          <w:szCs w:val="24"/>
        </w:rPr>
      </w:pPr>
      <w:r w:rsidRPr="00CD13A8">
        <w:rPr>
          <w:rFonts w:ascii="Times New Roman" w:eastAsia="Calibri" w:hAnsi="Times New Roman" w:cs="Times New Roman"/>
          <w:sz w:val="24"/>
          <w:szCs w:val="24"/>
        </w:rPr>
        <w:t>УДК 336.01</w:t>
      </w:r>
    </w:p>
    <w:p w14:paraId="4A9CD154" w14:textId="77777777" w:rsidR="00AD2A2E" w:rsidRPr="00CD13A8" w:rsidRDefault="00AD2A2E" w:rsidP="00AD2A2E">
      <w:pPr>
        <w:keepNext/>
        <w:spacing w:before="240" w:after="240" w:line="240" w:lineRule="auto"/>
        <w:jc w:val="center"/>
        <w:outlineLvl w:val="0"/>
        <w:rPr>
          <w:rFonts w:ascii="Times New Roman" w:eastAsia="Times New Roman" w:hAnsi="Times New Roman" w:cs="Times New Roman"/>
          <w:b/>
          <w:bCs/>
          <w:caps/>
          <w:kern w:val="28"/>
          <w:sz w:val="24"/>
          <w:szCs w:val="24"/>
        </w:rPr>
      </w:pPr>
      <w:r w:rsidRPr="00CD13A8">
        <w:rPr>
          <w:rFonts w:ascii="Times New Roman" w:eastAsia="Times New Roman" w:hAnsi="Times New Roman" w:cs="Times New Roman"/>
          <w:b/>
          <w:bCs/>
          <w:caps/>
          <w:kern w:val="28"/>
          <w:sz w:val="24"/>
          <w:szCs w:val="24"/>
        </w:rPr>
        <w:t>Сравнение методов анализа финансовой устойчивости организации</w:t>
      </w:r>
    </w:p>
    <w:p w14:paraId="43828C0E" w14:textId="77777777" w:rsidR="00AD2A2E" w:rsidRPr="00CD13A8" w:rsidRDefault="00AD2A2E" w:rsidP="00AD2A2E">
      <w:pPr>
        <w:spacing w:after="0" w:line="240" w:lineRule="auto"/>
        <w:jc w:val="center"/>
        <w:rPr>
          <w:rFonts w:ascii="Times New Roman" w:eastAsia="Calibri" w:hAnsi="Times New Roman" w:cs="Times New Roman"/>
          <w:b/>
          <w:bCs/>
          <w:sz w:val="24"/>
          <w:szCs w:val="24"/>
          <w:lang w:eastAsia="ru-RU"/>
        </w:rPr>
      </w:pPr>
      <w:r w:rsidRPr="00CD13A8">
        <w:rPr>
          <w:rFonts w:ascii="Times New Roman" w:eastAsia="Calibri" w:hAnsi="Times New Roman" w:cs="Times New Roman"/>
          <w:b/>
          <w:bCs/>
          <w:sz w:val="24"/>
          <w:szCs w:val="24"/>
          <w:lang w:eastAsia="ru-RU"/>
        </w:rPr>
        <w:t>Воронова Алина Алексеевна,</w:t>
      </w:r>
    </w:p>
    <w:p w14:paraId="5E004369" w14:textId="77777777" w:rsidR="00AD2A2E" w:rsidRPr="00CD13A8" w:rsidRDefault="00AD2A2E" w:rsidP="00AD2A2E">
      <w:pPr>
        <w:spacing w:line="240" w:lineRule="auto"/>
        <w:jc w:val="center"/>
        <w:rPr>
          <w:rFonts w:ascii="Times New Roman" w:eastAsia="Calibri" w:hAnsi="Times New Roman" w:cs="Times New Roman"/>
          <w:bCs/>
          <w:sz w:val="24"/>
          <w:szCs w:val="24"/>
          <w:lang w:eastAsia="ru-RU"/>
        </w:rPr>
      </w:pPr>
      <w:r w:rsidRPr="00CD13A8">
        <w:rPr>
          <w:rFonts w:ascii="Times New Roman" w:eastAsia="Calibri" w:hAnsi="Times New Roman" w:cs="Times New Roman"/>
          <w:bCs/>
          <w:sz w:val="24"/>
          <w:szCs w:val="24"/>
          <w:lang w:eastAsia="ru-RU"/>
        </w:rPr>
        <w:t>бакалавр</w:t>
      </w:r>
    </w:p>
    <w:p w14:paraId="354F65E8" w14:textId="77777777" w:rsidR="00AD2A2E" w:rsidRPr="00CD13A8" w:rsidRDefault="00AD2A2E" w:rsidP="00AD2A2E">
      <w:pPr>
        <w:spacing w:after="0" w:line="240" w:lineRule="auto"/>
        <w:jc w:val="center"/>
        <w:rPr>
          <w:rFonts w:ascii="Times New Roman" w:eastAsia="Calibri" w:hAnsi="Times New Roman" w:cs="Times New Roman"/>
          <w:i/>
          <w:sz w:val="24"/>
          <w:szCs w:val="24"/>
        </w:rPr>
      </w:pPr>
      <w:r w:rsidRPr="00CD13A8">
        <w:rPr>
          <w:rFonts w:ascii="Times New Roman" w:eastAsia="Calibri" w:hAnsi="Times New Roman" w:cs="Times New Roman"/>
          <w:i/>
          <w:sz w:val="24"/>
          <w:szCs w:val="24"/>
        </w:rPr>
        <w:t>Владивостокский государственный университет экономики и сервиса</w:t>
      </w:r>
    </w:p>
    <w:p w14:paraId="48AB52E0" w14:textId="77777777" w:rsidR="00AD2A2E" w:rsidRPr="00CD13A8" w:rsidRDefault="00AD2A2E" w:rsidP="00AD2A2E">
      <w:pPr>
        <w:spacing w:line="240" w:lineRule="auto"/>
        <w:jc w:val="center"/>
        <w:rPr>
          <w:rFonts w:ascii="Times New Roman" w:eastAsia="Calibri" w:hAnsi="Times New Roman" w:cs="Times New Roman"/>
          <w:i/>
          <w:sz w:val="24"/>
          <w:szCs w:val="24"/>
        </w:rPr>
      </w:pPr>
      <w:r w:rsidRPr="00CD13A8">
        <w:rPr>
          <w:rFonts w:ascii="Times New Roman" w:eastAsia="Calibri" w:hAnsi="Times New Roman" w:cs="Times New Roman"/>
          <w:i/>
          <w:sz w:val="24"/>
          <w:szCs w:val="24"/>
        </w:rPr>
        <w:t>Россия, Владивосток</w:t>
      </w:r>
    </w:p>
    <w:p w14:paraId="2226EC0D" w14:textId="77777777" w:rsidR="00AD2A2E" w:rsidRPr="007E1000" w:rsidRDefault="00AD2A2E" w:rsidP="00AD2A2E">
      <w:pPr>
        <w:spacing w:after="0" w:line="240" w:lineRule="auto"/>
        <w:jc w:val="center"/>
        <w:rPr>
          <w:rFonts w:ascii="Times New Roman" w:hAnsi="Times New Roman" w:cs="Times New Roman"/>
          <w:sz w:val="24"/>
          <w:szCs w:val="24"/>
        </w:rPr>
      </w:pPr>
      <w:r w:rsidRPr="00CD13A8">
        <w:rPr>
          <w:rFonts w:ascii="Times New Roman" w:hAnsi="Times New Roman" w:cs="Times New Roman"/>
          <w:sz w:val="24"/>
          <w:szCs w:val="24"/>
          <w:lang w:val="en-US"/>
        </w:rPr>
        <w:t>E</w:t>
      </w:r>
      <w:r w:rsidRPr="007E1000">
        <w:rPr>
          <w:rFonts w:ascii="Times New Roman" w:hAnsi="Times New Roman" w:cs="Times New Roman"/>
          <w:sz w:val="24"/>
          <w:szCs w:val="24"/>
        </w:rPr>
        <w:t>-</w:t>
      </w:r>
      <w:r w:rsidRPr="00CD13A8">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CD13A8">
        <w:rPr>
          <w:rFonts w:ascii="Times New Roman" w:hAnsi="Times New Roman" w:cs="Times New Roman"/>
          <w:sz w:val="24"/>
          <w:szCs w:val="24"/>
          <w:lang w:val="en-US"/>
        </w:rPr>
        <w:t>alina</w:t>
      </w:r>
      <w:r w:rsidRPr="007E1000">
        <w:rPr>
          <w:rFonts w:ascii="Times New Roman" w:hAnsi="Times New Roman" w:cs="Times New Roman"/>
          <w:sz w:val="24"/>
          <w:szCs w:val="24"/>
        </w:rPr>
        <w:t>811997@</w:t>
      </w:r>
      <w:r w:rsidRPr="00CD13A8">
        <w:rPr>
          <w:rFonts w:ascii="Times New Roman" w:hAnsi="Times New Roman" w:cs="Times New Roman"/>
          <w:sz w:val="24"/>
          <w:szCs w:val="24"/>
          <w:lang w:val="en-US"/>
        </w:rPr>
        <w:t>gmail</w:t>
      </w:r>
      <w:r w:rsidRPr="007E1000">
        <w:rPr>
          <w:rFonts w:ascii="Times New Roman" w:hAnsi="Times New Roman" w:cs="Times New Roman"/>
          <w:sz w:val="24"/>
          <w:szCs w:val="24"/>
        </w:rPr>
        <w:t>.</w:t>
      </w:r>
      <w:r w:rsidRPr="00CD13A8">
        <w:rPr>
          <w:rFonts w:ascii="Times New Roman" w:hAnsi="Times New Roman" w:cs="Times New Roman"/>
          <w:sz w:val="24"/>
          <w:szCs w:val="24"/>
          <w:lang w:val="en-US"/>
        </w:rPr>
        <w:t>com</w:t>
      </w:r>
      <w:r w:rsidRPr="007E1000">
        <w:rPr>
          <w:rFonts w:ascii="Times New Roman" w:hAnsi="Times New Roman" w:cs="Times New Roman"/>
          <w:sz w:val="24"/>
          <w:szCs w:val="24"/>
        </w:rPr>
        <w:t xml:space="preserve">; </w:t>
      </w:r>
      <w:r w:rsidRPr="00CD13A8">
        <w:rPr>
          <w:rFonts w:ascii="Times New Roman" w:hAnsi="Times New Roman" w:cs="Times New Roman"/>
          <w:sz w:val="24"/>
          <w:szCs w:val="24"/>
        </w:rPr>
        <w:t>тел</w:t>
      </w:r>
      <w:r w:rsidRPr="007E1000">
        <w:rPr>
          <w:rFonts w:ascii="Times New Roman" w:hAnsi="Times New Roman" w:cs="Times New Roman"/>
          <w:sz w:val="24"/>
          <w:szCs w:val="24"/>
        </w:rPr>
        <w:t>.:+79147197184</w:t>
      </w:r>
    </w:p>
    <w:p w14:paraId="36A461D5" w14:textId="77777777" w:rsidR="00AD2A2E" w:rsidRPr="00CD13A8" w:rsidRDefault="00AD2A2E" w:rsidP="00AD2A2E">
      <w:pPr>
        <w:spacing w:after="0" w:line="240" w:lineRule="auto"/>
        <w:jc w:val="center"/>
        <w:rPr>
          <w:rFonts w:ascii="Times New Roman" w:hAnsi="Times New Roman" w:cs="Times New Roman"/>
          <w:sz w:val="24"/>
          <w:szCs w:val="24"/>
        </w:rPr>
      </w:pPr>
      <w:r w:rsidRPr="00CD13A8">
        <w:rPr>
          <w:rFonts w:ascii="Times New Roman" w:hAnsi="Times New Roman" w:cs="Times New Roman"/>
          <w:sz w:val="24"/>
          <w:szCs w:val="24"/>
        </w:rPr>
        <w:t>ул. Гоголя, 41, г. Владивосток, Приморский край, Россия, 690014</w:t>
      </w:r>
    </w:p>
    <w:p w14:paraId="06228DB1" w14:textId="77777777" w:rsidR="00AD2A2E" w:rsidRPr="00CD13A8" w:rsidRDefault="00AD2A2E" w:rsidP="00F46A43">
      <w:pPr>
        <w:spacing w:before="240" w:after="0" w:line="240" w:lineRule="auto"/>
        <w:ind w:firstLine="709"/>
        <w:jc w:val="both"/>
        <w:rPr>
          <w:rFonts w:ascii="Times New Roman" w:hAnsi="Times New Roman" w:cs="Times New Roman"/>
          <w:i/>
          <w:sz w:val="24"/>
          <w:szCs w:val="24"/>
        </w:rPr>
      </w:pPr>
      <w:r w:rsidRPr="00CD13A8">
        <w:rPr>
          <w:rFonts w:ascii="Times New Roman" w:hAnsi="Times New Roman" w:cs="Times New Roman"/>
          <w:i/>
          <w:sz w:val="24"/>
          <w:szCs w:val="24"/>
        </w:rPr>
        <w:t xml:space="preserve">В данной статье рассмотрены методы анализа финансовой устойчивости различных авторов, выведены плюсы и минусы различных методик, и их применимость в организациях с </w:t>
      </w:r>
      <w:r w:rsidR="00F46A43">
        <w:rPr>
          <w:rFonts w:ascii="Times New Roman" w:hAnsi="Times New Roman" w:cs="Times New Roman"/>
          <w:i/>
          <w:sz w:val="24"/>
          <w:szCs w:val="24"/>
        </w:rPr>
        <w:t>различными видами деятельности.</w:t>
      </w:r>
      <w:r w:rsidR="00AD6080">
        <w:rPr>
          <w:rFonts w:ascii="Times New Roman" w:hAnsi="Times New Roman" w:cs="Times New Roman"/>
          <w:b/>
          <w:i/>
          <w:sz w:val="24"/>
          <w:szCs w:val="24"/>
        </w:rPr>
        <w:br/>
        <w:t xml:space="preserve">          </w:t>
      </w:r>
      <w:r w:rsidRPr="00CD13A8">
        <w:rPr>
          <w:rFonts w:ascii="Times New Roman" w:hAnsi="Times New Roman" w:cs="Times New Roman"/>
          <w:b/>
          <w:i/>
          <w:sz w:val="24"/>
          <w:szCs w:val="24"/>
        </w:rPr>
        <w:t>Ключевые слова и словосочетания:</w:t>
      </w:r>
      <w:r w:rsidRPr="00CD13A8">
        <w:rPr>
          <w:rFonts w:ascii="Times New Roman" w:hAnsi="Times New Roman" w:cs="Times New Roman"/>
          <w:i/>
          <w:sz w:val="24"/>
          <w:szCs w:val="24"/>
        </w:rPr>
        <w:t xml:space="preserve"> финансовая у</w:t>
      </w:r>
      <w:r w:rsidR="00AD6080">
        <w:rPr>
          <w:rFonts w:ascii="Times New Roman" w:hAnsi="Times New Roman" w:cs="Times New Roman"/>
          <w:i/>
          <w:sz w:val="24"/>
          <w:szCs w:val="24"/>
        </w:rPr>
        <w:t xml:space="preserve">стойчивость организации; методы </w:t>
      </w:r>
      <w:r w:rsidRPr="00CD13A8">
        <w:rPr>
          <w:rFonts w:ascii="Times New Roman" w:hAnsi="Times New Roman" w:cs="Times New Roman"/>
          <w:i/>
          <w:sz w:val="24"/>
          <w:szCs w:val="24"/>
        </w:rPr>
        <w:t>анализа финансовой устойчивости организации.</w:t>
      </w:r>
    </w:p>
    <w:p w14:paraId="0957D50D" w14:textId="77777777" w:rsidR="00AD2A2E" w:rsidRPr="00CD13A8" w:rsidRDefault="00AD2A2E" w:rsidP="00AD2A2E">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CD13A8">
        <w:rPr>
          <w:rFonts w:ascii="Times New Roman" w:eastAsia="Times New Roman" w:hAnsi="Times New Roman" w:cs="Times New Roman"/>
          <w:b/>
          <w:bCs/>
          <w:caps/>
          <w:kern w:val="28"/>
          <w:sz w:val="24"/>
          <w:szCs w:val="24"/>
          <w:lang w:val="en-US"/>
        </w:rPr>
        <w:t>Comparison of methods of analysis of financial stability of the organization</w:t>
      </w:r>
    </w:p>
    <w:p w14:paraId="7F60839C" w14:textId="77777777" w:rsidR="00AD6080" w:rsidRPr="00F46A43" w:rsidRDefault="00AD2A2E" w:rsidP="00F46A43">
      <w:pPr>
        <w:spacing w:after="0" w:line="240" w:lineRule="auto"/>
        <w:ind w:firstLine="709"/>
        <w:jc w:val="both"/>
        <w:rPr>
          <w:rFonts w:ascii="Times New Roman" w:hAnsi="Times New Roman" w:cs="Times New Roman"/>
          <w:i/>
          <w:sz w:val="24"/>
          <w:szCs w:val="24"/>
          <w:lang w:val="en-US"/>
        </w:rPr>
      </w:pPr>
      <w:r w:rsidRPr="00CD13A8">
        <w:rPr>
          <w:rFonts w:ascii="Times New Roman" w:hAnsi="Times New Roman" w:cs="Times New Roman"/>
          <w:i/>
          <w:sz w:val="24"/>
          <w:szCs w:val="24"/>
          <w:lang w:val="en-US"/>
        </w:rPr>
        <w:t>This article describes the methods of analysis of financial stability of different authors, the pros and cons of different techniques, and their applicability in organizat</w:t>
      </w:r>
      <w:r w:rsidR="00F46A43">
        <w:rPr>
          <w:rFonts w:ascii="Times New Roman" w:hAnsi="Times New Roman" w:cs="Times New Roman"/>
          <w:i/>
          <w:sz w:val="24"/>
          <w:szCs w:val="24"/>
          <w:lang w:val="en-US"/>
        </w:rPr>
        <w:t>ions with different activities.</w:t>
      </w:r>
    </w:p>
    <w:p w14:paraId="594CC0DC" w14:textId="77777777" w:rsidR="00AD2A2E" w:rsidRPr="00CD13A8" w:rsidRDefault="00AD2A2E" w:rsidP="00AD2A2E">
      <w:pPr>
        <w:spacing w:after="0" w:line="240" w:lineRule="auto"/>
        <w:ind w:firstLine="709"/>
        <w:jc w:val="both"/>
        <w:rPr>
          <w:rFonts w:ascii="Times New Roman" w:hAnsi="Times New Roman" w:cs="Times New Roman"/>
          <w:i/>
          <w:sz w:val="24"/>
          <w:szCs w:val="24"/>
          <w:lang w:val="en-US"/>
        </w:rPr>
      </w:pPr>
      <w:r w:rsidRPr="00CD13A8">
        <w:rPr>
          <w:rFonts w:ascii="Times New Roman" w:hAnsi="Times New Roman" w:cs="Times New Roman"/>
          <w:b/>
          <w:i/>
          <w:sz w:val="24"/>
          <w:szCs w:val="24"/>
          <w:lang w:val="en-US"/>
        </w:rPr>
        <w:t>Keywords</w:t>
      </w:r>
      <w:r w:rsidRPr="00CD13A8">
        <w:rPr>
          <w:rFonts w:ascii="Times New Roman" w:hAnsi="Times New Roman" w:cs="Times New Roman"/>
          <w:i/>
          <w:sz w:val="24"/>
          <w:szCs w:val="24"/>
          <w:lang w:val="en-US"/>
        </w:rPr>
        <w:t>: financial stability of the organization; methods of analysis of financial stability of the organization.</w:t>
      </w:r>
    </w:p>
    <w:p w14:paraId="75CF4315" w14:textId="77777777" w:rsidR="00AD2A2E" w:rsidRPr="00CD13A8" w:rsidRDefault="00AD2A2E" w:rsidP="00AD2A2E">
      <w:pPr>
        <w:spacing w:after="0" w:line="240" w:lineRule="auto"/>
        <w:ind w:firstLine="709"/>
        <w:jc w:val="both"/>
        <w:rPr>
          <w:rFonts w:ascii="Times New Roman" w:hAnsi="Times New Roman" w:cs="Times New Roman"/>
          <w:i/>
          <w:sz w:val="24"/>
          <w:szCs w:val="24"/>
          <w:lang w:val="en-US"/>
        </w:rPr>
      </w:pPr>
    </w:p>
    <w:p w14:paraId="2A723DCE"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Финансовая устойчивость организации может выражаться в ее способности поддерживать целевую структуру источников финансирования. Методы ее оценки представляют собой систему приемов и средств оценки финансового состояния, путем проведения финансового анализа, когда определяются основные направления аналитической работы, и затем подводятся итоги анализа.</w:t>
      </w:r>
    </w:p>
    <w:p w14:paraId="4D9D2613"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Актуальность выбранной мной темы заключается в наличии многообразия подходов к изучению финансовой устойчивости организации.</w:t>
      </w:r>
    </w:p>
    <w:p w14:paraId="17883372"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Целью написания статьи является рассмотрение различных подходов к оценке финансовой устойчивости организации.</w:t>
      </w:r>
    </w:p>
    <w:p w14:paraId="1E24A4F8"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Задачами написания работы являются: изучение литературы различных авторов по данному вопросу; сравнение подходов к методам анализа финансовой устойчивости; рассмотреть применение различных подходов в организациях с различными видами деятельности.</w:t>
      </w:r>
    </w:p>
    <w:p w14:paraId="68539B65"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Понятие финансовой устойчивости в экономике различными авторами трактуется по разному. К числу наиболее важных финансовых и общеэкономических проблем в современных условиях понятие финансовой устойчивости организации относится. Финансовая устойчивость раскрывает финансовое состояние предприятия. Ниже приведем определения различных авторов, по разному трактующих понятие «финансовая устойчивость».</w:t>
      </w:r>
    </w:p>
    <w:p w14:paraId="451976C0"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lastRenderedPageBreak/>
        <w:t>А.Д. Шеремет определяет финансовую устойчивость как одну из важнейших характеристик финансового состояния предприятия [1].</w:t>
      </w:r>
    </w:p>
    <w:p w14:paraId="1F6BFF18"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В.В. Ковалев включает оценку финансовой устойчивости в оценку финансового состояния предприятия. Данное понятие он описывает, как способность предприятия в долгосрочном аспекте поддерживать целевую структуру источников финансирования [2]. </w:t>
      </w:r>
    </w:p>
    <w:p w14:paraId="11E8B7EC"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И.А. Бланк под финансовой устойчивостью понимает характеристику стабильности финансового положения предприятия, обеспечиваемой высокой долей собственного капитала в общей сумме используемых финансовых средств [3]. </w:t>
      </w:r>
    </w:p>
    <w:p w14:paraId="6ED440A0"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Н.А. Русак и В.А. Русак считают, что понятие финансовой устойчивости многогранно. Данное понятие можно характеризовать финансовой независимостью, достаточной финансовой обеспеченностью бесперебойности основных видов деятельности, умением правильно распоряжаться собственными средствами, состоянием производственного потенциала. Оценка финансовой устойчивости дает возможность внешним субъектам анализа определить финансовые возможности предприятия на длительную перспективу [3]. </w:t>
      </w:r>
    </w:p>
    <w:p w14:paraId="6638CBF6"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Г.В. Савицкая рассматривает финансовую устойчивость как способность субъекта хозяйствования функционировать и развиваться, сохранять равновесие своих активов и пассивов в изменяющейся внутренней и внешней среде, которое гарантирует его платежеспособность и инвестиционную привлекательность в долгосрочной перспективе в границах допустимого уровня риска [3]. </w:t>
      </w:r>
    </w:p>
    <w:p w14:paraId="084A2184"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В.М. Родионова и М.А. Федотова утверждают, что финансовая устойчивость выступает как комплексное понятие, это такое состояние финансовых ресурсов, их распределение и использование, которое дает возможность предприятию развиваться, где основой выступает рост прибыли и капитала при сохранении платежеспособности и кредитоспособности в условиях допустимого уровня риска [3]. </w:t>
      </w:r>
    </w:p>
    <w:p w14:paraId="5DC7317F"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Проанализировав высказывания авторов по поводу сущности финансовой устойчивости можно сделать вывод, что финансовая устойчивость определяется как постоянное превышение доходов над расходами для сохранения платежеспособности организации и создания условий для ее нормального функционирования, то есть организация должна обладать гибкой структурой капитала и уметь организовать его движение.</w:t>
      </w:r>
    </w:p>
    <w:p w14:paraId="0876B4DB"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Можно сказать, что финансовая устойчивость выступает как определенный критерий надежности партнера, при этом его можно рассчитать и оценить [4]. </w:t>
      </w:r>
    </w:p>
    <w:p w14:paraId="54CF9456"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Однако, наличие такого разнообразия подходов к понятию финансовой устойчивости, позволяет использовать различное, множественное количество методов её оценки.</w:t>
      </w:r>
    </w:p>
    <w:p w14:paraId="5C964281"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В современности нет подхода, который был бы принят всеми единогласно, был бы догмой. Разные экономисты трактуют по-своему, сочетая в практике различные методы оценки финансовой устойчивости. </w:t>
      </w:r>
    </w:p>
    <w:p w14:paraId="086C690E"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Из всех используемых в настоящее время подходов к оценке финансовой устойчивости предприятия авторами было выделено три основных:</w:t>
      </w:r>
    </w:p>
    <w:p w14:paraId="085CB6AA" w14:textId="77777777" w:rsidR="00AD2A2E" w:rsidRPr="00CD13A8" w:rsidRDefault="00AD2A2E" w:rsidP="00202D58">
      <w:pPr>
        <w:pStyle w:val="a7"/>
        <w:numPr>
          <w:ilvl w:val="0"/>
          <w:numId w:val="35"/>
        </w:numPr>
        <w:tabs>
          <w:tab w:val="left" w:pos="993"/>
        </w:tabs>
        <w:ind w:left="0" w:firstLine="709"/>
        <w:jc w:val="both"/>
        <w:rPr>
          <w:rFonts w:ascii="Times New Roman" w:hAnsi="Times New Roman" w:cs="Times New Roman"/>
        </w:rPr>
      </w:pPr>
      <w:r w:rsidRPr="00CD13A8">
        <w:rPr>
          <w:rFonts w:ascii="Times New Roman" w:hAnsi="Times New Roman" w:cs="Times New Roman"/>
        </w:rPr>
        <w:t>Подход, основанный на применении показателей платежеспособности и ликвидности, кредитоспособности и рентабельности. Данный подход отражает сущность финансовой устойчивости как одно из проявлений платежеспособности. Но как было отмечено в начале статьи,  данное понятие имеет многогранное значение, что говорит о более широком понимании, чем платежеспособность. И стоит учитывать тот факт, что показатели платежеспособности во временных рамках изменяются значительно интенсивнее, чем финансовая устойчивость. Недостатком описанного метода является то, что динамика оценочных показателей, которые используются в подходе, такие как платежеспособность, рентабельность и ликвидность, в большинстве случаев не отражает действительной динамики финансовой устойчивости [5]. Данный подход применялся такими авторами, как например: Е.Ф. Ковалевым, Г.В. Савицкой.</w:t>
      </w:r>
    </w:p>
    <w:p w14:paraId="16B7E734" w14:textId="77777777" w:rsidR="00AD2A2E" w:rsidRPr="00CD13A8" w:rsidRDefault="00AD2A2E" w:rsidP="00202D58">
      <w:pPr>
        <w:pStyle w:val="a7"/>
        <w:numPr>
          <w:ilvl w:val="0"/>
          <w:numId w:val="35"/>
        </w:numPr>
        <w:tabs>
          <w:tab w:val="left" w:pos="993"/>
        </w:tabs>
        <w:ind w:left="0" w:firstLine="709"/>
        <w:jc w:val="both"/>
        <w:rPr>
          <w:rFonts w:ascii="Times New Roman" w:hAnsi="Times New Roman" w:cs="Times New Roman"/>
        </w:rPr>
      </w:pPr>
      <w:r w:rsidRPr="00CD13A8">
        <w:rPr>
          <w:rFonts w:ascii="Times New Roman" w:hAnsi="Times New Roman" w:cs="Times New Roman"/>
        </w:rPr>
        <w:t xml:space="preserve">Подход, основанный на рассмотрении объема и структуры капитала предприятия. Данный подход опирается на то, что собственный капитал предприятия рассматривается как вложения в активы, которые определяют определенный запас прочности деятельности </w:t>
      </w:r>
      <w:r w:rsidRPr="00CD13A8">
        <w:rPr>
          <w:rFonts w:ascii="Times New Roman" w:hAnsi="Times New Roman" w:cs="Times New Roman"/>
        </w:rPr>
        <w:lastRenderedPageBreak/>
        <w:t>субъекта хозяйствования в будущем [5]. Недостаток данного подхода состоит в определении объема собственного капитала и его структурных элементов. Данный подход использовался, например Л.Т. Гиляровской.</w:t>
      </w:r>
    </w:p>
    <w:p w14:paraId="717E5F24" w14:textId="77777777" w:rsidR="00AD2A2E" w:rsidRPr="00CD13A8" w:rsidRDefault="00AD2A2E" w:rsidP="00202D58">
      <w:pPr>
        <w:pStyle w:val="a7"/>
        <w:numPr>
          <w:ilvl w:val="0"/>
          <w:numId w:val="35"/>
        </w:numPr>
        <w:tabs>
          <w:tab w:val="left" w:pos="993"/>
        </w:tabs>
        <w:ind w:left="0" w:firstLine="709"/>
        <w:jc w:val="both"/>
        <w:rPr>
          <w:rFonts w:ascii="Times New Roman" w:hAnsi="Times New Roman" w:cs="Times New Roman"/>
        </w:rPr>
      </w:pPr>
      <w:r w:rsidRPr="00CD13A8">
        <w:rPr>
          <w:rFonts w:ascii="Times New Roman" w:hAnsi="Times New Roman" w:cs="Times New Roman"/>
        </w:rPr>
        <w:t>Подход, базирующийся на оценке финансовой устойчивости, как эффективного механизма обеспечения безопасности предприятия от разных рисковых составляющих [5]. Данный метод использовался, например Л.В. Донцовой.</w:t>
      </w:r>
    </w:p>
    <w:p w14:paraId="26A39120"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Все три подхода, рассмотренные выше, в большей степени опираются на расчет относительных показателей.</w:t>
      </w:r>
    </w:p>
    <w:p w14:paraId="3247742B"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Е.Ф. Ковалев выделяет две группы показателей, такие как коэффициенты капитализации и коэффициенты покрытия [6].</w:t>
      </w:r>
    </w:p>
    <w:p w14:paraId="67003640"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Коэффициенты капитализации  - это коэффициенты: концентрации собственного капитала, концентрации привлеченных средств, финансовой зависимости и независимости капитализированных источников, уровень финансового левериджа.</w:t>
      </w:r>
    </w:p>
    <w:p w14:paraId="21D52D0F"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К коэффициентам покрытия относятся показатели, которые рассчитываются как соотношение прибыли до вычета процентов и налогов с величиной постоянных финансовых расходов.</w:t>
      </w:r>
    </w:p>
    <w:p w14:paraId="546821E3"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Г.В. Савицкая предлагает для оценки финансовой устойчивости использовать разработанную систему показателей, которая характеризует [7]:</w:t>
      </w:r>
    </w:p>
    <w:p w14:paraId="52F0024D"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размещение и наличие капитала, интенсивность и эффективность его использования;</w:t>
      </w:r>
    </w:p>
    <w:p w14:paraId="6C07772A"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оптимальность структуры пассивов предприятия, его финансовую независимость и степень финансового риска;</w:t>
      </w:r>
    </w:p>
    <w:p w14:paraId="1B6B4B75"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оптимальность структуры активов предприятия и степень производственного риска;</w:t>
      </w:r>
    </w:p>
    <w:p w14:paraId="42830EC3"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оптимальность структуры источников формирования оборотных активов;</w:t>
      </w:r>
    </w:p>
    <w:p w14:paraId="4069A09C"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платежеспособность и инвестиционную привлекательность;</w:t>
      </w:r>
    </w:p>
    <w:p w14:paraId="1FDA18D0"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риск банкротства;</w:t>
      </w:r>
    </w:p>
    <w:p w14:paraId="39DD63DA" w14:textId="77777777" w:rsidR="00AD2A2E" w:rsidRPr="00CD13A8" w:rsidRDefault="00AD2A2E" w:rsidP="00202D58">
      <w:pPr>
        <w:pStyle w:val="a7"/>
        <w:numPr>
          <w:ilvl w:val="0"/>
          <w:numId w:val="36"/>
        </w:numPr>
        <w:tabs>
          <w:tab w:val="left" w:pos="854"/>
        </w:tabs>
        <w:ind w:left="0" w:firstLine="709"/>
        <w:jc w:val="both"/>
        <w:rPr>
          <w:rFonts w:ascii="Times New Roman" w:hAnsi="Times New Roman" w:cs="Times New Roman"/>
        </w:rPr>
      </w:pPr>
      <w:r w:rsidRPr="00CD13A8">
        <w:rPr>
          <w:rFonts w:ascii="Times New Roman" w:hAnsi="Times New Roman" w:cs="Times New Roman"/>
        </w:rPr>
        <w:t>запас финансовой устойчивости (зона безубыточного объема продаж).</w:t>
      </w:r>
    </w:p>
    <w:p w14:paraId="2C05E4DF"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Данные показатели представлены в таблице 1.</w:t>
      </w:r>
    </w:p>
    <w:p w14:paraId="1DE63C8C" w14:textId="77777777" w:rsidR="00AD2A2E" w:rsidRPr="00CD13A8" w:rsidRDefault="00AD2A2E" w:rsidP="00AD2A2E">
      <w:pPr>
        <w:pStyle w:val="afa"/>
        <w:rPr>
          <w:rFonts w:cs="Times New Roman"/>
          <w:sz w:val="24"/>
          <w:szCs w:val="24"/>
        </w:rPr>
      </w:pPr>
      <w:r w:rsidRPr="00CD13A8">
        <w:rPr>
          <w:rFonts w:cs="Times New Roman"/>
          <w:sz w:val="24"/>
          <w:szCs w:val="24"/>
        </w:rPr>
        <w:t>Таблица 1</w:t>
      </w:r>
    </w:p>
    <w:p w14:paraId="3FCC23EB" w14:textId="77777777" w:rsidR="00AD2A2E" w:rsidRPr="00CD13A8" w:rsidRDefault="00AD2A2E" w:rsidP="00AD2A2E">
      <w:pPr>
        <w:pStyle w:val="af5"/>
        <w:keepNext/>
        <w:widowControl/>
        <w:spacing w:before="120" w:after="120"/>
        <w:jc w:val="center"/>
        <w:outlineLvl w:val="0"/>
        <w:rPr>
          <w:b/>
          <w:kern w:val="28"/>
        </w:rPr>
      </w:pPr>
      <w:r w:rsidRPr="00CD13A8">
        <w:rPr>
          <w:b/>
          <w:kern w:val="28"/>
        </w:rPr>
        <w:t>Показатели оценки финансовой устойчивости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344"/>
      </w:tblGrid>
      <w:tr w:rsidR="00AD2A2E" w:rsidRPr="00CD13A8" w14:paraId="0145A9FC" w14:textId="77777777" w:rsidTr="00C23563">
        <w:tc>
          <w:tcPr>
            <w:tcW w:w="3227" w:type="dxa"/>
          </w:tcPr>
          <w:p w14:paraId="3D175847" w14:textId="77777777" w:rsidR="00AD2A2E" w:rsidRPr="00CD13A8" w:rsidRDefault="00AD2A2E" w:rsidP="00AD2A2E">
            <w:pPr>
              <w:pStyle w:val="15"/>
              <w:rPr>
                <w:sz w:val="24"/>
                <w:szCs w:val="24"/>
              </w:rPr>
            </w:pPr>
            <w:r w:rsidRPr="00CD13A8">
              <w:rPr>
                <w:sz w:val="24"/>
                <w:szCs w:val="24"/>
              </w:rPr>
              <w:t>Показатель</w:t>
            </w:r>
          </w:p>
        </w:tc>
        <w:tc>
          <w:tcPr>
            <w:tcW w:w="6344" w:type="dxa"/>
          </w:tcPr>
          <w:p w14:paraId="2EAAF2D6" w14:textId="77777777" w:rsidR="00AD2A2E" w:rsidRPr="00CD13A8" w:rsidRDefault="00AD2A2E" w:rsidP="00AD2A2E">
            <w:pPr>
              <w:pStyle w:val="15"/>
              <w:rPr>
                <w:sz w:val="24"/>
                <w:szCs w:val="24"/>
              </w:rPr>
            </w:pPr>
            <w:r w:rsidRPr="00CD13A8">
              <w:rPr>
                <w:sz w:val="24"/>
                <w:szCs w:val="24"/>
              </w:rPr>
              <w:t>Характеристика</w:t>
            </w:r>
          </w:p>
        </w:tc>
      </w:tr>
      <w:tr w:rsidR="00AD2A2E" w:rsidRPr="00CD13A8" w14:paraId="74E1B2DA" w14:textId="77777777" w:rsidTr="00C23563">
        <w:tc>
          <w:tcPr>
            <w:tcW w:w="3227" w:type="dxa"/>
          </w:tcPr>
          <w:p w14:paraId="18A4FD79" w14:textId="77777777" w:rsidR="00AD2A2E" w:rsidRPr="00CD13A8" w:rsidRDefault="00AD2A2E" w:rsidP="00AD2A2E">
            <w:pPr>
              <w:pStyle w:val="afb"/>
              <w:rPr>
                <w:sz w:val="24"/>
                <w:szCs w:val="24"/>
              </w:rPr>
            </w:pPr>
            <w:r w:rsidRPr="00CD13A8">
              <w:rPr>
                <w:sz w:val="24"/>
                <w:szCs w:val="24"/>
              </w:rPr>
              <w:t>Коэффициент финансовой автономии</w:t>
            </w:r>
          </w:p>
        </w:tc>
        <w:tc>
          <w:tcPr>
            <w:tcW w:w="6344" w:type="dxa"/>
          </w:tcPr>
          <w:p w14:paraId="02370DA6" w14:textId="77777777" w:rsidR="00AD2A2E" w:rsidRPr="00CD13A8" w:rsidRDefault="00AD2A2E" w:rsidP="00AD2A2E">
            <w:pPr>
              <w:pStyle w:val="afb"/>
              <w:rPr>
                <w:sz w:val="24"/>
                <w:szCs w:val="24"/>
              </w:rPr>
            </w:pPr>
            <w:r w:rsidRPr="00CD13A8">
              <w:rPr>
                <w:sz w:val="24"/>
                <w:szCs w:val="24"/>
              </w:rPr>
              <w:t>Отношение собственного капитала и резервов к сумме активов.</w:t>
            </w:r>
          </w:p>
          <w:p w14:paraId="28011F7D" w14:textId="77777777" w:rsidR="00AD2A2E" w:rsidRPr="00CD13A8" w:rsidRDefault="00AD2A2E" w:rsidP="00AD2A2E">
            <w:pPr>
              <w:pStyle w:val="afb"/>
              <w:rPr>
                <w:sz w:val="24"/>
                <w:szCs w:val="24"/>
              </w:rPr>
            </w:pPr>
            <w:r w:rsidRPr="00CD13A8">
              <w:rPr>
                <w:sz w:val="24"/>
                <w:szCs w:val="24"/>
              </w:rPr>
              <w:t>Показывает ту долю активов организации, которые покрываются с помощью собственного капитала. Остальная доля активов покрывается за счет заемных средств.</w:t>
            </w:r>
          </w:p>
          <w:p w14:paraId="1E438EEA" w14:textId="77777777" w:rsidR="00AD2A2E" w:rsidRPr="00CD13A8" w:rsidRDefault="00AD2A2E" w:rsidP="00AD2A2E">
            <w:pPr>
              <w:pStyle w:val="afb"/>
              <w:rPr>
                <w:sz w:val="24"/>
                <w:szCs w:val="24"/>
              </w:rPr>
            </w:pPr>
            <w:r w:rsidRPr="00CD13A8">
              <w:rPr>
                <w:sz w:val="24"/>
                <w:szCs w:val="24"/>
              </w:rPr>
              <w:t>Нормативное ограничение коэффициента &gt;0,5. Чем больше значение показателя, тем лучше финансовое состояние предприятия.</w:t>
            </w:r>
          </w:p>
        </w:tc>
      </w:tr>
      <w:tr w:rsidR="00AD2A2E" w:rsidRPr="00CD13A8" w14:paraId="4ED3BE5A" w14:textId="77777777" w:rsidTr="00C23563">
        <w:tc>
          <w:tcPr>
            <w:tcW w:w="3227" w:type="dxa"/>
          </w:tcPr>
          <w:p w14:paraId="3AF6F7D8" w14:textId="77777777" w:rsidR="00AD2A2E" w:rsidRPr="00CD13A8" w:rsidRDefault="00AD2A2E" w:rsidP="00AD2A2E">
            <w:pPr>
              <w:pStyle w:val="afb"/>
              <w:rPr>
                <w:sz w:val="24"/>
                <w:szCs w:val="24"/>
              </w:rPr>
            </w:pPr>
            <w:r w:rsidRPr="00CD13A8">
              <w:rPr>
                <w:sz w:val="24"/>
                <w:szCs w:val="24"/>
              </w:rPr>
              <w:t>Коэффициент финансовой зависимости</w:t>
            </w:r>
          </w:p>
        </w:tc>
        <w:tc>
          <w:tcPr>
            <w:tcW w:w="6344" w:type="dxa"/>
          </w:tcPr>
          <w:p w14:paraId="6D191EAE" w14:textId="77777777" w:rsidR="00AD2A2E" w:rsidRPr="00CD13A8" w:rsidRDefault="00AD2A2E" w:rsidP="00AD2A2E">
            <w:pPr>
              <w:pStyle w:val="afb"/>
              <w:rPr>
                <w:sz w:val="24"/>
                <w:szCs w:val="24"/>
              </w:rPr>
            </w:pPr>
            <w:r w:rsidRPr="00CD13A8">
              <w:rPr>
                <w:sz w:val="24"/>
                <w:szCs w:val="24"/>
              </w:rPr>
              <w:t xml:space="preserve">Отношение общей величины финансовых ресурсов к сумме источников собственных средств. </w:t>
            </w:r>
          </w:p>
          <w:p w14:paraId="573A6C1B" w14:textId="77777777" w:rsidR="00AD2A2E" w:rsidRPr="00CD13A8" w:rsidRDefault="00AD2A2E" w:rsidP="00AD2A2E">
            <w:pPr>
              <w:pStyle w:val="afb"/>
              <w:rPr>
                <w:sz w:val="24"/>
                <w:szCs w:val="24"/>
              </w:rPr>
            </w:pPr>
            <w:r w:rsidRPr="00CD13A8">
              <w:rPr>
                <w:sz w:val="24"/>
                <w:szCs w:val="24"/>
              </w:rPr>
              <w:t xml:space="preserve">Показывает, с какой силой предприятие зависит от внешних источников финансирования, какое количество заемных средств привлекло предприятие на 1 рубль собственного капитала. </w:t>
            </w:r>
          </w:p>
          <w:p w14:paraId="0282132F" w14:textId="77777777" w:rsidR="00AD2A2E" w:rsidRPr="00CD13A8" w:rsidRDefault="00AD2A2E" w:rsidP="00AD2A2E">
            <w:pPr>
              <w:pStyle w:val="afb"/>
              <w:rPr>
                <w:sz w:val="24"/>
                <w:szCs w:val="24"/>
              </w:rPr>
            </w:pPr>
            <w:r w:rsidRPr="00CD13A8">
              <w:rPr>
                <w:sz w:val="24"/>
                <w:szCs w:val="24"/>
              </w:rPr>
              <w:t xml:space="preserve">Показывает меру способности предприятия полностью </w:t>
            </w:r>
            <w:r w:rsidRPr="00CD13A8">
              <w:rPr>
                <w:sz w:val="24"/>
                <w:szCs w:val="24"/>
              </w:rPr>
              <w:lastRenderedPageBreak/>
              <w:t>погасить кредиторскую задолженность, в случае ликвидации своих активов.</w:t>
            </w:r>
          </w:p>
          <w:p w14:paraId="044CE59D" w14:textId="77777777" w:rsidR="00AD2A2E" w:rsidRPr="00CD13A8" w:rsidRDefault="00AD2A2E" w:rsidP="00AD2A2E">
            <w:pPr>
              <w:pStyle w:val="afb"/>
              <w:rPr>
                <w:sz w:val="24"/>
                <w:szCs w:val="24"/>
              </w:rPr>
            </w:pPr>
            <w:r w:rsidRPr="00CD13A8">
              <w:rPr>
                <w:sz w:val="24"/>
                <w:szCs w:val="24"/>
              </w:rPr>
              <w:t>Экономический смысл показателя заключается в определении, сколько единиц всей суммы финансовых ресурсов приходится на единицу источников собственных средств.</w:t>
            </w:r>
          </w:p>
          <w:p w14:paraId="5F3974B7" w14:textId="77777777" w:rsidR="00AD2A2E" w:rsidRPr="00CD13A8" w:rsidRDefault="00AD2A2E" w:rsidP="00AD2A2E">
            <w:pPr>
              <w:pStyle w:val="afb"/>
              <w:rPr>
                <w:sz w:val="24"/>
                <w:szCs w:val="24"/>
              </w:rPr>
            </w:pPr>
            <w:r w:rsidRPr="00CD13A8">
              <w:rPr>
                <w:sz w:val="24"/>
                <w:szCs w:val="24"/>
              </w:rPr>
              <w:t>Положительной считается динамика к снижению показателя.</w:t>
            </w:r>
          </w:p>
        </w:tc>
      </w:tr>
      <w:tr w:rsidR="00AD2A2E" w:rsidRPr="00CD13A8" w14:paraId="72DC134F" w14:textId="77777777" w:rsidTr="00C23563">
        <w:tc>
          <w:tcPr>
            <w:tcW w:w="3227" w:type="dxa"/>
          </w:tcPr>
          <w:p w14:paraId="76DEE4DD" w14:textId="77777777" w:rsidR="00AD2A2E" w:rsidRPr="00CD13A8" w:rsidRDefault="00AD2A2E" w:rsidP="00AD2A2E">
            <w:pPr>
              <w:pStyle w:val="afb"/>
              <w:rPr>
                <w:sz w:val="24"/>
                <w:szCs w:val="24"/>
              </w:rPr>
            </w:pPr>
            <w:r w:rsidRPr="00CD13A8">
              <w:rPr>
                <w:sz w:val="24"/>
                <w:szCs w:val="24"/>
              </w:rPr>
              <w:lastRenderedPageBreak/>
              <w:t>Плечо финансового рычага (коэффициент финансового рычага)</w:t>
            </w:r>
          </w:p>
        </w:tc>
        <w:tc>
          <w:tcPr>
            <w:tcW w:w="6344" w:type="dxa"/>
          </w:tcPr>
          <w:p w14:paraId="3C193248" w14:textId="77777777" w:rsidR="00AD2A2E" w:rsidRPr="00CD13A8" w:rsidRDefault="00AD2A2E" w:rsidP="00AD2A2E">
            <w:pPr>
              <w:pStyle w:val="afb"/>
              <w:rPr>
                <w:sz w:val="24"/>
                <w:szCs w:val="24"/>
              </w:rPr>
            </w:pPr>
            <w:r w:rsidRPr="00CD13A8">
              <w:rPr>
                <w:sz w:val="24"/>
                <w:szCs w:val="24"/>
              </w:rPr>
              <w:t>Соотношение между заемными и собственными средствами.</w:t>
            </w:r>
          </w:p>
          <w:p w14:paraId="77BC1A80" w14:textId="77777777" w:rsidR="00AD2A2E" w:rsidRPr="00CD13A8" w:rsidRDefault="00AD2A2E" w:rsidP="00AD2A2E">
            <w:pPr>
              <w:pStyle w:val="afb"/>
              <w:rPr>
                <w:sz w:val="24"/>
                <w:szCs w:val="24"/>
              </w:rPr>
            </w:pPr>
            <w:r w:rsidRPr="00CD13A8">
              <w:rPr>
                <w:sz w:val="24"/>
                <w:szCs w:val="24"/>
              </w:rPr>
              <w:t>Чем больше значение показателя, тем выше предпринимательский риск предприятия.</w:t>
            </w:r>
          </w:p>
        </w:tc>
      </w:tr>
    </w:tbl>
    <w:p w14:paraId="3CB648E9" w14:textId="77777777" w:rsidR="00AD2A2E" w:rsidRPr="00CD13A8" w:rsidRDefault="00AD2A2E" w:rsidP="00AD2A2E">
      <w:pPr>
        <w:spacing w:after="0" w:line="240" w:lineRule="auto"/>
        <w:ind w:firstLine="709"/>
        <w:jc w:val="both"/>
        <w:rPr>
          <w:rFonts w:ascii="Times New Roman" w:hAnsi="Times New Roman" w:cs="Times New Roman"/>
          <w:sz w:val="24"/>
          <w:szCs w:val="24"/>
        </w:rPr>
      </w:pPr>
    </w:p>
    <w:p w14:paraId="1C8E5B13" w14:textId="77777777" w:rsidR="00AD2A2E" w:rsidRPr="00CD13A8" w:rsidRDefault="00AD2A2E" w:rsidP="00AD2A2E">
      <w:pPr>
        <w:spacing w:before="120"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Л.Т. Гиляровская выделяет четыре группы показателей финансовой устойчивости:</w:t>
      </w:r>
    </w:p>
    <w:p w14:paraId="3C67100C" w14:textId="77777777" w:rsidR="00AD2A2E" w:rsidRPr="00CD13A8" w:rsidRDefault="00AD2A2E" w:rsidP="00202D58">
      <w:pPr>
        <w:pStyle w:val="a7"/>
        <w:numPr>
          <w:ilvl w:val="0"/>
          <w:numId w:val="37"/>
        </w:numPr>
        <w:tabs>
          <w:tab w:val="left" w:pos="993"/>
        </w:tabs>
        <w:ind w:left="0" w:firstLine="709"/>
        <w:jc w:val="both"/>
        <w:rPr>
          <w:rFonts w:ascii="Times New Roman" w:hAnsi="Times New Roman" w:cs="Times New Roman"/>
        </w:rPr>
      </w:pPr>
      <w:r w:rsidRPr="00CD13A8">
        <w:rPr>
          <w:rFonts w:ascii="Times New Roman" w:hAnsi="Times New Roman" w:cs="Times New Roman"/>
        </w:rPr>
        <w:t>Показатели структуры капитала, которые характеризуют финансовую независимость от внешних заемных средств.</w:t>
      </w:r>
    </w:p>
    <w:p w14:paraId="6D5E879B" w14:textId="77777777" w:rsidR="00AD2A2E" w:rsidRPr="00CD13A8" w:rsidRDefault="00AD2A2E" w:rsidP="00202D58">
      <w:pPr>
        <w:pStyle w:val="a7"/>
        <w:numPr>
          <w:ilvl w:val="0"/>
          <w:numId w:val="37"/>
        </w:numPr>
        <w:tabs>
          <w:tab w:val="left" w:pos="993"/>
        </w:tabs>
        <w:ind w:left="0" w:firstLine="709"/>
        <w:jc w:val="both"/>
        <w:rPr>
          <w:rFonts w:ascii="Times New Roman" w:hAnsi="Times New Roman" w:cs="Times New Roman"/>
        </w:rPr>
      </w:pPr>
      <w:r w:rsidRPr="00CD13A8">
        <w:rPr>
          <w:rFonts w:ascii="Times New Roman" w:hAnsi="Times New Roman" w:cs="Times New Roman"/>
        </w:rPr>
        <w:t>Показатели, которые характеризуют состояние оборотных средств.</w:t>
      </w:r>
    </w:p>
    <w:p w14:paraId="325004A2" w14:textId="77777777" w:rsidR="00AD2A2E" w:rsidRPr="00CD13A8" w:rsidRDefault="00AD2A2E" w:rsidP="00202D58">
      <w:pPr>
        <w:pStyle w:val="a7"/>
        <w:widowControl w:val="0"/>
        <w:numPr>
          <w:ilvl w:val="0"/>
          <w:numId w:val="37"/>
        </w:numPr>
        <w:tabs>
          <w:tab w:val="left" w:pos="993"/>
        </w:tabs>
        <w:ind w:left="0" w:firstLine="709"/>
        <w:jc w:val="both"/>
        <w:rPr>
          <w:rFonts w:ascii="Times New Roman" w:hAnsi="Times New Roman" w:cs="Times New Roman"/>
        </w:rPr>
      </w:pPr>
      <w:r w:rsidRPr="00CD13A8">
        <w:rPr>
          <w:rFonts w:ascii="Times New Roman" w:hAnsi="Times New Roman" w:cs="Times New Roman"/>
        </w:rPr>
        <w:t>Показатели, характеризующие состояние основных средств.</w:t>
      </w:r>
    </w:p>
    <w:p w14:paraId="19D2A878" w14:textId="77777777" w:rsidR="00AD2A2E" w:rsidRPr="00CD13A8" w:rsidRDefault="00AD2A2E" w:rsidP="00202D58">
      <w:pPr>
        <w:pStyle w:val="a7"/>
        <w:widowControl w:val="0"/>
        <w:numPr>
          <w:ilvl w:val="0"/>
          <w:numId w:val="37"/>
        </w:numPr>
        <w:tabs>
          <w:tab w:val="left" w:pos="993"/>
        </w:tabs>
        <w:ind w:left="0" w:firstLine="709"/>
        <w:jc w:val="both"/>
        <w:rPr>
          <w:rFonts w:ascii="Times New Roman" w:hAnsi="Times New Roman" w:cs="Times New Roman"/>
        </w:rPr>
      </w:pPr>
      <w:r w:rsidRPr="00CD13A8">
        <w:rPr>
          <w:rFonts w:ascii="Times New Roman" w:hAnsi="Times New Roman" w:cs="Times New Roman"/>
        </w:rPr>
        <w:t>Показатели, которые характеризуют способность предприятия оплатить проценты по кредитам и запас финансовой устойчивости.</w:t>
      </w:r>
    </w:p>
    <w:p w14:paraId="5ECC2633"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Л.В. Донцова выделяет три группы показателей финансовой устойчивости [4]:</w:t>
      </w:r>
    </w:p>
    <w:p w14:paraId="28045336" w14:textId="77777777" w:rsidR="00AD2A2E" w:rsidRPr="00CD13A8" w:rsidRDefault="00AD2A2E" w:rsidP="00202D58">
      <w:pPr>
        <w:pStyle w:val="a7"/>
        <w:widowControl w:val="0"/>
        <w:numPr>
          <w:ilvl w:val="0"/>
          <w:numId w:val="38"/>
        </w:numPr>
        <w:tabs>
          <w:tab w:val="left" w:pos="994"/>
        </w:tabs>
        <w:ind w:left="0" w:firstLine="709"/>
        <w:jc w:val="both"/>
        <w:rPr>
          <w:rFonts w:ascii="Times New Roman" w:hAnsi="Times New Roman" w:cs="Times New Roman"/>
        </w:rPr>
      </w:pPr>
      <w:r w:rsidRPr="00CD13A8">
        <w:rPr>
          <w:rFonts w:ascii="Times New Roman" w:hAnsi="Times New Roman" w:cs="Times New Roman"/>
        </w:rPr>
        <w:t>Показатели, которые характеризуют соотношение собственных и заемных средств, к ним относятся коэффициенты: обеспеченности текущих активов собственными оборотными средствами, соотношения материально-производственных запасов и собственных оборотных средств, обеспеченности материально-производственных запасов собственными оборотными средствами, покрытия материально-производственных запасов, коэффициент маневренности собственного капитала, маневренности функционального капитала.</w:t>
      </w:r>
    </w:p>
    <w:p w14:paraId="033BA5DB" w14:textId="77777777" w:rsidR="00AD2A2E" w:rsidRPr="00CD13A8" w:rsidRDefault="00AD2A2E" w:rsidP="00202D58">
      <w:pPr>
        <w:pStyle w:val="a7"/>
        <w:numPr>
          <w:ilvl w:val="0"/>
          <w:numId w:val="38"/>
        </w:numPr>
        <w:tabs>
          <w:tab w:val="left" w:pos="994"/>
        </w:tabs>
        <w:ind w:left="0" w:firstLine="709"/>
        <w:jc w:val="both"/>
        <w:rPr>
          <w:rFonts w:ascii="Times New Roman" w:hAnsi="Times New Roman" w:cs="Times New Roman"/>
        </w:rPr>
      </w:pPr>
      <w:r w:rsidRPr="00CD13A8">
        <w:rPr>
          <w:rFonts w:ascii="Times New Roman" w:hAnsi="Times New Roman" w:cs="Times New Roman"/>
        </w:rPr>
        <w:t>Показатели, которые характеризуют состояние оборотных средств, к ним относятся коэффициенты: обеспеченности текущих активов собственными оборотными средствами, соотношения материально-производственных запасов  и собственных оборотных средств, покрытия материально-производственных запасов, обеспеченности материально-производственных запасов собственными оборотными средствами, маневренности собственного капитала, маневренности функционального капитала.</w:t>
      </w:r>
    </w:p>
    <w:p w14:paraId="3C3B2F08" w14:textId="77777777" w:rsidR="00AD2A2E" w:rsidRPr="00CD13A8" w:rsidRDefault="00AD2A2E" w:rsidP="00202D58">
      <w:pPr>
        <w:pStyle w:val="a7"/>
        <w:numPr>
          <w:ilvl w:val="0"/>
          <w:numId w:val="38"/>
        </w:numPr>
        <w:tabs>
          <w:tab w:val="left" w:pos="994"/>
        </w:tabs>
        <w:ind w:left="0" w:firstLine="709"/>
        <w:jc w:val="both"/>
        <w:rPr>
          <w:rFonts w:ascii="Times New Roman" w:hAnsi="Times New Roman" w:cs="Times New Roman"/>
        </w:rPr>
      </w:pPr>
      <w:r w:rsidRPr="00CD13A8">
        <w:rPr>
          <w:rFonts w:ascii="Times New Roman" w:hAnsi="Times New Roman" w:cs="Times New Roman"/>
        </w:rPr>
        <w:t>Показатели, которые характеризуют состояние основных средств, к ним относятся: индекс постоянного актива, коэффициент реальной стоимости имущества, коэффициент накопления амортизации, коэффициент соотношения текущих активов и недвижимости.</w:t>
      </w:r>
    </w:p>
    <w:p w14:paraId="65FD39C6"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Из всего выше сказанного можно сделать вывод, что в настоящее время для оценки финансовой устойчивости используется комплекс методов и приемов. Каждый метод обладает своими достоинствами и недостатками.</w:t>
      </w:r>
    </w:p>
    <w:p w14:paraId="5ABDA464"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До сих пор вызывают споры и рекомендуемые значения тех или иных показателей, входящих в состав показателей оценки финансовой устойчивости, поскольку разная структура капитала будет диктовать и свои нормативы при оценке тех или иных показателей. К примеру, устойчиво действующая торговая организация будет иметь достаточно хорошие значения показатели ликвидности, чего будет лишена, к примеру, строительная организация, весь капитал которой будет размещен в долго реализуемые активы, что в свою очередь, отразится на коэффициентах ликвидности.</w:t>
      </w:r>
    </w:p>
    <w:p w14:paraId="2AF1B419"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В современной отечественной практики наибольшее распространение имеет методика анализа финансовой устойчивости, которая основана на сопоставлении величин собственных и заемных источников для формирования запасов и затрат организации. Самым главным </w:t>
      </w:r>
      <w:r w:rsidRPr="00CD13A8">
        <w:rPr>
          <w:rFonts w:ascii="Times New Roman" w:hAnsi="Times New Roman" w:cs="Times New Roman"/>
          <w:sz w:val="24"/>
          <w:szCs w:val="24"/>
        </w:rPr>
        <w:lastRenderedPageBreak/>
        <w:t xml:space="preserve">недостатком данного подхода является пренебрежение отраслевой спецификацией деятельности предприятия и возможностью сезонного характера работы. Данный подход приспособлен только для среднестатистического промышленного, сельскохозяйственного или торгового предприятия, без ярко выраженного сезонного характера деятельности. У предприятий такого типа оборотные средства, затраты и запасы, в большинстве случаев, занимают достаточную долю в совокупном имуществе, вследствие применение данного метода анализа представляется достаточно правомерным. </w:t>
      </w:r>
    </w:p>
    <w:p w14:paraId="29D2C015"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Ниже рассмотрим несколько примеров того, какие методы анализа финансовой устойчивости лучше всего использовать на предприятиях с определенными видами деятельности.</w:t>
      </w:r>
    </w:p>
    <w:p w14:paraId="3C4D87D3"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Для начала рассмотрим использование методов анализа для предприятий с малой долей оборотных средств и у предприятий с сезонным характером деятельности.</w:t>
      </w:r>
    </w:p>
    <w:p w14:paraId="7336F90F"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Для предприятий с малой долей оборотных средств (например, транспортных) и для предприятий с сезонным характером деятельности (например, рыбная промышленность) нелогично давать оценку финансовой устойчивости, используя незначительные факторы деятельности.</w:t>
      </w:r>
    </w:p>
    <w:p w14:paraId="1423E2EC"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Большинство современных подходов к анализу финансовой устойчивости определяется как статичное явление, которое можно «зафиксировать» на определенный момент времени, но совершенно не принимается в расчет особенности течения жизненного цикла предприятия. </w:t>
      </w:r>
    </w:p>
    <w:p w14:paraId="486BF0C9"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Свои особенности в использовании методик анализа финансовой устойчивости имеют предприятия, которые занимаются торговой деятельностью. На данных предприятиях используются свои методики по проведению анализа финансовой устойчивости, которые рассмотрены ниже.</w:t>
      </w:r>
    </w:p>
    <w:p w14:paraId="0FB37E50"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Для оценки финансовой устойчивости торгового предприятия в первую очередь определяется уровень обеспеченности собственными источниками формирования оборотных средств. Далее рассчитывается ряд коэффициентов, таких как: коэффициент обеспеченности собственными источниками оборотных средств; коэффициент обеспеченности запасов собственными источниками; коэффициент маневренности собственного капитала; коэффициент финансовой автономии.</w:t>
      </w:r>
    </w:p>
    <w:p w14:paraId="34E0EEB0"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Также можно выделить строительные компании, так как в использовании методик для анализа финансовой устойчивости у них присутствуют определенные особенности, которые выражены в использовании определенного набора коэффициентов.</w:t>
      </w:r>
    </w:p>
    <w:p w14:paraId="1278BBC5"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Например, для оценки финансовой устойчивости строительной организации используются следующие показатели: коэффициент соотношения собственных и заемных средств; коэффициент автономии; коэффициент маневренности; коэффициент долгосрочного привлечения заемных средств; коэффициент иммобилизации (коэффициент реальной стоимости основных средств). </w:t>
      </w:r>
    </w:p>
    <w:p w14:paraId="6667059F"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Если перейти к рассмотрению финансовой устойчивости кредитных учреждений, то также можно заметить определенные особенности в методике проведения анализа финансовой устойчивости.</w:t>
      </w:r>
    </w:p>
    <w:p w14:paraId="0024F2B5"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Оценка финансовой устойчивости кредитных учреждений тоже имеет свою специфику. Под финансовой устойчивостью банка можно понимать одну из важнейших характеристик, которая определяет то, насколько эффективно проходит управление банком и банковскими рисками. Данное понятие носит комплексный характер и отражает такое положение финансовых ресурсов банка, при котором он имеет возможность стабильно действовать и развиваться, сохраняя платежеспособность и достаточный уровень ликвидности в условиях высокого уровня риска, обусловленного финансовым кризисом.</w:t>
      </w:r>
    </w:p>
    <w:p w14:paraId="42FFEBDA"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Важной теоретической составляющей математической методики оценки устойчивости банка является аргументация критериев финансово устойчивого банка в условиях влияния изменяющихся внешних и внутренних факторов, к числу которых относятся: достаточность капитала; ликвидность; качество активов и пассивов; прибыльность.</w:t>
      </w:r>
    </w:p>
    <w:p w14:paraId="419C0468"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lastRenderedPageBreak/>
        <w:t xml:space="preserve">Далее рассмотрим особенности, которые присущи методам анализа финансовой устойчивости на предприятиях малого и среднего бизнеса. </w:t>
      </w:r>
    </w:p>
    <w:p w14:paraId="3F18BD10"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 xml:space="preserve">Малый и средний бизнес имеет существенные отличия от крупных предприятий. Наиболее важное отличие состоит в возможности доступа к ресурсам, в постановке целей, весомых рисках и уровне ликвидности. </w:t>
      </w:r>
    </w:p>
    <w:p w14:paraId="78C84333" w14:textId="77777777" w:rsidR="00AD2A2E" w:rsidRPr="00CD13A8" w:rsidRDefault="00AD2A2E" w:rsidP="00AD2A2E">
      <w:pPr>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Для оценки финансовой устойчивости малого и среднего предпринимательства за период используются определенные приемы и подходы:</w:t>
      </w:r>
    </w:p>
    <w:p w14:paraId="7AE7C558"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Введение индикаторов финансовой устойчивости.</w:t>
      </w:r>
    </w:p>
    <w:p w14:paraId="5302BC91"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Выявление факторов, которые воздействуют на финансовую устойчивость и установление взаимосвязей между ними.</w:t>
      </w:r>
    </w:p>
    <w:p w14:paraId="05C02B6D"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Построение графика опорных точек на начало и конец отчетного периода с целью выявления изменений, произошедших за период.</w:t>
      </w:r>
    </w:p>
    <w:p w14:paraId="54D4557A"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Анализ размещения точек платежеспособности, экономического роста и текущей ликвидности, как важнейших факторов финансовой устойчивости.</w:t>
      </w:r>
    </w:p>
    <w:p w14:paraId="6CFD225A"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Построение цепочки темпов роста основных показателей для анализа динамики, определение соответствующих отклонений и диспропорций в развитии.</w:t>
      </w:r>
    </w:p>
    <w:p w14:paraId="623AEC88"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Алгоритм достижения коэффициентами ликвидности, финансовой устойчивости и деловой активности рекомендуемой области допустимых значений.</w:t>
      </w:r>
    </w:p>
    <w:p w14:paraId="27DADA15" w14:textId="77777777" w:rsidR="00AD2A2E" w:rsidRPr="00CD13A8" w:rsidRDefault="00AD2A2E" w:rsidP="00202D58">
      <w:pPr>
        <w:numPr>
          <w:ilvl w:val="0"/>
          <w:numId w:val="39"/>
        </w:numPr>
        <w:tabs>
          <w:tab w:val="left" w:pos="993"/>
        </w:tabs>
        <w:spacing w:after="0" w:line="240" w:lineRule="auto"/>
        <w:ind w:left="0" w:firstLine="709"/>
        <w:jc w:val="both"/>
        <w:rPr>
          <w:rFonts w:ascii="Times New Roman" w:hAnsi="Times New Roman" w:cs="Times New Roman"/>
          <w:sz w:val="24"/>
          <w:szCs w:val="24"/>
        </w:rPr>
      </w:pPr>
      <w:r w:rsidRPr="00CD13A8">
        <w:rPr>
          <w:rFonts w:ascii="Times New Roman" w:hAnsi="Times New Roman" w:cs="Times New Roman"/>
          <w:sz w:val="24"/>
          <w:szCs w:val="24"/>
        </w:rPr>
        <w:t>Развернутое моделирование финансовой устойчивости и оптимизация структуры баланса.</w:t>
      </w:r>
    </w:p>
    <w:p w14:paraId="7C1013A9" w14:textId="77777777" w:rsidR="00AD2A2E" w:rsidRPr="00CD13A8" w:rsidRDefault="00AD2A2E" w:rsidP="00AD2A2E">
      <w:pPr>
        <w:widowControl w:val="0"/>
        <w:spacing w:after="0" w:line="240" w:lineRule="auto"/>
        <w:ind w:firstLine="709"/>
        <w:jc w:val="both"/>
        <w:rPr>
          <w:rFonts w:ascii="Times New Roman" w:hAnsi="Times New Roman" w:cs="Times New Roman"/>
          <w:sz w:val="24"/>
          <w:szCs w:val="24"/>
        </w:rPr>
      </w:pPr>
      <w:r w:rsidRPr="00CD13A8">
        <w:rPr>
          <w:rFonts w:ascii="Times New Roman" w:hAnsi="Times New Roman" w:cs="Times New Roman"/>
          <w:sz w:val="24"/>
          <w:szCs w:val="24"/>
        </w:rPr>
        <w:t>Можно сделать вывод, что анализ при оценке финансовой устойчивости предприятия необходимо обосновать и использовать такую методику для анализа, которая даст возможность получить наиболее приближенные и более точные значения, которые будут характеризовать как степень ликвидности, так и уровень платежеспособности предприятия. Также должна быть возможность выявить негативные факторы, которым подвержено предприятие, что бы попытаться не допустить дальнейшей трансформации в неплатежеспособное, что может привести к банкротству [8].</w:t>
      </w:r>
    </w:p>
    <w:p w14:paraId="0C178E9E" w14:textId="77777777" w:rsidR="00AD2A2E" w:rsidRPr="00CD13A8" w:rsidRDefault="007014C7" w:rsidP="00AD2A2E">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w14:anchorId="0A9B7438">
          <v:rect id="_x0000_i1027" style="width:0;height:1.5pt" o:hralign="center" o:hrstd="t" o:hr="t" fillcolor="#a0a0a0" stroked="f"/>
        </w:pict>
      </w:r>
    </w:p>
    <w:p w14:paraId="47D2B3C3" w14:textId="77777777" w:rsidR="00AD2A2E" w:rsidRPr="00CD13A8" w:rsidRDefault="00AD2A2E" w:rsidP="00AD2A2E">
      <w:pPr>
        <w:spacing w:after="240" w:line="240" w:lineRule="auto"/>
        <w:jc w:val="center"/>
        <w:rPr>
          <w:rFonts w:ascii="Times New Roman" w:hAnsi="Times New Roman" w:cs="Times New Roman"/>
          <w:sz w:val="24"/>
          <w:szCs w:val="24"/>
        </w:rPr>
      </w:pPr>
      <w:r w:rsidRPr="00CD13A8">
        <w:rPr>
          <w:rFonts w:ascii="Times New Roman" w:hAnsi="Times New Roman" w:cs="Times New Roman"/>
          <w:sz w:val="24"/>
          <w:szCs w:val="24"/>
        </w:rPr>
        <w:t>Список использованных источников</w:t>
      </w:r>
    </w:p>
    <w:p w14:paraId="093EBD2D"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Шеремет А.Д. Методика финансового анализа деятельности коммерческих организаций: учеб. пособие для [студентов вузов], слушателей системы подгот. проф. бухгалтеров и аудиторов / А. Д. Шеремет, Е. В. Негашев. - 2-е изд., перераб. и доп. - М. : ИНФРА-М, 2013. - 208 с.</w:t>
      </w:r>
    </w:p>
    <w:p w14:paraId="1C162C4D"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Ковалев Е.Ф. Финансовый анализ: методы и процедуры. – М.: Финансы и статистика, 2013. – 560 с.</w:t>
      </w:r>
    </w:p>
    <w:p w14:paraId="3B128CB6"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Артеменко В.Г. Экономический анализ: учебное пособие [для вузов] / В. Г. Артеменко, Н. В. Анисимова. - М. : Кнорус, 2016. - 288 с.</w:t>
      </w:r>
    </w:p>
    <w:p w14:paraId="0D3A2EB8"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Бацаева Ю.В. Финансовая устойчивость: методы и подходы к ее оценке / Ю.В. Бацаева // Экономика и управление: проблемы, тенденции, перспективы развития. Сборник материалов VI Международной научно-практической конференции. - 2017. - С. 231 - 234</w:t>
      </w:r>
    </w:p>
    <w:p w14:paraId="20747E3E"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Кузьмина М.Г. Финансовая устойчивость организации и совершенствование методов ее оценки / М.Г. Кузьмина, М.А. Салтыков // Экономика и менеджмент инновационных технологий - №12 (51). - 2015. - С. 129 - 133</w:t>
      </w:r>
    </w:p>
    <w:p w14:paraId="4015392A"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Друцкая М.В. Аналитические возможности консолидированной отчетности для характеристики финансовой устойчивости / М.В. Друцкая, Н.А. Карпова // Экономический анализ: теория и практика - №1 (400). - 2015. - С. 16 - 27</w:t>
      </w:r>
    </w:p>
    <w:p w14:paraId="5FBD5252" w14:textId="77777777" w:rsidR="00AD2A2E"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t>Савицкая Г.В. Комплексный анализ хозяйственной деятельности предприятия: учебник для студентов вузов / Г. В. Савицкая. - 6-е изд., перераб. и доп. - М. : ИНФРА-М, 2013. - 607 с.</w:t>
      </w:r>
    </w:p>
    <w:p w14:paraId="129EB3A4" w14:textId="77777777" w:rsidR="00173C65" w:rsidRPr="00CD13A8" w:rsidRDefault="00AD2A2E" w:rsidP="00202D58">
      <w:pPr>
        <w:numPr>
          <w:ilvl w:val="1"/>
          <w:numId w:val="38"/>
        </w:numPr>
        <w:tabs>
          <w:tab w:val="clear" w:pos="1440"/>
        </w:tabs>
        <w:spacing w:after="0" w:line="240" w:lineRule="auto"/>
        <w:ind w:left="0" w:firstLine="397"/>
        <w:jc w:val="both"/>
        <w:rPr>
          <w:rFonts w:ascii="Times New Roman" w:eastAsia="Times New Roman" w:hAnsi="Times New Roman" w:cs="Times New Roman"/>
          <w:sz w:val="24"/>
          <w:szCs w:val="24"/>
          <w:lang w:eastAsia="ru-RU"/>
        </w:rPr>
      </w:pPr>
      <w:r w:rsidRPr="00CD13A8">
        <w:rPr>
          <w:rFonts w:ascii="Times New Roman" w:eastAsia="Times New Roman" w:hAnsi="Times New Roman" w:cs="Times New Roman"/>
          <w:sz w:val="24"/>
          <w:szCs w:val="24"/>
          <w:lang w:eastAsia="ru-RU"/>
        </w:rPr>
        <w:lastRenderedPageBreak/>
        <w:t>Кузьмичева И.А. Банкротство предприятия и система критериев их неплатежеспособности / И.А. Кузьмичева, К.В. Олиниченко // Международный жернал прикладных и фундаментальных исследований. - № 6-2. - 2015. - С. 318 - 322</w:t>
      </w:r>
    </w:p>
    <w:p w14:paraId="3C0395D3" w14:textId="77777777" w:rsidR="00B7659B" w:rsidRPr="00CD13A8" w:rsidRDefault="00B7659B" w:rsidP="00173C65">
      <w:pPr>
        <w:widowControl w:val="0"/>
        <w:spacing w:after="120" w:line="240" w:lineRule="auto"/>
        <w:rPr>
          <w:rFonts w:ascii="Times New Roman" w:hAnsi="Times New Roman" w:cs="Times New Roman"/>
          <w:b/>
          <w:color w:val="000000" w:themeColor="text1"/>
          <w:sz w:val="24"/>
          <w:szCs w:val="24"/>
        </w:rPr>
      </w:pPr>
    </w:p>
    <w:p w14:paraId="58912BFE" w14:textId="77777777" w:rsidR="00173C65" w:rsidRPr="00AD6080" w:rsidRDefault="00173C65" w:rsidP="00173C65">
      <w:pPr>
        <w:widowControl w:val="0"/>
        <w:spacing w:after="120" w:line="240" w:lineRule="auto"/>
        <w:rPr>
          <w:rFonts w:ascii="Times New Roman" w:hAnsi="Times New Roman" w:cs="Times New Roman"/>
          <w:b/>
          <w:color w:val="000000" w:themeColor="text1"/>
          <w:sz w:val="24"/>
          <w:szCs w:val="24"/>
        </w:rPr>
      </w:pPr>
      <w:r w:rsidRPr="00AD6080">
        <w:rPr>
          <w:rFonts w:ascii="Times New Roman" w:hAnsi="Times New Roman" w:cs="Times New Roman"/>
          <w:b/>
          <w:color w:val="000000" w:themeColor="text1"/>
          <w:sz w:val="24"/>
          <w:szCs w:val="24"/>
        </w:rPr>
        <w:t>Рубрика: Экономика. Народное хозяйство. Экономические науки</w:t>
      </w:r>
    </w:p>
    <w:p w14:paraId="478FE786" w14:textId="77777777" w:rsidR="00173C65" w:rsidRPr="00AD6080" w:rsidRDefault="00173C65" w:rsidP="00173C65">
      <w:pPr>
        <w:widowControl w:val="0"/>
        <w:spacing w:after="240" w:line="240" w:lineRule="auto"/>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УДК 338. 33</w:t>
      </w:r>
    </w:p>
    <w:p w14:paraId="2873C4EC" w14:textId="77777777" w:rsidR="00173C65" w:rsidRPr="00AD6080" w:rsidRDefault="00173C65" w:rsidP="00173C65">
      <w:pPr>
        <w:spacing w:after="120" w:line="240" w:lineRule="auto"/>
        <w:ind w:firstLine="709"/>
        <w:jc w:val="center"/>
        <w:rPr>
          <w:rFonts w:ascii="Times New Roman" w:hAnsi="Times New Roman" w:cs="Times New Roman"/>
          <w:b/>
          <w:sz w:val="24"/>
          <w:szCs w:val="24"/>
        </w:rPr>
      </w:pPr>
      <w:r w:rsidRPr="00AD6080">
        <w:rPr>
          <w:rFonts w:ascii="Times New Roman" w:hAnsi="Times New Roman" w:cs="Times New Roman"/>
          <w:b/>
          <w:sz w:val="24"/>
          <w:szCs w:val="24"/>
        </w:rPr>
        <w:t>НАЛОГОВАЯ БЕЗОПАСНОСТЬ МАЛЫХ ПРЕДПРИЯТИЙ</w:t>
      </w:r>
    </w:p>
    <w:p w14:paraId="6C317B1D" w14:textId="77777777" w:rsidR="00173C65" w:rsidRPr="00AD6080" w:rsidRDefault="00173C65" w:rsidP="00173C65">
      <w:pPr>
        <w:spacing w:after="20" w:line="240" w:lineRule="auto"/>
        <w:jc w:val="center"/>
        <w:rPr>
          <w:rFonts w:ascii="Times New Roman" w:hAnsi="Times New Roman" w:cs="Times New Roman"/>
          <w:b/>
          <w:color w:val="212121"/>
          <w:sz w:val="24"/>
          <w:szCs w:val="24"/>
          <w:lang w:eastAsia="ru-RU"/>
        </w:rPr>
      </w:pPr>
      <w:r w:rsidRPr="00AD6080">
        <w:rPr>
          <w:rFonts w:ascii="Times New Roman" w:hAnsi="Times New Roman" w:cs="Times New Roman"/>
          <w:b/>
          <w:color w:val="212121"/>
          <w:sz w:val="24"/>
          <w:szCs w:val="24"/>
          <w:lang w:eastAsia="ru-RU"/>
        </w:rPr>
        <w:t>Коваленко Наталья Александровна,</w:t>
      </w:r>
    </w:p>
    <w:p w14:paraId="399EC170" w14:textId="77777777" w:rsidR="00173C65" w:rsidRPr="00AD6080" w:rsidRDefault="00173C65" w:rsidP="007E1ABB">
      <w:pPr>
        <w:spacing w:after="20" w:line="240" w:lineRule="auto"/>
        <w:jc w:val="center"/>
        <w:rPr>
          <w:rFonts w:ascii="Times New Roman" w:hAnsi="Times New Roman" w:cs="Times New Roman"/>
          <w:color w:val="212121"/>
          <w:sz w:val="24"/>
          <w:szCs w:val="24"/>
          <w:lang w:eastAsia="ru-RU"/>
        </w:rPr>
      </w:pPr>
      <w:r w:rsidRPr="00AD6080">
        <w:rPr>
          <w:rFonts w:ascii="Times New Roman" w:hAnsi="Times New Roman" w:cs="Times New Roman"/>
          <w:color w:val="212121"/>
          <w:sz w:val="24"/>
          <w:szCs w:val="24"/>
          <w:lang w:eastAsia="ru-RU"/>
        </w:rPr>
        <w:t>магистрант</w:t>
      </w:r>
    </w:p>
    <w:p w14:paraId="3254BC2F" w14:textId="77777777" w:rsidR="00173C65" w:rsidRPr="00AD6080" w:rsidRDefault="00173C65" w:rsidP="007E1ABB">
      <w:pPr>
        <w:spacing w:after="20" w:line="240" w:lineRule="auto"/>
        <w:jc w:val="center"/>
        <w:rPr>
          <w:rFonts w:ascii="Times New Roman" w:hAnsi="Times New Roman" w:cs="Times New Roman"/>
          <w:i/>
          <w:color w:val="212121"/>
          <w:sz w:val="24"/>
          <w:szCs w:val="24"/>
          <w:lang w:eastAsia="ru-RU"/>
        </w:rPr>
      </w:pPr>
    </w:p>
    <w:p w14:paraId="375556A1" w14:textId="77777777" w:rsidR="00173C65" w:rsidRPr="00AD6080" w:rsidRDefault="00173C65" w:rsidP="007E1ABB">
      <w:pPr>
        <w:spacing w:after="20" w:line="240" w:lineRule="auto"/>
        <w:jc w:val="center"/>
        <w:rPr>
          <w:rFonts w:ascii="Times New Roman" w:hAnsi="Times New Roman" w:cs="Times New Roman"/>
          <w:i/>
          <w:color w:val="212121"/>
          <w:sz w:val="24"/>
          <w:szCs w:val="24"/>
          <w:lang w:eastAsia="ru-RU"/>
        </w:rPr>
      </w:pPr>
      <w:r w:rsidRPr="00AD6080">
        <w:rPr>
          <w:rFonts w:ascii="Times New Roman" w:hAnsi="Times New Roman" w:cs="Times New Roman"/>
          <w:i/>
          <w:color w:val="212121"/>
          <w:sz w:val="24"/>
          <w:szCs w:val="24"/>
          <w:lang w:eastAsia="ru-RU"/>
        </w:rPr>
        <w:t>Владивостокский государственный университет экономики и сервиса</w:t>
      </w:r>
    </w:p>
    <w:p w14:paraId="052A5B0D" w14:textId="77777777" w:rsidR="00173C65" w:rsidRPr="00AD6080" w:rsidRDefault="00173C65" w:rsidP="00173C65">
      <w:pPr>
        <w:spacing w:after="20" w:line="240" w:lineRule="auto"/>
        <w:jc w:val="center"/>
        <w:rPr>
          <w:rFonts w:ascii="Times New Roman" w:hAnsi="Times New Roman" w:cs="Times New Roman"/>
          <w:i/>
          <w:color w:val="212121"/>
          <w:sz w:val="24"/>
          <w:szCs w:val="24"/>
          <w:lang w:eastAsia="ru-RU"/>
        </w:rPr>
      </w:pPr>
      <w:r w:rsidRPr="00AD6080">
        <w:rPr>
          <w:rFonts w:ascii="Times New Roman" w:hAnsi="Times New Roman" w:cs="Times New Roman"/>
          <w:i/>
          <w:color w:val="212121"/>
          <w:sz w:val="24"/>
          <w:szCs w:val="24"/>
          <w:lang w:eastAsia="ru-RU"/>
        </w:rPr>
        <w:t>Россия. Владивосток</w:t>
      </w:r>
    </w:p>
    <w:p w14:paraId="651E9592" w14:textId="77777777" w:rsidR="00173C65" w:rsidRPr="00AD6080" w:rsidRDefault="00173C65" w:rsidP="00173C65">
      <w:pPr>
        <w:spacing w:after="20" w:line="240" w:lineRule="auto"/>
        <w:jc w:val="center"/>
        <w:rPr>
          <w:rFonts w:ascii="Times New Roman" w:hAnsi="Times New Roman" w:cs="Times New Roman"/>
          <w:color w:val="212121"/>
          <w:sz w:val="24"/>
          <w:szCs w:val="24"/>
          <w:lang w:eastAsia="ru-RU"/>
        </w:rPr>
      </w:pPr>
    </w:p>
    <w:p w14:paraId="40153317" w14:textId="77777777" w:rsidR="00173C65" w:rsidRPr="007E1000" w:rsidRDefault="00173C65" w:rsidP="00173C65">
      <w:pPr>
        <w:spacing w:after="20" w:line="240" w:lineRule="auto"/>
        <w:jc w:val="center"/>
        <w:rPr>
          <w:rFonts w:ascii="Times New Roman" w:hAnsi="Times New Roman" w:cs="Times New Roman"/>
          <w:color w:val="212121"/>
          <w:sz w:val="24"/>
          <w:szCs w:val="24"/>
          <w:lang w:eastAsia="ru-RU"/>
        </w:rPr>
      </w:pPr>
      <w:r w:rsidRPr="00AD6080">
        <w:rPr>
          <w:rFonts w:ascii="Times New Roman" w:hAnsi="Times New Roman" w:cs="Times New Roman"/>
          <w:color w:val="212121"/>
          <w:sz w:val="24"/>
          <w:szCs w:val="24"/>
          <w:lang w:val="en-US" w:eastAsia="ru-RU"/>
        </w:rPr>
        <w:t>E</w:t>
      </w:r>
      <w:r w:rsidRPr="007E1000">
        <w:rPr>
          <w:rFonts w:ascii="Times New Roman" w:hAnsi="Times New Roman" w:cs="Times New Roman"/>
          <w:color w:val="212121"/>
          <w:sz w:val="24"/>
          <w:szCs w:val="24"/>
          <w:lang w:eastAsia="ru-RU"/>
        </w:rPr>
        <w:t>-</w:t>
      </w:r>
      <w:r w:rsidRPr="00AD6080">
        <w:rPr>
          <w:rFonts w:ascii="Times New Roman" w:hAnsi="Times New Roman" w:cs="Times New Roman"/>
          <w:color w:val="212121"/>
          <w:sz w:val="24"/>
          <w:szCs w:val="24"/>
          <w:lang w:val="en-US" w:eastAsia="ru-RU"/>
        </w:rPr>
        <w:t>mail</w:t>
      </w:r>
      <w:r w:rsidRPr="007E1000">
        <w:rPr>
          <w:rFonts w:ascii="Times New Roman" w:hAnsi="Times New Roman" w:cs="Times New Roman"/>
          <w:color w:val="212121"/>
          <w:sz w:val="24"/>
          <w:szCs w:val="24"/>
          <w:lang w:eastAsia="ru-RU"/>
        </w:rPr>
        <w:t xml:space="preserve">: </w:t>
      </w:r>
      <w:r w:rsidRPr="00AD6080">
        <w:rPr>
          <w:rFonts w:ascii="Times New Roman" w:hAnsi="Times New Roman" w:cs="Times New Roman"/>
          <w:color w:val="212121"/>
          <w:sz w:val="24"/>
          <w:szCs w:val="24"/>
          <w:lang w:val="en-US" w:eastAsia="ru-RU"/>
        </w:rPr>
        <w:t>natasha</w:t>
      </w:r>
      <w:r w:rsidRPr="007E1000">
        <w:rPr>
          <w:rFonts w:ascii="Times New Roman" w:hAnsi="Times New Roman" w:cs="Times New Roman"/>
          <w:color w:val="212121"/>
          <w:sz w:val="24"/>
          <w:szCs w:val="24"/>
          <w:lang w:eastAsia="ru-RU"/>
        </w:rPr>
        <w:t>-</w:t>
      </w:r>
      <w:r w:rsidRPr="00AD6080">
        <w:rPr>
          <w:rFonts w:ascii="Times New Roman" w:hAnsi="Times New Roman" w:cs="Times New Roman"/>
          <w:color w:val="212121"/>
          <w:sz w:val="24"/>
          <w:szCs w:val="24"/>
          <w:lang w:val="en-US" w:eastAsia="ru-RU"/>
        </w:rPr>
        <w:t>belle</w:t>
      </w:r>
      <w:r w:rsidRPr="007E1000">
        <w:rPr>
          <w:rFonts w:ascii="Times New Roman" w:hAnsi="Times New Roman" w:cs="Times New Roman"/>
          <w:color w:val="212121"/>
          <w:sz w:val="24"/>
          <w:szCs w:val="24"/>
          <w:lang w:eastAsia="ru-RU"/>
        </w:rPr>
        <w:t>@</w:t>
      </w:r>
      <w:r w:rsidRPr="00AD6080">
        <w:rPr>
          <w:rFonts w:ascii="Times New Roman" w:hAnsi="Times New Roman" w:cs="Times New Roman"/>
          <w:color w:val="212121"/>
          <w:sz w:val="24"/>
          <w:szCs w:val="24"/>
          <w:lang w:val="en-US" w:eastAsia="ru-RU"/>
        </w:rPr>
        <w:t>mail</w:t>
      </w:r>
      <w:r w:rsidRPr="007E1000">
        <w:rPr>
          <w:rFonts w:ascii="Times New Roman" w:hAnsi="Times New Roman" w:cs="Times New Roman"/>
          <w:color w:val="212121"/>
          <w:sz w:val="24"/>
          <w:szCs w:val="24"/>
          <w:lang w:eastAsia="ru-RU"/>
        </w:rPr>
        <w:t>.</w:t>
      </w:r>
      <w:r w:rsidRPr="00AD6080">
        <w:rPr>
          <w:rFonts w:ascii="Times New Roman" w:hAnsi="Times New Roman" w:cs="Times New Roman"/>
          <w:color w:val="212121"/>
          <w:sz w:val="24"/>
          <w:szCs w:val="24"/>
          <w:lang w:val="en-US" w:eastAsia="ru-RU"/>
        </w:rPr>
        <w:t>ru</w:t>
      </w:r>
      <w:r w:rsidRPr="007E1000">
        <w:rPr>
          <w:rFonts w:ascii="Times New Roman" w:hAnsi="Times New Roman" w:cs="Times New Roman"/>
          <w:color w:val="212121"/>
          <w:sz w:val="24"/>
          <w:szCs w:val="24"/>
          <w:lang w:eastAsia="ru-RU"/>
        </w:rPr>
        <w:t xml:space="preserve">; </w:t>
      </w:r>
      <w:r w:rsidRPr="00AD6080">
        <w:rPr>
          <w:rFonts w:ascii="Times New Roman" w:hAnsi="Times New Roman" w:cs="Times New Roman"/>
          <w:color w:val="212121"/>
          <w:sz w:val="24"/>
          <w:szCs w:val="24"/>
          <w:lang w:eastAsia="ru-RU"/>
        </w:rPr>
        <w:t>тел</w:t>
      </w:r>
      <w:r w:rsidRPr="007E1000">
        <w:rPr>
          <w:rFonts w:ascii="Times New Roman" w:hAnsi="Times New Roman" w:cs="Times New Roman"/>
          <w:color w:val="212121"/>
          <w:sz w:val="24"/>
          <w:szCs w:val="24"/>
          <w:lang w:eastAsia="ru-RU"/>
        </w:rPr>
        <w:t>.: +79243201888</w:t>
      </w:r>
    </w:p>
    <w:p w14:paraId="6FF7861C" w14:textId="77777777" w:rsidR="00173C65" w:rsidRPr="00AD6080" w:rsidRDefault="00173C65" w:rsidP="00173C65">
      <w:pPr>
        <w:spacing w:after="480" w:line="240" w:lineRule="auto"/>
        <w:jc w:val="center"/>
        <w:rPr>
          <w:rFonts w:ascii="Times New Roman" w:hAnsi="Times New Roman" w:cs="Times New Roman"/>
          <w:color w:val="212121"/>
          <w:sz w:val="24"/>
          <w:szCs w:val="24"/>
          <w:lang w:eastAsia="ru-RU"/>
        </w:rPr>
      </w:pPr>
      <w:r w:rsidRPr="00AD6080">
        <w:rPr>
          <w:rFonts w:ascii="Times New Roman" w:hAnsi="Times New Roman" w:cs="Times New Roman"/>
          <w:color w:val="212121"/>
          <w:sz w:val="24"/>
          <w:szCs w:val="24"/>
          <w:lang w:eastAsia="ru-RU"/>
        </w:rPr>
        <w:t>ул. Гоголя, 41, г. Владивосток, Приморский край, Россия, 690014</w:t>
      </w:r>
    </w:p>
    <w:p w14:paraId="5B595FA5" w14:textId="77777777" w:rsidR="00AD6080" w:rsidRPr="007E1ABB" w:rsidRDefault="00173C65" w:rsidP="007E1ABB">
      <w:pPr>
        <w:autoSpaceDE w:val="0"/>
        <w:autoSpaceDN w:val="0"/>
        <w:adjustRightInd w:val="0"/>
        <w:spacing w:after="0" w:line="240" w:lineRule="auto"/>
        <w:ind w:firstLine="709"/>
        <w:jc w:val="both"/>
        <w:rPr>
          <w:rFonts w:ascii="Times New Roman" w:hAnsi="Times New Roman" w:cs="Times New Roman"/>
          <w:i/>
          <w:iCs/>
          <w:sz w:val="24"/>
          <w:szCs w:val="24"/>
        </w:rPr>
      </w:pPr>
      <w:r w:rsidRPr="00AD6080">
        <w:rPr>
          <w:rFonts w:ascii="Times New Roman" w:hAnsi="Times New Roman" w:cs="Times New Roman"/>
          <w:i/>
          <w:iCs/>
          <w:sz w:val="24"/>
          <w:szCs w:val="24"/>
        </w:rPr>
        <w:t>В статье рассмотрены вопросы, относящиеся налоговой безопасности малого бизнеса, проанализированы внешние и внутренние налоговые риски малых предприятий. Разработаны правила, которые необходимо соблюдать, для повышения</w:t>
      </w:r>
      <w:r w:rsidR="007E1ABB">
        <w:rPr>
          <w:rFonts w:ascii="Times New Roman" w:hAnsi="Times New Roman" w:cs="Times New Roman"/>
          <w:i/>
          <w:iCs/>
          <w:sz w:val="24"/>
          <w:szCs w:val="24"/>
        </w:rPr>
        <w:t xml:space="preserve"> уровня налоговой безопасности.</w:t>
      </w:r>
    </w:p>
    <w:p w14:paraId="262DCF55" w14:textId="77777777" w:rsidR="00173C65" w:rsidRPr="00AD6080" w:rsidRDefault="00173C65" w:rsidP="00173C65">
      <w:pPr>
        <w:pStyle w:val="Default"/>
        <w:ind w:firstLine="709"/>
        <w:jc w:val="both"/>
        <w:rPr>
          <w:i/>
        </w:rPr>
      </w:pPr>
      <w:r w:rsidRPr="00AD6080">
        <w:rPr>
          <w:rFonts w:eastAsia="ArialNarrow"/>
          <w:b/>
          <w:bCs/>
          <w:i/>
          <w:iCs/>
          <w:lang w:eastAsia="ru-RU"/>
        </w:rPr>
        <w:t>Ключевые слова и словосочетания</w:t>
      </w:r>
      <w:r w:rsidRPr="00AD6080">
        <w:rPr>
          <w:rFonts w:eastAsia="ArialNarrow"/>
          <w:b/>
          <w:bCs/>
          <w:i/>
          <w:lang w:eastAsia="ru-RU"/>
        </w:rPr>
        <w:t xml:space="preserve">: </w:t>
      </w:r>
      <w:r w:rsidRPr="00AD6080">
        <w:rPr>
          <w:i/>
          <w:iCs/>
        </w:rPr>
        <w:t>безопасность, предприниматель, экономика, налоги, режимы, риски.</w:t>
      </w:r>
    </w:p>
    <w:p w14:paraId="269E314A" w14:textId="77777777" w:rsidR="00173C65" w:rsidRPr="00AD6080" w:rsidRDefault="00173C65" w:rsidP="00173C65">
      <w:pPr>
        <w:spacing w:after="120" w:line="240" w:lineRule="auto"/>
        <w:ind w:firstLine="709"/>
        <w:jc w:val="center"/>
        <w:rPr>
          <w:rFonts w:ascii="Times New Roman" w:hAnsi="Times New Roman" w:cs="Times New Roman"/>
          <w:b/>
          <w:sz w:val="24"/>
          <w:szCs w:val="24"/>
        </w:rPr>
      </w:pPr>
    </w:p>
    <w:p w14:paraId="3A1B163D" w14:textId="77777777" w:rsidR="00173C65" w:rsidRPr="00AD6080" w:rsidRDefault="00173C65" w:rsidP="00173C65">
      <w:pPr>
        <w:spacing w:after="120" w:line="240" w:lineRule="auto"/>
        <w:ind w:firstLine="709"/>
        <w:jc w:val="center"/>
        <w:rPr>
          <w:rFonts w:ascii="Times New Roman" w:hAnsi="Times New Roman" w:cs="Times New Roman"/>
          <w:b/>
          <w:sz w:val="24"/>
          <w:szCs w:val="24"/>
          <w:lang w:val="en-US"/>
        </w:rPr>
      </w:pPr>
      <w:r w:rsidRPr="00AD6080">
        <w:rPr>
          <w:rFonts w:ascii="Times New Roman" w:hAnsi="Times New Roman" w:cs="Times New Roman"/>
          <w:b/>
          <w:sz w:val="24"/>
          <w:szCs w:val="24"/>
          <w:lang w:val="en-US"/>
        </w:rPr>
        <w:t>TAX SECURITY OF SMALL BUSINESS</w:t>
      </w:r>
    </w:p>
    <w:p w14:paraId="47341341" w14:textId="77777777" w:rsidR="00173C65" w:rsidRPr="00AD6080" w:rsidRDefault="00173C65" w:rsidP="00173C65">
      <w:pPr>
        <w:spacing w:after="0" w:line="240" w:lineRule="auto"/>
        <w:ind w:firstLine="709"/>
        <w:jc w:val="both"/>
        <w:rPr>
          <w:rFonts w:ascii="Times New Roman" w:hAnsi="Times New Roman" w:cs="Times New Roman"/>
          <w:i/>
          <w:sz w:val="24"/>
          <w:szCs w:val="24"/>
          <w:lang w:val="en-US"/>
        </w:rPr>
      </w:pPr>
    </w:p>
    <w:p w14:paraId="116E97C2" w14:textId="77777777" w:rsidR="00AD6080" w:rsidRPr="007E1ABB" w:rsidRDefault="00173C65" w:rsidP="007E1ABB">
      <w:pPr>
        <w:spacing w:after="0" w:line="240" w:lineRule="auto"/>
        <w:ind w:firstLine="709"/>
        <w:jc w:val="both"/>
        <w:rPr>
          <w:rFonts w:ascii="Times New Roman" w:hAnsi="Times New Roman" w:cs="Times New Roman"/>
          <w:i/>
          <w:sz w:val="24"/>
          <w:szCs w:val="24"/>
          <w:lang w:val="en-US"/>
        </w:rPr>
      </w:pPr>
      <w:r w:rsidRPr="00AD6080">
        <w:rPr>
          <w:rFonts w:ascii="Times New Roman" w:hAnsi="Times New Roman" w:cs="Times New Roman"/>
          <w:i/>
          <w:sz w:val="24"/>
          <w:szCs w:val="24"/>
          <w:lang w:val="en-US"/>
        </w:rPr>
        <w:t>The article deals with the problems of tax security for small businesses. The author discusses the internal and external risks of a small enterprise. Particular attention is given to tax risks, their signifi cance and measures to prevent them. The article defines the role of tax security in the system of economic security of small businesses and present</w:t>
      </w:r>
      <w:r w:rsidR="007E1ABB">
        <w:rPr>
          <w:rFonts w:ascii="Times New Roman" w:hAnsi="Times New Roman" w:cs="Times New Roman"/>
          <w:i/>
          <w:sz w:val="24"/>
          <w:szCs w:val="24"/>
          <w:lang w:val="en-US"/>
        </w:rPr>
        <w:t>s relevant tax recommendations.</w:t>
      </w:r>
    </w:p>
    <w:p w14:paraId="50EA0803" w14:textId="77777777" w:rsidR="00173C65" w:rsidRPr="00AD6080" w:rsidRDefault="00173C65" w:rsidP="00173C65">
      <w:pPr>
        <w:spacing w:after="0" w:line="240" w:lineRule="auto"/>
        <w:ind w:firstLine="709"/>
        <w:jc w:val="both"/>
        <w:rPr>
          <w:rFonts w:ascii="Times New Roman" w:hAnsi="Times New Roman" w:cs="Times New Roman"/>
          <w:i/>
          <w:sz w:val="24"/>
          <w:szCs w:val="24"/>
          <w:lang w:val="en-US"/>
        </w:rPr>
      </w:pPr>
      <w:r w:rsidRPr="00AD6080">
        <w:rPr>
          <w:rFonts w:ascii="Times New Roman" w:hAnsi="Times New Roman" w:cs="Times New Roman"/>
          <w:b/>
          <w:i/>
          <w:sz w:val="24"/>
          <w:szCs w:val="24"/>
          <w:lang w:val="en-US"/>
        </w:rPr>
        <w:t>Keywords</w:t>
      </w:r>
      <w:r w:rsidRPr="00AD6080">
        <w:rPr>
          <w:rFonts w:ascii="Times New Roman" w:hAnsi="Times New Roman" w:cs="Times New Roman"/>
          <w:i/>
          <w:sz w:val="24"/>
          <w:szCs w:val="24"/>
          <w:lang w:val="en-US"/>
        </w:rPr>
        <w:t>: security, entrepreneur, economy, taxes, regimes, risks.</w:t>
      </w:r>
    </w:p>
    <w:p w14:paraId="42EF2083" w14:textId="77777777" w:rsidR="00173C65" w:rsidRPr="00AD6080" w:rsidRDefault="00173C65" w:rsidP="00173C65">
      <w:pPr>
        <w:spacing w:after="0" w:line="240" w:lineRule="auto"/>
        <w:ind w:firstLine="709"/>
        <w:jc w:val="both"/>
        <w:rPr>
          <w:rFonts w:ascii="Times New Roman" w:hAnsi="Times New Roman" w:cs="Times New Roman"/>
          <w:sz w:val="24"/>
          <w:szCs w:val="24"/>
          <w:lang w:val="en-US"/>
        </w:rPr>
      </w:pPr>
    </w:p>
    <w:p w14:paraId="6CFE57AB"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Сложность и изменчивость социальной и экономической ситуации требует различных мероприятий по обеспечению экономической безопасности малого бизнеса. В современных условиях процесс успешного функционирования и экономического развития российских предприятий во многом зависит от совершенствования их деятельности в области обеспечения экономической безопасности.</w:t>
      </w:r>
    </w:p>
    <w:p w14:paraId="2AF72700"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Актуальность статьи заключается в том, что для эффективной работы предприятия необходимо правильно выявлять и оценивать налоговые риски, так как управление налоговыми рисками является ключевым элементом в управлении финансами компании. Правильность выбора налогового режима во многом обеспечивает экономическую успешность развития предприятия и ведения бизнеса.</w:t>
      </w:r>
    </w:p>
    <w:p w14:paraId="7891D525"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Целью работы является исследование критериев, составляющих налоговую безопасность малых предприятий.</w:t>
      </w:r>
    </w:p>
    <w:p w14:paraId="3D8655D5"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В соответствии с поставленной целью были сформулированы и определены следующие задачи:</w:t>
      </w:r>
    </w:p>
    <w:p w14:paraId="46D8FACA" w14:textId="77777777" w:rsidR="00173C65" w:rsidRPr="00AD6080" w:rsidRDefault="00173C65" w:rsidP="00173C65">
      <w:pPr>
        <w:spacing w:after="0" w:line="240" w:lineRule="auto"/>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1.</w:t>
      </w:r>
      <w:r w:rsidRPr="00AD6080">
        <w:rPr>
          <w:rFonts w:ascii="Times New Roman" w:hAnsi="Times New Roman" w:cs="Times New Roman"/>
          <w:color w:val="000000" w:themeColor="text1"/>
          <w:sz w:val="24"/>
          <w:szCs w:val="24"/>
        </w:rPr>
        <w:tab/>
        <w:t>Сформулировать определение экономической безопасности малых предприятий.</w:t>
      </w:r>
    </w:p>
    <w:p w14:paraId="6AA7DAB8" w14:textId="77777777" w:rsidR="00173C65" w:rsidRPr="00AD6080" w:rsidRDefault="00173C65" w:rsidP="00173C65">
      <w:pPr>
        <w:spacing w:after="0" w:line="240" w:lineRule="auto"/>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2.</w:t>
      </w:r>
      <w:r w:rsidRPr="00AD6080">
        <w:rPr>
          <w:rFonts w:ascii="Times New Roman" w:hAnsi="Times New Roman" w:cs="Times New Roman"/>
          <w:color w:val="000000" w:themeColor="text1"/>
          <w:sz w:val="24"/>
          <w:szCs w:val="24"/>
        </w:rPr>
        <w:tab/>
        <w:t>Дать характеристику налоговых рисков.</w:t>
      </w:r>
    </w:p>
    <w:p w14:paraId="7130A277" w14:textId="77777777" w:rsidR="00173C65" w:rsidRPr="00AD6080" w:rsidRDefault="00173C65" w:rsidP="00173C65">
      <w:pPr>
        <w:spacing w:after="0" w:line="240" w:lineRule="auto"/>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3.</w:t>
      </w:r>
      <w:r w:rsidRPr="00AD6080">
        <w:rPr>
          <w:rFonts w:ascii="Times New Roman" w:hAnsi="Times New Roman" w:cs="Times New Roman"/>
          <w:color w:val="000000" w:themeColor="text1"/>
          <w:sz w:val="24"/>
          <w:szCs w:val="24"/>
        </w:rPr>
        <w:tab/>
        <w:t>Разработать правила для повышения уровня налоговой безопасности.</w:t>
      </w:r>
    </w:p>
    <w:p w14:paraId="5CC85F49"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lastRenderedPageBreak/>
        <w:t>В современной литературе существуют различные трактовки понятия экономической безопасности. Вопросами по данной проблематике занимались Л.И. Абалкин, А.М. Асалиев, В.С. Балабанов, Е.Н. Борисенко.</w:t>
      </w:r>
    </w:p>
    <w:p w14:paraId="5769860C"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 xml:space="preserve">В связи с часто меняющимся законодательством, статья является актуальной, так как она писалась на основании актуальной нормативной документации, основывается на статистических данных до 2018 года. В статье учтены последние изменения в налоговом законодательстве. Использованы научные статьи и современные разработки кафедры экономики ВГУЭС. </w:t>
      </w:r>
    </w:p>
    <w:p w14:paraId="4AE4A83D"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В системе государственной поддержки малого предпринимательства важное место занимает система налогообложения. В данный момент огромный сектор экономики, относящийся к так называемому «малому бизнесу» является важной и неотъемлемой составляющей рыночной экономики. В последние годы все больше внимания уделяется исследованиям экономической безопасности крупных фирм, в то же время малый бизнес остается «за бортом». Хотя малое предпринимательство способствует увеличению налогооблагаемой базы для бюджетов разных уровней, способствует снижению безработицы, пополнению рынка товарами и услугами.</w:t>
      </w:r>
    </w:p>
    <w:p w14:paraId="5D9F1A7C"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По данным Федеральной службы государственной статистики, по состоянию на 1 января 2017 года в России действовало 2 770 562 малых и микро предприятий, оборот составлял 38 877 026 921 рублей и численность работников да данную дату, составляла более 11 миллионов человек [4]. Данные показатели говорят о высокой роли данного сектора экономики.</w:t>
      </w:r>
    </w:p>
    <w:p w14:paraId="5E82F7FE"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Однако если взять данные за предыдущие года и сравнить с показателями 2017 года, то прослеживается негативная тенденция спада количества малых и микро предприятий, а это в свою очередь говорит о снижении численности человек занятых в малом бизнесе. Из года в год благополучие людей снижается, количество безработных растет. Поэтому количественный спад малых и микро предприятий становится социальной, политической и экономической проблемой, которая должна уже решаться на государственном уровне. Субъекты малого бизнеса являются наиболее уязвимым к изменениям в экономике, и подвержены влиянию налогового бремени. Таким образом, для становления, формирования и развития малых и микро предприятий в Российской Федерации актуальное значение имеет также выбор направлений государственного регулирования и поддержки.</w:t>
      </w:r>
    </w:p>
    <w:p w14:paraId="3CDF8E8A"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Понятие экономической безопасности малого предприятия тесно связано с понятием экономических рисков. Выявив основные экономические риски малого предприятия можно разработать меры по их снижению и предотвращению, обеспечив экономическую безопасность.</w:t>
      </w:r>
    </w:p>
    <w:p w14:paraId="062F16A2"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Каждый вид экономических рисков весьма важен и может привести к провалу малого предприятия или потери бизнеса для индивидуального предпринимателя. Впрочем, по масштабу, охвату и степени критичности риски разнятся. В основе налоговой безопасности лежит оценка налогового риска.</w:t>
      </w:r>
    </w:p>
    <w:p w14:paraId="7069E170"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 xml:space="preserve">Налоговый риск представляет собой вероятность возникновения потенциальной угрозы для налогоплательщика понести финансовые потери или недополучить доходы из-за неуплаты налогов, несоблюдения законодательных актов, совершения налоговых правонарушений. </w:t>
      </w:r>
    </w:p>
    <w:p w14:paraId="7758318B"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К налоговым рискам по общепринятой классификации можно отнести отдельные виды финансовых рисков, которые являются элементами финансовой и хозяйственной деятельности предприятия. В этом случае, если организация занимается каким-либо видом деятельности, всегда присутствует риск, сопровождающий ее текущую деятельность [1, с. 118]. В учебных и нормативных источниках встречается определение налогового риска. Это объективная возможность для налогоплательщика нести финансовые потери, связанные с процедурой исчисления, уплаты и оптимизации налогов и прочих неналоговых платежей.</w:t>
      </w:r>
    </w:p>
    <w:p w14:paraId="402A070D"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Налоговые риски можно разделить на несколько видов [1, с. 120]:</w:t>
      </w:r>
    </w:p>
    <w:p w14:paraId="46F606AC" w14:textId="77777777" w:rsidR="00173C65" w:rsidRPr="00AD6080" w:rsidRDefault="00173C65" w:rsidP="00202D58">
      <w:pPr>
        <w:pStyle w:val="a7"/>
        <w:numPr>
          <w:ilvl w:val="0"/>
          <w:numId w:val="17"/>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риски налогового контроля;</w:t>
      </w:r>
    </w:p>
    <w:p w14:paraId="5E4A53EC" w14:textId="77777777" w:rsidR="00173C65" w:rsidRPr="00AD6080" w:rsidRDefault="00173C65" w:rsidP="00202D58">
      <w:pPr>
        <w:pStyle w:val="a7"/>
        <w:numPr>
          <w:ilvl w:val="0"/>
          <w:numId w:val="17"/>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lastRenderedPageBreak/>
        <w:t>риски усиления налогового бремени;</w:t>
      </w:r>
    </w:p>
    <w:p w14:paraId="74F9997F" w14:textId="77777777" w:rsidR="00173C65" w:rsidRPr="00AD6080" w:rsidRDefault="00173C65" w:rsidP="00202D58">
      <w:pPr>
        <w:pStyle w:val="a7"/>
        <w:numPr>
          <w:ilvl w:val="0"/>
          <w:numId w:val="17"/>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риски уголовного преследования.</w:t>
      </w:r>
    </w:p>
    <w:p w14:paraId="3117B3F2" w14:textId="77777777" w:rsidR="00173C65" w:rsidRPr="00AD6080" w:rsidRDefault="00173C65" w:rsidP="00173C65">
      <w:pPr>
        <w:pStyle w:val="a7"/>
        <w:ind w:left="0" w:firstLine="709"/>
        <w:jc w:val="both"/>
        <w:rPr>
          <w:rFonts w:ascii="Times New Roman" w:hAnsi="Times New Roman" w:cs="Times New Roman"/>
          <w:color w:val="000000" w:themeColor="text1"/>
        </w:rPr>
      </w:pPr>
      <w:r w:rsidRPr="00AD6080">
        <w:rPr>
          <w:rFonts w:ascii="Times New Roman" w:hAnsi="Times New Roman" w:cs="Times New Roman"/>
          <w:color w:val="000000" w:themeColor="text1"/>
        </w:rPr>
        <w:t>Также налоговые риски можно разбить на внутренние (к ним можно отнести ошибки выбора системы налогообложения, несвоевременность предоставления налоговой отчетности и уплаты налогов) и внешние (введение санкций, отменой налоговых льгот, изменение и ужесточение проведения налоговых проверок).</w:t>
      </w:r>
    </w:p>
    <w:p w14:paraId="52222E02"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В экономической литературе выделяют несколько основных областей налогового риска организаций:</w:t>
      </w:r>
    </w:p>
    <w:p w14:paraId="5F0F87EF" w14:textId="77777777" w:rsidR="00173C65" w:rsidRPr="00AD6080" w:rsidRDefault="00173C65" w:rsidP="00202D58">
      <w:pPr>
        <w:pStyle w:val="a7"/>
        <w:numPr>
          <w:ilvl w:val="0"/>
          <w:numId w:val="18"/>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область без риска;</w:t>
      </w:r>
    </w:p>
    <w:p w14:paraId="09A013E4" w14:textId="77777777" w:rsidR="00173C65" w:rsidRPr="00AD6080" w:rsidRDefault="00173C65" w:rsidP="00202D58">
      <w:pPr>
        <w:pStyle w:val="a7"/>
        <w:numPr>
          <w:ilvl w:val="0"/>
          <w:numId w:val="18"/>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область с минимальным риском;</w:t>
      </w:r>
    </w:p>
    <w:p w14:paraId="2FE83945" w14:textId="77777777" w:rsidR="00173C65" w:rsidRPr="00AD6080" w:rsidRDefault="00173C65" w:rsidP="00202D58">
      <w:pPr>
        <w:pStyle w:val="a7"/>
        <w:numPr>
          <w:ilvl w:val="0"/>
          <w:numId w:val="18"/>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область с повышенным риском;</w:t>
      </w:r>
    </w:p>
    <w:p w14:paraId="728E8314" w14:textId="77777777" w:rsidR="00173C65" w:rsidRPr="00AD6080" w:rsidRDefault="00173C65" w:rsidP="00202D58">
      <w:pPr>
        <w:pStyle w:val="a7"/>
        <w:numPr>
          <w:ilvl w:val="0"/>
          <w:numId w:val="18"/>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область с критическим риском;</w:t>
      </w:r>
    </w:p>
    <w:p w14:paraId="3EAFB6DE" w14:textId="77777777" w:rsidR="00173C65" w:rsidRPr="00AD6080" w:rsidRDefault="00173C65" w:rsidP="00202D58">
      <w:pPr>
        <w:pStyle w:val="a7"/>
        <w:numPr>
          <w:ilvl w:val="0"/>
          <w:numId w:val="18"/>
        </w:numPr>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область недопустимого риска.</w:t>
      </w:r>
    </w:p>
    <w:p w14:paraId="70BDC633"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Таким образом, финансовая устойчивость малого предприятия зависит от величины налоговых обязательств и существенности налоговых рисков. В связи с чем, возникает необходимость проведения комплексной диагностики налоговой безопасности.</w:t>
      </w:r>
    </w:p>
    <w:p w14:paraId="24121A2D"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Так с 1 января 2013 года компании на УСНО обязали вести бухгалтерский учет на общих основаниях. Льгота, закрепленная в п. 3 ст. 4 действующего Федерального закона «О бухгалтерском учете» (от 21.11.1996 № 129-ФЗ), новым одноименным законом (от 06.12.2011 № 402-ФЗ) не предусмотрена [5]. Малые предприятия оказались перед необходимостью вести полноценный бухгалтерский учет (вместо практиковавшихся на них ранее упрощенных схем). Одновременно повышение ставок страховых взносов по обязательному социальному страхованию для индивидуальных предпринимателей (ИП) в 2013 г. привело к повальному закрытию предприятий малого бизнеса. С 1 января 2013 г. размер отчислений в страховые фонды для индивидуальных предпринимателей увеличился с 13 до 32 тыс. руб. В результате за январь и февраль 2013 г., по различным данным, ликвидировали свой бизнес от 140 до 200 тыс. индивидуальных предпринимателей страны, и этот процесс продолжается [4]. Таким образом, вместо планировавшегося повышения поступлений в Пенсионный фонд произошло снижение налогооблагаемой базы. Именно для малых и микро предприятий вопросы экономической безопасности стоят наиболее остро.</w:t>
      </w:r>
    </w:p>
    <w:p w14:paraId="1AC22EB8"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Существует следующее определение налоговой безопасности организации – это финансово экономическое состояние налогоплательщика, обеспеченное минимизацией налоговых рисков, при котором со стороны хозяйствующего субъекта полностью и своевременно уплачиваются начисленные налоги, а со стороны исполнительных и законодательных органов обеспечивается предусмотренная законом защита налогоплательщика. Это способствует росту чистой прибыли и повышению экономической безопасности российских налогоплательщиков.</w:t>
      </w:r>
    </w:p>
    <w:p w14:paraId="158F5216"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В основе налоговой безопасности организации лежит оценка налоговых рисков и налоговой нагрузки путем использования специальных методов и инструментария по оценке их влияния на экономическую безопасность и эффективность деятельности организации.</w:t>
      </w:r>
    </w:p>
    <w:p w14:paraId="45CE1324"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Одной из важных проблем обеспечения налоговой безопасности малого бизнеса является наличие противоречия между важностью выбора оптимальной системы налогообложения и отсутствием высококвалифицированных кадров [2].</w:t>
      </w:r>
    </w:p>
    <w:p w14:paraId="1E27725E"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В данное время государство проводит мероприятия по повышению комфортности осуществления малым бизнесом хозяйственной деятельности, которые в определенной степени проявляются при применении специальных налоговых режимов. Введение в российскую практику налогообложения малого бизнеса специальных налоговых режимов действительно снизило уровень налоговой нагрузки. Выбор любого из налоговых режимов является добровольным. Применение специального налогового режима освобождает налогоплательщика от уплаты НДС, налога на прибыль, налога на имущество. Применение специальных налоговых режимов позволяет предпринимателям и руководителям компаний серьезно снизить налоговую нагрузку.</w:t>
      </w:r>
    </w:p>
    <w:p w14:paraId="362A6186"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lastRenderedPageBreak/>
        <w:t>Упрощенная система налогообложения (УСН) – все налоги замещаются одним – единым налогом, уплачиваемым в связи с применением УСН. Эта система предусматривает уплату налога по двум ставкам: 6% или 15% в зависимости от выбора объекта налогообложения. Режим налогообложения УСН может применяться как организациями, так и индивидуальными предпринимателями при соблюдении ряда условий [3]. Подходит для небольших организаций и тех ИП, которые не могут применять патентную систему налогообложения. Система налогообложения в виде единого налога на вмененный доход (ЕНВД) - предусматривает уплату единого налога, ставка составляет 15% от вмененного дохода, размер устанавливается Налоговым кодексом РФ на основании физических показателей (торговая площадь, численность сотрудников или количество автомашин и т.п.) и местными органами власти. Данный режим может применяться как организациями, так и ИП по определенным законом видам деятельности. Подходит для небольших организаций и ИП.</w:t>
      </w:r>
    </w:p>
    <w:p w14:paraId="76541EA6"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Патентная система налогообложения – предусматривает уплату налога, ставка составляет 6% от потенциально возможного к получению ИП годового дохода, размер которого устанавливается законом субъекта РФ. Может применяться только индивидуальными предпринимателями. Оптимально для ИП, которые применяют определенные виды деятельности.</w:t>
      </w:r>
    </w:p>
    <w:p w14:paraId="4E4419C0" w14:textId="77777777" w:rsidR="00173C65" w:rsidRPr="00AD6080" w:rsidRDefault="00173C65" w:rsidP="00173C65">
      <w:pPr>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Правильность выбора налогового режима во многом обеспечивает экономическую успешность развития предприятия и ведения бизнеса. Универсального рецепта оптимального варианта налогообложения нет. Выбор оптимального режима налогообложения зависит от специфики, сферы, масштаба и вида деятельности малого предприятия.</w:t>
      </w:r>
    </w:p>
    <w:p w14:paraId="4EE6548E" w14:textId="77777777" w:rsidR="00173C65" w:rsidRPr="00AD6080" w:rsidRDefault="00173C65"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Применение специальных налоговых режимов уже само по себе способствует повышению налоговой безопасности. Так как в большинстве случаев применение специальных налоговых режимов предполагает упрощенную форму учета доходов и расходов, а в некоторых случаях даже этого не требуется, то это сводит налоговый риск к минимуму.</w:t>
      </w:r>
    </w:p>
    <w:p w14:paraId="1BC70D77" w14:textId="77777777" w:rsidR="00173C65" w:rsidRPr="00AD6080" w:rsidRDefault="00173C65"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Но только применения специальных режимов в целях обеспечения налоговой безопасности малого предприятия явно недостаточно. Нужна целая система мер, направленных на повышение налоговой безопасности малого бизнеса.</w:t>
      </w:r>
    </w:p>
    <w:p w14:paraId="1AFD12CF" w14:textId="77777777" w:rsidR="00173C65" w:rsidRPr="00AD6080" w:rsidRDefault="00173C65"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Для повышения уровня налоговой безопасности налогоплательщику малого предприятия необходимо соблюдать следующие правила:</w:t>
      </w:r>
    </w:p>
    <w:p w14:paraId="09A72388"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при возникновении спорного вопроса или сомнения в правильности оформления той или иной операции необходимо прибегать к профессиональной консультации;</w:t>
      </w:r>
    </w:p>
    <w:p w14:paraId="0AC2ED3C"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оптимизировать затраты предприятия с позиции налогового учета;</w:t>
      </w:r>
    </w:p>
    <w:p w14:paraId="74C7C191"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использование всех возможных налоговых льгот;</w:t>
      </w:r>
    </w:p>
    <w:p w14:paraId="242E40B3"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экономия ресурсов за счет построения и применения удобной модели ведения налогового учета;</w:t>
      </w:r>
    </w:p>
    <w:p w14:paraId="5635BAB4"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применение автоматизированной системы налогового учета;</w:t>
      </w:r>
    </w:p>
    <w:p w14:paraId="6C264D48"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просчитывать финансовые последствия каждой операции с учетом финансового риска;</w:t>
      </w:r>
    </w:p>
    <w:p w14:paraId="07C5C717" w14:textId="77777777" w:rsidR="00173C65" w:rsidRPr="00AD6080" w:rsidRDefault="00173C65" w:rsidP="00202D58">
      <w:pPr>
        <w:pStyle w:val="a7"/>
        <w:numPr>
          <w:ilvl w:val="0"/>
          <w:numId w:val="16"/>
        </w:numPr>
        <w:autoSpaceDE w:val="0"/>
        <w:autoSpaceDN w:val="0"/>
        <w:adjustRightInd w:val="0"/>
        <w:ind w:left="709" w:hanging="709"/>
        <w:jc w:val="both"/>
        <w:rPr>
          <w:rFonts w:ascii="Times New Roman" w:hAnsi="Times New Roman" w:cs="Times New Roman"/>
          <w:color w:val="000000" w:themeColor="text1"/>
        </w:rPr>
      </w:pPr>
      <w:r w:rsidRPr="00AD6080">
        <w:rPr>
          <w:rFonts w:ascii="Times New Roman" w:hAnsi="Times New Roman" w:cs="Times New Roman"/>
          <w:color w:val="000000" w:themeColor="text1"/>
        </w:rPr>
        <w:t>осуществление внутреннего налогового аудита.</w:t>
      </w:r>
    </w:p>
    <w:p w14:paraId="3B117C8C" w14:textId="77777777" w:rsidR="00173C65" w:rsidRPr="00AD6080" w:rsidRDefault="00173C65"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Было бы целесообразно и логично создание на государственном или региональном уровнях программы повышения финансовой грамотности для представителей малого бизнеса.</w:t>
      </w:r>
    </w:p>
    <w:p w14:paraId="4601A310" w14:textId="77777777" w:rsidR="00173C65" w:rsidRDefault="00173C65"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rPr>
        <w:t>Данная программа бы во многом обеспечила повышение налоговой и экономической безопасности малого бизнеса, а в конечном итоге способствовала бы не только приостановлению падания, но и росту числа малых предприятий, росту занятости в малом бизнесе и экономическому росту страны в целом.</w:t>
      </w:r>
    </w:p>
    <w:p w14:paraId="7B40C951" w14:textId="77777777" w:rsidR="007E1ABB" w:rsidRDefault="007E1ABB"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4B4D7232" w14:textId="77777777" w:rsidR="007E1ABB" w:rsidRDefault="007E1ABB"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2093CA67" w14:textId="77777777" w:rsidR="007E1ABB" w:rsidRPr="00AD6080" w:rsidRDefault="007E1ABB" w:rsidP="00173C65">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2503B197" w14:textId="77777777" w:rsidR="00173C65" w:rsidRPr="00AD6080" w:rsidRDefault="007014C7" w:rsidP="00173C65">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ru-RU"/>
        </w:rPr>
        <w:lastRenderedPageBreak/>
        <w:pict w14:anchorId="5C0672F5">
          <v:line id="Прямая соединительная линия 2" o:spid="_x0000_s1140" style="position:absolute;left:0;text-align:left;z-index:251664384;visibility:visible;mso-wrap-distance-top:-3e-5mm;mso-wrap-distance-bottom:-3e-5mm;mso-width-relative:margin;mso-height-relative:margin" from=".25pt,10.45pt" to="256.2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" strokecolor="black [3213]">
            <o:lock v:ext="edit" shapetype="f"/>
          </v:line>
        </w:pict>
      </w:r>
    </w:p>
    <w:p w14:paraId="0C7F2F3E" w14:textId="77777777" w:rsidR="00173C65" w:rsidRPr="00AD6080" w:rsidRDefault="007014C7" w:rsidP="00202D58">
      <w:pPr>
        <w:numPr>
          <w:ilvl w:val="0"/>
          <w:numId w:val="15"/>
        </w:numPr>
        <w:spacing w:after="0" w:line="240" w:lineRule="auto"/>
        <w:ind w:left="0" w:firstLine="397"/>
        <w:jc w:val="both"/>
        <w:rPr>
          <w:rFonts w:ascii="Times New Roman" w:eastAsia="Times New Roman" w:hAnsi="Times New Roman" w:cs="Times New Roman"/>
          <w:sz w:val="24"/>
          <w:szCs w:val="24"/>
          <w:lang w:eastAsia="ru-RU"/>
        </w:rPr>
      </w:pPr>
      <w:hyperlink r:id="rId39" w:history="1">
        <w:r w:rsidR="00173C65" w:rsidRPr="00AD6080">
          <w:rPr>
            <w:rFonts w:ascii="Times New Roman" w:eastAsia="Times New Roman" w:hAnsi="Times New Roman" w:cs="Times New Roman"/>
            <w:sz w:val="24"/>
            <w:szCs w:val="24"/>
            <w:lang w:eastAsia="ru-RU"/>
          </w:rPr>
          <w:t>Замула Е.В.</w:t>
        </w:r>
      </w:hyperlink>
      <w:r w:rsidR="00173C65" w:rsidRPr="00AD6080">
        <w:rPr>
          <w:rFonts w:ascii="Times New Roman" w:eastAsia="Times New Roman" w:hAnsi="Times New Roman" w:cs="Times New Roman"/>
          <w:sz w:val="24"/>
          <w:szCs w:val="24"/>
          <w:lang w:eastAsia="ru-RU"/>
        </w:rPr>
        <w:t>, </w:t>
      </w:r>
      <w:hyperlink r:id="rId40" w:history="1">
        <w:r w:rsidR="00173C65" w:rsidRPr="00AD6080">
          <w:rPr>
            <w:rFonts w:ascii="Times New Roman" w:eastAsia="Times New Roman" w:hAnsi="Times New Roman" w:cs="Times New Roman"/>
            <w:sz w:val="24"/>
            <w:szCs w:val="24"/>
            <w:lang w:eastAsia="ru-RU"/>
          </w:rPr>
          <w:t>Кузьмичева И.А.</w:t>
        </w:r>
      </w:hyperlink>
      <w:r w:rsidR="00173C65" w:rsidRPr="00AD6080">
        <w:rPr>
          <w:rFonts w:ascii="Times New Roman" w:eastAsia="Times New Roman" w:hAnsi="Times New Roman" w:cs="Times New Roman"/>
          <w:sz w:val="24"/>
          <w:szCs w:val="24"/>
          <w:lang w:eastAsia="ru-RU"/>
        </w:rPr>
        <w:t xml:space="preserve"> Налоговые риски предприятия и пути их минимизации // </w:t>
      </w:r>
      <w:hyperlink r:id="rId41" w:tooltip="Международный журнал прикладных и фундаментальных исследований" w:history="1">
        <w:r w:rsidR="00173C65" w:rsidRPr="00AD6080">
          <w:rPr>
            <w:rFonts w:ascii="Times New Roman" w:eastAsia="Times New Roman" w:hAnsi="Times New Roman" w:cs="Times New Roman"/>
            <w:sz w:val="24"/>
            <w:szCs w:val="24"/>
            <w:lang w:eastAsia="ru-RU"/>
          </w:rPr>
          <w:t>Международный журнал прикладных и фундаментальных исследований</w:t>
        </w:r>
      </w:hyperlink>
      <w:r w:rsidR="00173C65" w:rsidRPr="00AD6080">
        <w:rPr>
          <w:rFonts w:ascii="Times New Roman" w:eastAsia="Times New Roman" w:hAnsi="Times New Roman" w:cs="Times New Roman"/>
          <w:sz w:val="24"/>
          <w:szCs w:val="24"/>
          <w:lang w:eastAsia="ru-RU"/>
        </w:rPr>
        <w:t>. – 2014. – № 8 – С. 118 – 122.</w:t>
      </w:r>
    </w:p>
    <w:p w14:paraId="05F20CF9" w14:textId="77777777" w:rsidR="00173C65" w:rsidRPr="00AD6080" w:rsidRDefault="00173C65" w:rsidP="00202D58">
      <w:pPr>
        <w:numPr>
          <w:ilvl w:val="0"/>
          <w:numId w:val="15"/>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Зеленцова А.В., Блискавка Е.А., Демидов Д.Н. Повышение финансовой грамотности населения: международный опыт и российская практика // М.: Кнорус. 2013</w:t>
      </w:r>
    </w:p>
    <w:p w14:paraId="6234DAB0" w14:textId="77777777" w:rsidR="00173C65" w:rsidRPr="00AD6080" w:rsidRDefault="00173C65" w:rsidP="00202D58">
      <w:pPr>
        <w:numPr>
          <w:ilvl w:val="0"/>
          <w:numId w:val="15"/>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 xml:space="preserve"> Налоговый кодекс Российской Федерации (часть вторая) от 05.08.2000 N 117-ФЗ (ред. от 23.04.2018) (01.05.2018) [Электронный ресурс] // СПС «КонсультантПлюс». – Режим доступа: http://www.consultant.ru/document/cons_doc_LAW_28165/d29da7b903e5cc351ee08a2f10414ccee3c12bad/</w:t>
      </w:r>
    </w:p>
    <w:p w14:paraId="082B4AD2" w14:textId="77777777" w:rsidR="00173C65" w:rsidRPr="00AD6080" w:rsidRDefault="00173C65" w:rsidP="00202D58">
      <w:pPr>
        <w:numPr>
          <w:ilvl w:val="0"/>
          <w:numId w:val="15"/>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Справочники Федеральной службы государственной статистики (Росстата) [Электронный ресурс]. – Режим доступа: http://www.gks.ru/free_doc/new_site/business/inst-preob/tab-mal_pr_m.htm</w:t>
      </w:r>
    </w:p>
    <w:p w14:paraId="3EC68675" w14:textId="77777777" w:rsidR="00173C65" w:rsidRPr="00AD6080" w:rsidRDefault="00173C65" w:rsidP="00202D58">
      <w:pPr>
        <w:numPr>
          <w:ilvl w:val="0"/>
          <w:numId w:val="15"/>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 xml:space="preserve">Официальный сайт Федеральной налоговой службы РФ [Электронный ресурс]. – Режим доступа: </w:t>
      </w:r>
      <w:hyperlink r:id="rId42" w:history="1">
        <w:r w:rsidRPr="00AD6080">
          <w:rPr>
            <w:rFonts w:ascii="Times New Roman" w:eastAsia="Times New Roman" w:hAnsi="Times New Roman" w:cs="Times New Roman"/>
            <w:sz w:val="24"/>
            <w:szCs w:val="24"/>
            <w:lang w:eastAsia="ru-RU"/>
          </w:rPr>
          <w:t>https://www.nalog.ru/rn77/about_fts/docs/3997100/</w:t>
        </w:r>
      </w:hyperlink>
    </w:p>
    <w:p w14:paraId="38288749" w14:textId="77777777" w:rsidR="00173C65" w:rsidRDefault="00173C65" w:rsidP="00173C65">
      <w:pPr>
        <w:rPr>
          <w:rFonts w:ascii="Times New Roman" w:hAnsi="Times New Roman"/>
          <w:b/>
          <w:sz w:val="20"/>
          <w:szCs w:val="24"/>
        </w:rPr>
      </w:pPr>
    </w:p>
    <w:p w14:paraId="7D75F9F9" w14:textId="77777777" w:rsidR="00212D0F" w:rsidRPr="007E1ABB" w:rsidRDefault="007E1ABB" w:rsidP="007E1ABB">
      <w:pPr>
        <w:pStyle w:val="Default"/>
        <w:spacing w:after="240"/>
        <w:jc w:val="both"/>
        <w:rPr>
          <w:b/>
        </w:rPr>
      </w:pPr>
      <w:r w:rsidRPr="007E1ABB">
        <w:rPr>
          <w:b/>
        </w:rPr>
        <w:t xml:space="preserve">Рубрика: </w:t>
      </w:r>
      <w:r w:rsidR="00212D0F" w:rsidRPr="007E1ABB">
        <w:rPr>
          <w:b/>
        </w:rPr>
        <w:t xml:space="preserve">Учёт, анализ, аудит и статистика: исследование тенденций и проблем совершенствования </w:t>
      </w:r>
    </w:p>
    <w:p w14:paraId="37D4227D" w14:textId="77777777" w:rsidR="00212D0F" w:rsidRPr="00AD6080" w:rsidRDefault="007E1ABB" w:rsidP="007E1ABB">
      <w:pPr>
        <w:pStyle w:val="Default"/>
        <w:spacing w:after="240"/>
        <w:jc w:val="both"/>
      </w:pPr>
      <w:r>
        <w:t xml:space="preserve">УДК 657.6 </w:t>
      </w:r>
    </w:p>
    <w:p w14:paraId="67157A59" w14:textId="77777777" w:rsidR="00212D0F" w:rsidRPr="00AD6080" w:rsidRDefault="007E1ABB" w:rsidP="00212D0F">
      <w:pPr>
        <w:pStyle w:val="Default"/>
        <w:jc w:val="center"/>
        <w:rPr>
          <w:b/>
        </w:rPr>
      </w:pPr>
      <w:r w:rsidRPr="00AD6080">
        <w:rPr>
          <w:b/>
        </w:rPr>
        <w:t>РОЛЬ АУДИТА В ПРОВЕРКЕ ФИНАНСОВОЙ ОТЧЕТНОСТИ ПРЕДПРИЯТИЯ</w:t>
      </w:r>
    </w:p>
    <w:p w14:paraId="20BD9A1A" w14:textId="77777777" w:rsidR="00212D0F" w:rsidRPr="00AD6080" w:rsidRDefault="00212D0F" w:rsidP="00212D0F">
      <w:pPr>
        <w:pStyle w:val="Default"/>
        <w:jc w:val="center"/>
      </w:pPr>
    </w:p>
    <w:p w14:paraId="6824A5A4" w14:textId="77777777" w:rsidR="00212D0F" w:rsidRPr="007E1ABB" w:rsidRDefault="007E1ABB" w:rsidP="00212D0F">
      <w:pPr>
        <w:pStyle w:val="Default"/>
        <w:jc w:val="center"/>
        <w:rPr>
          <w:b/>
        </w:rPr>
      </w:pPr>
      <w:r w:rsidRPr="007E1ABB">
        <w:rPr>
          <w:b/>
        </w:rPr>
        <w:t>Коваль Наталья Владимировна</w:t>
      </w:r>
    </w:p>
    <w:p w14:paraId="4A114638" w14:textId="77777777" w:rsidR="00212D0F" w:rsidRPr="00AD6080" w:rsidRDefault="00212D0F" w:rsidP="00212D0F">
      <w:pPr>
        <w:pStyle w:val="Default"/>
        <w:jc w:val="center"/>
      </w:pPr>
      <w:r w:rsidRPr="00AD6080">
        <w:t>магистрант</w:t>
      </w:r>
    </w:p>
    <w:p w14:paraId="0C136CF1" w14:textId="77777777" w:rsidR="007E1ABB" w:rsidRDefault="007E1ABB" w:rsidP="00212D0F">
      <w:pPr>
        <w:pStyle w:val="Default"/>
        <w:jc w:val="center"/>
        <w:rPr>
          <w:i/>
          <w:iCs/>
        </w:rPr>
      </w:pPr>
    </w:p>
    <w:p w14:paraId="148A0B26" w14:textId="77777777" w:rsidR="00212D0F" w:rsidRPr="00AD6080" w:rsidRDefault="00212D0F" w:rsidP="00212D0F">
      <w:pPr>
        <w:pStyle w:val="Default"/>
        <w:jc w:val="center"/>
      </w:pPr>
      <w:r w:rsidRPr="00AD6080">
        <w:rPr>
          <w:i/>
          <w:iCs/>
        </w:rPr>
        <w:t>Владивостокский государственный университет экономики и сервиса</w:t>
      </w:r>
    </w:p>
    <w:p w14:paraId="0557CAB0" w14:textId="77777777" w:rsidR="00212D0F" w:rsidRPr="00AD6080" w:rsidRDefault="00212D0F" w:rsidP="00212D0F">
      <w:pPr>
        <w:pStyle w:val="Default"/>
        <w:jc w:val="center"/>
      </w:pPr>
      <w:r w:rsidRPr="00AD6080">
        <w:rPr>
          <w:i/>
          <w:iCs/>
        </w:rPr>
        <w:t>Россия. Владивосток</w:t>
      </w:r>
    </w:p>
    <w:p w14:paraId="3760105D" w14:textId="77777777" w:rsidR="00212D0F" w:rsidRPr="007E1000" w:rsidRDefault="00212D0F" w:rsidP="00212D0F">
      <w:pPr>
        <w:pStyle w:val="Default"/>
        <w:jc w:val="center"/>
      </w:pPr>
      <w:r w:rsidRPr="00AD6080">
        <w:rPr>
          <w:lang w:val="en-US"/>
        </w:rPr>
        <w:t>E</w:t>
      </w:r>
      <w:r w:rsidRPr="007E1000">
        <w:t>-</w:t>
      </w:r>
      <w:r w:rsidRPr="00AD6080">
        <w:rPr>
          <w:lang w:val="en-US"/>
        </w:rPr>
        <w:t>mail</w:t>
      </w:r>
      <w:r w:rsidRPr="007E1000">
        <w:t xml:space="preserve">: </w:t>
      </w:r>
      <w:r w:rsidRPr="00AD6080">
        <w:rPr>
          <w:lang w:val="en-US"/>
        </w:rPr>
        <w:t>snvknv</w:t>
      </w:r>
      <w:r w:rsidRPr="007E1000">
        <w:t>@</w:t>
      </w:r>
      <w:r w:rsidRPr="00AD6080">
        <w:rPr>
          <w:lang w:val="en-US"/>
        </w:rPr>
        <w:t>mail</w:t>
      </w:r>
      <w:r w:rsidRPr="007E1000">
        <w:t>.</w:t>
      </w:r>
      <w:r w:rsidRPr="00AD6080">
        <w:rPr>
          <w:lang w:val="en-US"/>
        </w:rPr>
        <w:t>ru</w:t>
      </w:r>
      <w:r w:rsidRPr="007E1000">
        <w:t xml:space="preserve">; </w:t>
      </w:r>
      <w:r w:rsidRPr="00AD6080">
        <w:t>тел</w:t>
      </w:r>
      <w:r w:rsidRPr="007E1000">
        <w:t>.: +79644344424</w:t>
      </w:r>
    </w:p>
    <w:p w14:paraId="1531B8C8" w14:textId="77777777" w:rsidR="00212D0F" w:rsidRPr="00AD6080" w:rsidRDefault="00212D0F" w:rsidP="00212D0F">
      <w:pPr>
        <w:pStyle w:val="Default"/>
        <w:jc w:val="center"/>
      </w:pPr>
      <w:r w:rsidRPr="00AD6080">
        <w:t>ул. Гоголя, 41, г. Владивосток, Приморский край, Россия, 690014</w:t>
      </w:r>
    </w:p>
    <w:p w14:paraId="0A392C6A" w14:textId="77777777" w:rsidR="00212D0F" w:rsidRPr="00AD6080" w:rsidRDefault="00212D0F" w:rsidP="00212D0F">
      <w:pPr>
        <w:pStyle w:val="Default"/>
        <w:jc w:val="center"/>
      </w:pPr>
    </w:p>
    <w:p w14:paraId="7FF32EEA" w14:textId="77777777" w:rsidR="00212D0F" w:rsidRPr="00AD6080" w:rsidRDefault="00212D0F" w:rsidP="00212D0F">
      <w:pPr>
        <w:pStyle w:val="Default"/>
        <w:spacing w:line="240" w:lineRule="atLeast"/>
        <w:ind w:firstLine="708"/>
        <w:jc w:val="both"/>
        <w:rPr>
          <w:i/>
          <w:color w:val="auto"/>
          <w:lang w:eastAsia="ru-RU"/>
        </w:rPr>
      </w:pPr>
      <w:r w:rsidRPr="00AD6080">
        <w:rPr>
          <w:i/>
          <w:lang w:eastAsia="ru-RU"/>
        </w:rPr>
        <w:t xml:space="preserve">Анотация. Актуальность вопроса обусловлена тем, что для принятия экономических решений инвесторы, кредиторы, а также другие заинтересованные лица изучают различные источники информации о деятельности субъекта хозяйствования. Одним из основных источников такой информации служит бухгалтерская (финансовая) отчетность, составляемая на предприятии.  </w:t>
      </w:r>
      <w:r w:rsidRPr="00AD6080">
        <w:rPr>
          <w:i/>
          <w:color w:val="auto"/>
          <w:lang w:eastAsia="ru-RU"/>
        </w:rPr>
        <w:t>Аудит, являясь методом осуществления независимого финансового контроля, выполняет роль консультанта, помощника, специалистам, занимающимся обработкой и использованием финансовой информации. Новизна представленного материала непосредственно обусловлена  введением  в действие международных стандартов аудита (МСА) с 1 января 2017 г. на территории Российской Федерации.</w:t>
      </w:r>
    </w:p>
    <w:p w14:paraId="6890D47E" w14:textId="77777777" w:rsidR="00212D0F" w:rsidRPr="00AD6080" w:rsidRDefault="00212D0F" w:rsidP="00212D0F">
      <w:pPr>
        <w:pStyle w:val="Default"/>
        <w:spacing w:line="240" w:lineRule="atLeast"/>
        <w:ind w:firstLine="708"/>
        <w:jc w:val="both"/>
      </w:pPr>
      <w:r w:rsidRPr="00AD6080">
        <w:rPr>
          <w:b/>
          <w:bCs/>
          <w:i/>
          <w:iCs/>
        </w:rPr>
        <w:t>Ключевые слова и словосочетания</w:t>
      </w:r>
      <w:r w:rsidRPr="00AD6080">
        <w:rPr>
          <w:i/>
          <w:iCs/>
        </w:rPr>
        <w:t>: аудит, аудитор,  бухгалтерский учет, аудиторское заключение, достоверность бухгалтерской отчетности.</w:t>
      </w:r>
    </w:p>
    <w:p w14:paraId="290583F9" w14:textId="77777777" w:rsidR="00212D0F" w:rsidRPr="00AD6080" w:rsidRDefault="00212D0F" w:rsidP="00212D0F">
      <w:pPr>
        <w:spacing w:after="0" w:line="240" w:lineRule="atLeast"/>
        <w:ind w:firstLine="709"/>
        <w:jc w:val="both"/>
        <w:rPr>
          <w:rStyle w:val="shorttext"/>
          <w:i/>
          <w:sz w:val="24"/>
          <w:szCs w:val="24"/>
        </w:rPr>
      </w:pPr>
    </w:p>
    <w:p w14:paraId="4A18FB5B" w14:textId="77777777" w:rsidR="00212D0F" w:rsidRPr="00AD6080" w:rsidRDefault="007E1ABB" w:rsidP="007E1ABB">
      <w:pPr>
        <w:spacing w:after="0" w:line="240" w:lineRule="atLeast"/>
        <w:ind w:firstLine="709"/>
        <w:jc w:val="center"/>
        <w:rPr>
          <w:rFonts w:ascii="Times New Roman" w:hAnsi="Times New Roman"/>
          <w:b/>
          <w:sz w:val="24"/>
          <w:szCs w:val="24"/>
          <w:lang w:val="en-US"/>
        </w:rPr>
      </w:pPr>
      <w:r w:rsidRPr="00AD6080">
        <w:rPr>
          <w:rFonts w:ascii="Times New Roman" w:hAnsi="Times New Roman"/>
          <w:b/>
          <w:sz w:val="24"/>
          <w:szCs w:val="24"/>
          <w:lang w:val="en-US"/>
        </w:rPr>
        <w:t>THE ROLE OF THE AUDIT IN VERIFYING THE FINANCIAL STATEMENTS OF AN ENTERPRISE</w:t>
      </w:r>
    </w:p>
    <w:p w14:paraId="68F21D90" w14:textId="77777777" w:rsidR="00212D0F" w:rsidRPr="00AD6080" w:rsidRDefault="00212D0F" w:rsidP="00212D0F">
      <w:pPr>
        <w:spacing w:after="0" w:line="240" w:lineRule="atLeast"/>
        <w:ind w:firstLine="709"/>
        <w:jc w:val="both"/>
        <w:rPr>
          <w:rStyle w:val="shorttext"/>
          <w:i/>
          <w:sz w:val="24"/>
          <w:szCs w:val="24"/>
          <w:lang w:val="en-US"/>
        </w:rPr>
      </w:pPr>
    </w:p>
    <w:p w14:paraId="255FD3BC" w14:textId="77777777" w:rsidR="00212D0F" w:rsidRPr="00AD6080" w:rsidRDefault="00212D0F" w:rsidP="00212D0F">
      <w:pPr>
        <w:spacing w:after="0" w:line="240" w:lineRule="atLeast"/>
        <w:ind w:firstLine="709"/>
        <w:jc w:val="both"/>
        <w:rPr>
          <w:i/>
          <w:sz w:val="24"/>
          <w:szCs w:val="24"/>
          <w:lang w:val="en-US"/>
        </w:rPr>
      </w:pPr>
      <w:r w:rsidRPr="00AD6080">
        <w:rPr>
          <w:rStyle w:val="shorttext"/>
          <w:i/>
          <w:sz w:val="24"/>
          <w:szCs w:val="24"/>
          <w:lang w:val="en-US"/>
        </w:rPr>
        <w:t xml:space="preserve">Annotation. </w:t>
      </w:r>
      <w:r w:rsidRPr="00AD6080">
        <w:rPr>
          <w:i/>
          <w:sz w:val="24"/>
          <w:szCs w:val="24"/>
          <w:lang w:val="en-US"/>
        </w:rPr>
        <w:t xml:space="preserve">The urgency of the issue is due to the fact that investors, creditors, and other interested parties are studying various sources of information on the activities of the business entity for making economic decisions. One of the main sources of such information is the accounting (financial) statements compiled at the enterprise. Audit, being a method of </w:t>
      </w:r>
      <w:r w:rsidRPr="00AD6080">
        <w:rPr>
          <w:i/>
          <w:sz w:val="24"/>
          <w:szCs w:val="24"/>
          <w:lang w:val="en-US"/>
        </w:rPr>
        <w:lastRenderedPageBreak/>
        <w:t>independent financial control, acts as a consultant, assistant, specialists engaged in the processing and use of financial information. The novelty of the presented material is directly conditioned by the introduction of the international audit standards (ISA) from January 1, 2017 on the territory of the Russian Federation.</w:t>
      </w:r>
    </w:p>
    <w:p w14:paraId="552192E5" w14:textId="77777777" w:rsidR="00212D0F" w:rsidRPr="00AD6080" w:rsidRDefault="00212D0F" w:rsidP="00212D0F">
      <w:pPr>
        <w:spacing w:after="0" w:line="240" w:lineRule="atLeast"/>
        <w:ind w:firstLine="709"/>
        <w:jc w:val="both"/>
        <w:rPr>
          <w:i/>
          <w:sz w:val="24"/>
          <w:szCs w:val="24"/>
          <w:lang w:val="en-US"/>
        </w:rPr>
      </w:pPr>
      <w:r w:rsidRPr="00AD6080">
        <w:rPr>
          <w:b/>
          <w:i/>
          <w:sz w:val="24"/>
          <w:szCs w:val="24"/>
          <w:lang w:val="en-US"/>
        </w:rPr>
        <w:t>Key words and word-combinations</w:t>
      </w:r>
      <w:r w:rsidRPr="00AD6080">
        <w:rPr>
          <w:i/>
          <w:sz w:val="24"/>
          <w:szCs w:val="24"/>
          <w:lang w:val="en-US"/>
        </w:rPr>
        <w:t>: audit, auditor, accounting, auditor's report, reliability of financial statements.</w:t>
      </w:r>
    </w:p>
    <w:p w14:paraId="13C326F3" w14:textId="77777777" w:rsidR="00212D0F" w:rsidRPr="00AD6080" w:rsidRDefault="00212D0F" w:rsidP="00AD6080">
      <w:pPr>
        <w:spacing w:after="0" w:line="240" w:lineRule="auto"/>
        <w:ind w:firstLine="709"/>
        <w:jc w:val="both"/>
        <w:rPr>
          <w:rFonts w:ascii="Times New Roman" w:hAnsi="Times New Roman"/>
          <w:i/>
          <w:sz w:val="24"/>
          <w:szCs w:val="24"/>
          <w:lang w:val="en-US" w:eastAsia="ru-RU"/>
        </w:rPr>
      </w:pPr>
    </w:p>
    <w:p w14:paraId="5BB28595" w14:textId="77777777" w:rsidR="00212D0F" w:rsidRPr="00AD6080" w:rsidRDefault="00212D0F" w:rsidP="00AD6080">
      <w:pPr>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Отчетность представляет собой завершающий этап бухгалтерского учета, на котором осуществляется аккумулирование учетной и отчетной информации и формирование её в удобной для пользователей форме. Бухгалтерская отчетность представляется одним из самых значительных источников экономической информации о состоянии и результатах деятельности организации, которая доступна различным ее внешним и внутренним пользователям. Бухгалтерская отчетность является также источником сведений для составления планов и контроля их осуществления для достижения положительного финансового результата и сохранения источника дохода предпринимательской деятельности. Помимо этого, нормативно-регулируемая бухгалтерская отчетность позволяет выполнять важную роль обеспечения единства прочтения законодательных норм всеми участниками коммерческого дела и соблюдения ими установленных принципов формирования и представления форм отчетности в утвержденные сроки [1].</w:t>
      </w:r>
    </w:p>
    <w:p w14:paraId="485F64E1" w14:textId="77777777" w:rsidR="00212D0F" w:rsidRPr="00AD6080" w:rsidRDefault="00212D0F" w:rsidP="00AD6080">
      <w:pPr>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Главной целью финансовых отчетов является обеспечение информацией заинтересованных пользователей относительно финансового положения, деятельности организации и изменениях в экономическом состоянии хозяйствующего субъекта. Внимательное исследование показателей, содержащихся в формах отчетности, позволяет установить положительные тенденции развития организации или вовремя определить отрицательную динамику для выявления причин, устранения негативных тенденций и разработки основных направлений повышения эффективности деятельности хозяйствующего субъекта.</w:t>
      </w:r>
    </w:p>
    <w:p w14:paraId="712B1FC2" w14:textId="77777777" w:rsidR="00212D0F" w:rsidRPr="00AD6080" w:rsidRDefault="00212D0F" w:rsidP="00AD6080">
      <w:pPr>
        <w:pStyle w:val="Default"/>
        <w:ind w:firstLine="708"/>
        <w:jc w:val="both"/>
        <w:rPr>
          <w:color w:val="auto"/>
          <w:lang w:eastAsia="ru-RU"/>
        </w:rPr>
      </w:pPr>
      <w:r w:rsidRPr="00AD6080">
        <w:rPr>
          <w:color w:val="auto"/>
          <w:lang w:eastAsia="ru-RU"/>
        </w:rPr>
        <w:t xml:space="preserve">Информация, представленная в формах финансовой отчетности, должна быть подтверждена относительно её достоверности. </w:t>
      </w:r>
      <w:r w:rsidRPr="00AD6080">
        <w:rPr>
          <w:snapToGrid w:val="0"/>
          <w:color w:val="auto"/>
          <w:lang w:eastAsia="ru-RU"/>
        </w:rPr>
        <w:t xml:space="preserve">Поскольку экономическое положение организации предприятия характеризует совокупность показателей, которые отражают процесс образования и использования его финансовых ресурсов и представлены в бухгалтерской (финансовой) отчетности, то в рыночной экономике оно отражает результаты деятельности предприятия. </w:t>
      </w:r>
      <w:r w:rsidRPr="00AD6080">
        <w:rPr>
          <w:color w:val="auto"/>
          <w:lang w:eastAsia="ru-RU"/>
        </w:rPr>
        <w:t xml:space="preserve">Поэтому аудит составления финансовой отчетности является важной составляющей системы комплексной проверки деятельности предприятия. </w:t>
      </w:r>
      <w:r w:rsidRPr="00AD6080">
        <w:rPr>
          <w:lang w:eastAsia="ru-RU"/>
        </w:rPr>
        <w:t>Аудит проводится или по желанию заказчика, либо по долгу в соответствии с законодательством. Основными пользователями аудиторских услуг являются владельцы бизнеса (акционеры, инвесторы) и руководители предприятий.</w:t>
      </w:r>
    </w:p>
    <w:p w14:paraId="748C29AD" w14:textId="77777777" w:rsidR="00212D0F" w:rsidRPr="00AD6080" w:rsidRDefault="00212D0F" w:rsidP="00AD6080">
      <w:pPr>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В современной экономической реальности российской экономики значение аудита по всем его направлениям и видам не только растет, но и в корне изменяется – аудиторская проверка подтверждает полное соблюдение установленных нормативно законодательных правил, а также оценивает эффективное ведение деятельности и использования ресурсов, в то же время определяет фактическую защиту интересов всех собственников. Аудит является самостоятельным финансовым институтом, встраивающимся в систему как внешнего, так и внутреннего экономического контроля. При этом он может адаптироваться под определенные целевые направления деятельности конкретного хозяйствующего субъекта [2].</w:t>
      </w:r>
    </w:p>
    <w:p w14:paraId="28AC2A1C"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Аудит позволяет субъектам хозяйствования сегментировать информацию не только об их экономическом и имущественном состоянии, но и о достоверности составленных форм финансовой отчетности, которая подтверждается независимыми аудиторами. Такая постановка  может способствовать своевременному установлению рисков и дает возможность руководителям хозяйствующих субъектов принимать эффективные и своевременные управленческие решения относительно снижения негативных тенденций. По результатам проверки такой отчетности акционеры и собственники аудируемого лица </w:t>
      </w:r>
      <w:r w:rsidRPr="00AD6080">
        <w:rPr>
          <w:rFonts w:ascii="Times New Roman" w:hAnsi="Times New Roman"/>
          <w:sz w:val="24"/>
          <w:szCs w:val="24"/>
          <w:lang w:eastAsia="ru-RU"/>
        </w:rPr>
        <w:lastRenderedPageBreak/>
        <w:t>сформируют мнение о размере финансовых результатах, и могут определить сумму прибыли, направляемую на выплаты дивидендов за отчетный финансовый период.</w:t>
      </w:r>
    </w:p>
    <w:p w14:paraId="3CA0BC9B" w14:textId="77777777" w:rsidR="00212D0F" w:rsidRPr="00AD6080" w:rsidRDefault="00212D0F" w:rsidP="00AD6080">
      <w:pPr>
        <w:pStyle w:val="Default"/>
        <w:ind w:firstLine="709"/>
        <w:jc w:val="both"/>
        <w:rPr>
          <w:lang w:eastAsia="ru-RU"/>
        </w:rPr>
      </w:pPr>
      <w:r w:rsidRPr="00AD6080">
        <w:t>Следует дополнительно отметить, что о</w:t>
      </w:r>
      <w:r w:rsidRPr="00AD6080">
        <w:rPr>
          <w:lang w:eastAsia="ru-RU"/>
        </w:rPr>
        <w:t xml:space="preserve">бязанности работников бухгалтерии все чаще выходят за пределы только ведения бухгалтерского учета. Многие хозяйствующие субъекты включают в обязанности главного бухгалтера не только составление бухгалтерской отчетности и сдачу налоговых деклараций, главный бухгалтер оценивает налоговые риски, последствия – финансовые и налоговые – при осуществлении коммерческих сделок, проводит анализ изменений показателей финансово-хозяйственной деятельности. Всё это приводит к росту ответственности и повышению профессиональных рисков бухгалтера. В таких условиях именно аудиторская деятельность призвана осуществить реальную эффективную и профессиональную помощь. </w:t>
      </w:r>
    </w:p>
    <w:p w14:paraId="25AF8047"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Значительное место отводится аудиту для реализации также надзорных функций как регуляторов рынков. Это относится и к Банку России как основному регулятору финансового рынка, внимание которого направлено прежде всего на получение устойчивости финансового состояния хозяйствующих субъектов, с учетом защиты интересов кредиторов, вкладчиков и инвесторов коммерческого рынка. При этом стабильность положения финансового  рынка часто зависит от развития аудиторской деятельности, которая как раз и направлена  на защиту интересов собственников экономических субъектов.</w:t>
      </w:r>
    </w:p>
    <w:p w14:paraId="79E44520" w14:textId="77777777" w:rsidR="00212D0F" w:rsidRPr="00AD6080" w:rsidRDefault="00212D0F" w:rsidP="00AD6080">
      <w:pPr>
        <w:tabs>
          <w:tab w:val="left" w:pos="9638"/>
        </w:tabs>
        <w:spacing w:after="0" w:line="240" w:lineRule="auto"/>
        <w:ind w:firstLine="709"/>
        <w:jc w:val="both"/>
        <w:rPr>
          <w:rFonts w:ascii="Times New Roman" w:hAnsi="Times New Roman"/>
          <w:sz w:val="24"/>
          <w:szCs w:val="24"/>
        </w:rPr>
      </w:pPr>
      <w:r w:rsidRPr="00AD6080">
        <w:rPr>
          <w:rFonts w:ascii="Times New Roman" w:hAnsi="Times New Roman"/>
          <w:sz w:val="24"/>
          <w:szCs w:val="24"/>
        </w:rPr>
        <w:t xml:space="preserve">Анализ современной экономической литературы показал, что не существует однозначного определения аудита и объекта его изучения. Понятие аудита намного шире таких понятий, как ревизия и контроль. Аудит обеспечивает не только проверку достоверности финансовых показателей, но и разработку предложений по оптимизации хозяйственной деятельности с целью рационализации расходов и увеличения прибыли, аудит можно определить как своеобразную экспертизу бизнеса. Целью аудита, в широком смысле, является решение конкретных задач, которые определяются законодательством, системой нормативного регулирования аудиторской деятельности или договорными обязательствами аудитора и клиента. Мнение, выраженное аудитором о достоверности бухгалтерской отчетности, может способствовать большему доверию к этой отчетности со стороны заинтересованных лиц. При этом надо учитывать, что мнение аудитора не должно трактоваться пользователями бухгалтерской отчетности как полная гарантия будущей жизнеспособности проверяемого предприятия, непрерывности деятельности в будущем и эффективности деятельности его руководства. </w:t>
      </w:r>
    </w:p>
    <w:p w14:paraId="31EBEB57"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Анализ определений понятия «аудит» показал, что в научной среде не существует единого взгляда на определение понятия «аудит». </w:t>
      </w:r>
    </w:p>
    <w:p w14:paraId="608B8860"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Нигматулина Э.Р. утверждает, что аудит является полезным не только для инвесторов и других внешних пользователей, но прежде всего и для руководства предприятия, так как позволяет вовремя обнаружить и исправить существенные искажения в отчетности. Следовательно, аудит бухгалтерской отчетности – надежный инструмент для обеспечения успешной и долгосрочной работы [3]. </w:t>
      </w:r>
    </w:p>
    <w:p w14:paraId="33D2D0D4"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Предмет, методы, цели, задачи определены по методике М.Н. Просековой [4]. Предмет аудиторской деятельности – проверка бухгалтерской, финансовой и других видов отчетности. Аудиторские услуги имеют цель: контролировать выполнение финансовых мероприятий; выражать мнения аудиторской организации о достоверности бухгалтерской отчетности. В ходе проверки следует учитывать отчетную информацию и структуру ее подготовки. </w:t>
      </w:r>
    </w:p>
    <w:p w14:paraId="3389F581"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 xml:space="preserve">Исследователь Лосева Н.А. определяет, что «специфика проведения аудита предусматривает стадии: - сбора информации; - изучения информации; - предварительной оценки аудиторского риска; - определения существенности проверки по счетам» [5]. </w:t>
      </w:r>
    </w:p>
    <w:p w14:paraId="2673D3A3"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Результаты исследования показали, что аудиторский контроль обеспечивает достоверность бухгалтерского учета и отчетности, так как владельцы предприятий, и государство в лице налоговой службы, и аудиторы являются заинтересованными субъектами.</w:t>
      </w:r>
    </w:p>
    <w:p w14:paraId="7150D50C"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lastRenderedPageBreak/>
        <w:t xml:space="preserve">Автором Никифоровым С.Л. определены основные проблемы развития аудита в России: </w:t>
      </w:r>
    </w:p>
    <w:p w14:paraId="0CB491C1" w14:textId="77777777" w:rsidR="00212D0F" w:rsidRPr="00AD6080" w:rsidRDefault="00212D0F" w:rsidP="00AD6080">
      <w:pPr>
        <w:autoSpaceDE w:val="0"/>
        <w:autoSpaceDN w:val="0"/>
        <w:adjustRightInd w:val="0"/>
        <w:spacing w:after="0" w:line="240" w:lineRule="auto"/>
        <w:ind w:firstLine="708"/>
        <w:jc w:val="both"/>
        <w:rPr>
          <w:rFonts w:ascii="Times New Roman" w:hAnsi="Times New Roman"/>
          <w:sz w:val="24"/>
          <w:szCs w:val="24"/>
          <w:lang w:eastAsia="ru-RU"/>
        </w:rPr>
      </w:pPr>
      <w:r w:rsidRPr="00AD6080">
        <w:rPr>
          <w:rFonts w:ascii="Times New Roman" w:hAnsi="Times New Roman"/>
          <w:sz w:val="24"/>
          <w:szCs w:val="24"/>
          <w:lang w:eastAsia="ru-RU"/>
        </w:rPr>
        <w:t>малое количество методических разработок по аудиту; недостаточное количество квалифицированных аудиторов;</w:t>
      </w:r>
    </w:p>
    <w:p w14:paraId="3155F779" w14:textId="77777777" w:rsidR="00212D0F" w:rsidRPr="00AD6080" w:rsidRDefault="00212D0F" w:rsidP="00AD6080">
      <w:pPr>
        <w:autoSpaceDE w:val="0"/>
        <w:autoSpaceDN w:val="0"/>
        <w:adjustRightInd w:val="0"/>
        <w:spacing w:after="0" w:line="240" w:lineRule="auto"/>
        <w:ind w:firstLine="708"/>
        <w:jc w:val="both"/>
        <w:rPr>
          <w:rFonts w:ascii="Times New Roman" w:hAnsi="Times New Roman"/>
          <w:sz w:val="24"/>
          <w:szCs w:val="24"/>
          <w:lang w:eastAsia="ru-RU"/>
        </w:rPr>
      </w:pPr>
      <w:r w:rsidRPr="00AD6080">
        <w:rPr>
          <w:rFonts w:ascii="Times New Roman" w:hAnsi="Times New Roman"/>
          <w:sz w:val="24"/>
          <w:szCs w:val="24"/>
          <w:lang w:eastAsia="ru-RU"/>
        </w:rPr>
        <w:t>отсутствие большого опыта аудиторской деятельности [6].</w:t>
      </w:r>
    </w:p>
    <w:p w14:paraId="620B15D0"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Все эти проблемы заключаются в том, что аудиторская деятельность в России достаточно молодая, поэтому со временем развитие аудита автоматически их решит.   Учитывая то, что над вопросом аудита работают не только ученые, но и государство, своими нормативными актами стремится к развитию данной формы финансового контроля, можно утверждать, что перспективы развития аудита в России достаточно неплохие.</w:t>
      </w:r>
    </w:p>
    <w:p w14:paraId="6B2F9A8F" w14:textId="77777777" w:rsidR="00212D0F" w:rsidRPr="00AD6080" w:rsidRDefault="00212D0F" w:rsidP="00AD6080">
      <w:pPr>
        <w:autoSpaceDE w:val="0"/>
        <w:autoSpaceDN w:val="0"/>
        <w:adjustRightInd w:val="0"/>
        <w:spacing w:after="0" w:line="240" w:lineRule="auto"/>
        <w:ind w:firstLine="709"/>
        <w:jc w:val="both"/>
        <w:rPr>
          <w:rFonts w:ascii="Times New Roman" w:hAnsi="Times New Roman"/>
          <w:sz w:val="24"/>
          <w:szCs w:val="24"/>
          <w:lang w:eastAsia="ru-RU"/>
        </w:rPr>
      </w:pPr>
      <w:r w:rsidRPr="00AD6080">
        <w:rPr>
          <w:rFonts w:ascii="Times New Roman" w:hAnsi="Times New Roman"/>
          <w:sz w:val="24"/>
          <w:szCs w:val="24"/>
          <w:lang w:eastAsia="ru-RU"/>
        </w:rPr>
        <w:t>Однако развитие аудита на практике тормозится рядом нерешенных вопросов, главным из которых является путаница в ключевых понятиях и споры между существующими подходами к базовым терминам. Так, подход, согласно которому аудит рассматривается как исследования, освещает только отдельную сторону аудита, то есть отражает содержательную характеристику процедуры аудитора время выполнения собственных обязанностей. Но, кроме исследований аудитора, аудит охватывает большое количество других процедур, связанных с выражением мнения аудитора относительно достоверности показателей финансовой отчетности [7].</w:t>
      </w:r>
    </w:p>
    <w:p w14:paraId="53F78035" w14:textId="77777777" w:rsidR="00212D0F" w:rsidRPr="00AD6080" w:rsidRDefault="00212D0F" w:rsidP="00AD6080">
      <w:pPr>
        <w:autoSpaceDE w:val="0"/>
        <w:autoSpaceDN w:val="0"/>
        <w:adjustRightInd w:val="0"/>
        <w:spacing w:after="0" w:line="240" w:lineRule="auto"/>
        <w:ind w:firstLine="709"/>
        <w:jc w:val="both"/>
        <w:rPr>
          <w:rFonts w:ascii="Times New Roman" w:eastAsia="ArialMT" w:hAnsi="Times New Roman"/>
          <w:sz w:val="24"/>
          <w:szCs w:val="24"/>
          <w:lang w:eastAsia="ru-RU"/>
        </w:rPr>
      </w:pPr>
      <w:r w:rsidRPr="00AD6080">
        <w:rPr>
          <w:rFonts w:ascii="Times New Roman" w:hAnsi="Times New Roman"/>
          <w:sz w:val="24"/>
          <w:szCs w:val="24"/>
          <w:lang w:eastAsia="ru-RU"/>
        </w:rPr>
        <w:t xml:space="preserve">Таким образом, целью аудита, в самом общем понимании, является формирование определенного мнения аудитора относительно проверяемой бухгалтерской финансовой отчетности. На основе полученных аудиторских доказательств аудитор оценивает влияние на достоверность отчетности неисправленных ошибок и формулирует мнение о достоверности отчетности, представляемое в виде аудиторского заключения. Аудитор выполняет своего рода посредническую функцию: устанавливая объективность финансовой информации, он предотвращает столкновение интересов поставщика и пользователя информации. </w:t>
      </w:r>
      <w:r w:rsidRPr="00AD6080">
        <w:rPr>
          <w:rFonts w:ascii="Times New Roman" w:eastAsia="ArialMT" w:hAnsi="Times New Roman"/>
          <w:sz w:val="24"/>
          <w:szCs w:val="24"/>
          <w:lang w:eastAsia="ru-RU"/>
        </w:rPr>
        <w:t xml:space="preserve">Современный этап развития системы нормативного бухгалтерского учета и аудита в нашей стране характеризуется постепенной адаптацией и внедрением основных принципов международных стандартов в национальные положения по ведению бухгалтерского учета и формированию отчетности, наблюдается значительное сближение двух учетных систем, минимизация различий между ними и плавное изменение отечественной практики в целом. </w:t>
      </w:r>
    </w:p>
    <w:p w14:paraId="1F23FBD9" w14:textId="77777777" w:rsidR="00212D0F" w:rsidRPr="00AD6080" w:rsidRDefault="00212D0F" w:rsidP="00AD6080">
      <w:pPr>
        <w:autoSpaceDE w:val="0"/>
        <w:autoSpaceDN w:val="0"/>
        <w:adjustRightInd w:val="0"/>
        <w:spacing w:after="0" w:line="240" w:lineRule="auto"/>
        <w:ind w:firstLine="709"/>
        <w:jc w:val="both"/>
        <w:rPr>
          <w:rFonts w:ascii="Times New Roman" w:eastAsia="TimesNewRoman" w:hAnsi="Times New Roman"/>
          <w:sz w:val="24"/>
          <w:szCs w:val="24"/>
          <w:lang w:eastAsia="ru-RU"/>
        </w:rPr>
      </w:pPr>
      <w:r w:rsidRPr="00AD6080">
        <w:rPr>
          <w:rFonts w:ascii="Times New Roman" w:eastAsia="TimesNewRoman" w:hAnsi="Times New Roman"/>
          <w:sz w:val="24"/>
          <w:szCs w:val="24"/>
          <w:lang w:eastAsia="ru-RU"/>
        </w:rPr>
        <w:t>Пользователь финансовой отчетности должен быть уверен в том, что показатели отчетности отражают действительное, объективное финансовое состояние предприятия. Представляемая в средствах массовой информации отчетность должна сопровождаться аудиторским заключением, в которой аудиторская организация представляет свое мнение о фактическом уровне финансового состояния предприятия. При этом аудиторские организации не могут давать гарантии полной достоверности, или наступления в будущем финансовых проблем, которые могут быть обусловлены низким уровнем системы управления, включая систему управления финансами. При проведении аудиторской проверки финансовой отчетности аудиторская организация опирается на законодательные и нормативные акты, регулирующие порядок составления и представления финансовой отчетности. Проверка финансовой отчетности заключается в том, что все формы отчетности и приложения проверяются на соответствие нормативным актам, на полноту по составу и формам представления. Современный уровень развития аудиторской деятельности служит выполнению двух важных целей: во - первых, это стремление к максимальному снижению информационного риска, что соответствует самой основе возникновения и развития аудита, во - вторых, это поиск направлений снижения аудиторского риска. Это определяет эффективность и перспективность существования самой аудиторской организации.</w:t>
      </w:r>
    </w:p>
    <w:p w14:paraId="4853B841" w14:textId="77777777" w:rsidR="00212D0F" w:rsidRPr="00AD6080" w:rsidRDefault="007014C7" w:rsidP="00212D0F">
      <w:pPr>
        <w:autoSpaceDE w:val="0"/>
        <w:autoSpaceDN w:val="0"/>
        <w:adjustRightInd w:val="0"/>
        <w:spacing w:after="0" w:line="240" w:lineRule="auto"/>
        <w:ind w:firstLine="709"/>
        <w:jc w:val="both"/>
        <w:rPr>
          <w:rFonts w:ascii="Times New Roman" w:eastAsia="TimesNewRoman" w:hAnsi="Times New Roman"/>
          <w:sz w:val="24"/>
          <w:szCs w:val="24"/>
          <w:lang w:eastAsia="ru-RU"/>
        </w:rPr>
      </w:pPr>
      <w:r>
        <w:rPr>
          <w:rFonts w:ascii="Times New Roman" w:eastAsia="TimesNewRoman" w:hAnsi="Times New Roman"/>
          <w:noProof/>
          <w:sz w:val="24"/>
          <w:szCs w:val="24"/>
          <w:lang w:eastAsia="ru-RU"/>
        </w:rPr>
        <w:pict w14:anchorId="0BD25FCD">
          <v:shape id="_x0000_s1224" type="#_x0000_t32" style="position:absolute;left:0;text-align:left;margin-left:-1pt;margin-top:14.75pt;width:282.4pt;height:0;z-index:251739136" o:connectortype="straight"/>
        </w:pict>
      </w:r>
    </w:p>
    <w:p w14:paraId="50125231" w14:textId="77777777" w:rsidR="00212D0F" w:rsidRPr="00AD6080" w:rsidRDefault="00212D0F" w:rsidP="007E1ABB">
      <w:pPr>
        <w:autoSpaceDE w:val="0"/>
        <w:autoSpaceDN w:val="0"/>
        <w:adjustRightInd w:val="0"/>
        <w:spacing w:after="0" w:line="240" w:lineRule="auto"/>
        <w:rPr>
          <w:rFonts w:ascii="Times New Roman" w:eastAsia="TimesNewRoman" w:hAnsi="Times New Roman"/>
          <w:b/>
          <w:sz w:val="24"/>
          <w:szCs w:val="24"/>
          <w:lang w:eastAsia="ru-RU"/>
        </w:rPr>
      </w:pPr>
    </w:p>
    <w:p w14:paraId="541E9881" w14:textId="77777777" w:rsidR="00212D0F" w:rsidRPr="00AD6080" w:rsidRDefault="00212D0F" w:rsidP="007E1ABB">
      <w:pPr>
        <w:pStyle w:val="a7"/>
        <w:numPr>
          <w:ilvl w:val="0"/>
          <w:numId w:val="77"/>
        </w:numPr>
        <w:tabs>
          <w:tab w:val="left" w:pos="709"/>
          <w:tab w:val="center" w:pos="4677"/>
          <w:tab w:val="right" w:pos="9355"/>
        </w:tabs>
        <w:ind w:left="1060" w:hanging="357"/>
        <w:jc w:val="both"/>
        <w:rPr>
          <w:rFonts w:ascii="Times New Roman" w:hAnsi="Times New Roman"/>
          <w:bCs/>
          <w:iCs/>
        </w:rPr>
      </w:pPr>
      <w:r w:rsidRPr="00AD6080">
        <w:rPr>
          <w:rFonts w:ascii="Times New Roman" w:hAnsi="Times New Roman"/>
        </w:rPr>
        <w:t xml:space="preserve">Об аудиторской деятельности: Закон РФ </w:t>
      </w:r>
      <w:r w:rsidRPr="00AD6080">
        <w:rPr>
          <w:rFonts w:ascii="Times New Roman" w:hAnsi="Times New Roman"/>
          <w:bCs/>
          <w:kern w:val="36"/>
        </w:rPr>
        <w:t xml:space="preserve">№307-ФЗ от 30.12.2008 </w:t>
      </w:r>
      <w:r w:rsidRPr="00AD6080">
        <w:rPr>
          <w:rFonts w:ascii="Times New Roman" w:hAnsi="Times New Roman"/>
        </w:rPr>
        <w:t xml:space="preserve">(в ред. от </w:t>
      </w:r>
      <w:r w:rsidRPr="00AD6080">
        <w:rPr>
          <w:rFonts w:ascii="Times New Roman" w:hAnsi="Times New Roman"/>
          <w:shd w:val="clear" w:color="auto" w:fill="FFFFFF"/>
        </w:rPr>
        <w:t>01.05.2017 N 403-ФЗ</w:t>
      </w:r>
      <w:r w:rsidRPr="00AD6080">
        <w:rPr>
          <w:rFonts w:ascii="Times New Roman" w:hAnsi="Times New Roman"/>
        </w:rPr>
        <w:t xml:space="preserve">) // СПС Консультант Плюс – Режим доступа :  </w:t>
      </w:r>
      <w:hyperlink r:id="rId43" w:history="1">
        <w:r w:rsidRPr="00AD6080">
          <w:rPr>
            <w:rFonts w:ascii="Times New Roman" w:hAnsi="Times New Roman"/>
          </w:rPr>
          <w:t>http://base.consultant.ru</w:t>
        </w:r>
      </w:hyperlink>
      <w:r w:rsidRPr="00AD6080">
        <w:rPr>
          <w:rFonts w:ascii="Times New Roman" w:hAnsi="Times New Roman"/>
        </w:rPr>
        <w:t>.</w:t>
      </w:r>
    </w:p>
    <w:p w14:paraId="399E07F5" w14:textId="77777777" w:rsidR="00212D0F" w:rsidRPr="00AD6080" w:rsidRDefault="00212D0F" w:rsidP="00212D0F">
      <w:pPr>
        <w:pStyle w:val="af2"/>
        <w:numPr>
          <w:ilvl w:val="0"/>
          <w:numId w:val="77"/>
        </w:numPr>
        <w:tabs>
          <w:tab w:val="left" w:pos="1080"/>
        </w:tabs>
        <w:ind w:left="1060" w:hanging="357"/>
        <w:jc w:val="both"/>
        <w:rPr>
          <w:rFonts w:ascii="Times New Roman" w:hAnsi="Times New Roman"/>
          <w:bCs/>
          <w:iCs/>
          <w:sz w:val="24"/>
          <w:szCs w:val="24"/>
        </w:rPr>
      </w:pPr>
      <w:r w:rsidRPr="00AD6080">
        <w:rPr>
          <w:rFonts w:ascii="Times New Roman" w:hAnsi="Times New Roman"/>
          <w:sz w:val="24"/>
          <w:szCs w:val="24"/>
          <w:shd w:val="clear" w:color="auto" w:fill="FFFFFF"/>
        </w:rPr>
        <w:lastRenderedPageBreak/>
        <w:t xml:space="preserve">Приказ Минфина РФ от 09.11.2016 №207-н «О введении в действие международных стандартов аудита на территории Российской Федерации» </w:t>
      </w:r>
      <w:r w:rsidRPr="00AD6080">
        <w:rPr>
          <w:rStyle w:val="a4"/>
          <w:rFonts w:ascii="Times New Roman" w:hAnsi="Times New Roman"/>
          <w:sz w:val="24"/>
          <w:szCs w:val="24"/>
        </w:rPr>
        <w:t xml:space="preserve">// СПС Консультант Плюс </w:t>
      </w:r>
      <w:r w:rsidRPr="00AD6080">
        <w:rPr>
          <w:rFonts w:ascii="Times New Roman" w:hAnsi="Times New Roman"/>
          <w:sz w:val="24"/>
          <w:szCs w:val="24"/>
        </w:rPr>
        <w:t xml:space="preserve">– Режим доступа :  </w:t>
      </w:r>
      <w:hyperlink r:id="rId44" w:history="1">
        <w:r w:rsidRPr="00AD6080">
          <w:rPr>
            <w:rStyle w:val="a4"/>
            <w:rFonts w:ascii="Times New Roman" w:hAnsi="Times New Roman"/>
            <w:sz w:val="24"/>
            <w:szCs w:val="24"/>
          </w:rPr>
          <w:t>http://base.consultant.ru</w:t>
        </w:r>
      </w:hyperlink>
      <w:r w:rsidRPr="00AD6080">
        <w:rPr>
          <w:rFonts w:ascii="Times New Roman" w:hAnsi="Times New Roman"/>
          <w:sz w:val="24"/>
          <w:szCs w:val="24"/>
        </w:rPr>
        <w:t>.</w:t>
      </w:r>
    </w:p>
    <w:p w14:paraId="193A9C15" w14:textId="77777777" w:rsidR="00212D0F" w:rsidRPr="00AD6080" w:rsidRDefault="00212D0F" w:rsidP="00212D0F">
      <w:pPr>
        <w:pStyle w:val="af2"/>
        <w:numPr>
          <w:ilvl w:val="0"/>
          <w:numId w:val="77"/>
        </w:numPr>
        <w:tabs>
          <w:tab w:val="left" w:pos="1080"/>
        </w:tabs>
        <w:autoSpaceDE w:val="0"/>
        <w:autoSpaceDN w:val="0"/>
        <w:adjustRightInd w:val="0"/>
        <w:ind w:left="1060" w:hanging="357"/>
        <w:jc w:val="both"/>
        <w:rPr>
          <w:rFonts w:ascii="Times New Roman" w:hAnsi="Times New Roman"/>
          <w:sz w:val="24"/>
          <w:szCs w:val="24"/>
        </w:rPr>
      </w:pPr>
      <w:r w:rsidRPr="00AD6080">
        <w:rPr>
          <w:rFonts w:ascii="Times New Roman" w:hAnsi="Times New Roman"/>
          <w:sz w:val="24"/>
          <w:szCs w:val="24"/>
        </w:rPr>
        <w:t>Нигматулина, Э.Р. Понятие и содержание аудита на предприятии / Э.Р.Нигматулина // В сборнике:  Новая наука как результат инновационного развития общества. Сборник статей Международной научно-практической конференции: в 17 частях. 2017. С. 165-168.</w:t>
      </w:r>
    </w:p>
    <w:p w14:paraId="27BBB352" w14:textId="77777777" w:rsidR="00212D0F" w:rsidRPr="00AD6080" w:rsidRDefault="00212D0F" w:rsidP="00212D0F">
      <w:pPr>
        <w:pStyle w:val="af2"/>
        <w:numPr>
          <w:ilvl w:val="0"/>
          <w:numId w:val="77"/>
        </w:numPr>
        <w:tabs>
          <w:tab w:val="left" w:pos="1080"/>
        </w:tabs>
        <w:autoSpaceDE w:val="0"/>
        <w:autoSpaceDN w:val="0"/>
        <w:adjustRightInd w:val="0"/>
        <w:ind w:left="1060" w:hanging="357"/>
        <w:jc w:val="both"/>
        <w:rPr>
          <w:rFonts w:ascii="Times New Roman" w:hAnsi="Times New Roman"/>
          <w:sz w:val="24"/>
          <w:szCs w:val="24"/>
        </w:rPr>
      </w:pPr>
      <w:r w:rsidRPr="00AD6080">
        <w:rPr>
          <w:rFonts w:ascii="Times New Roman" w:hAnsi="Times New Roman"/>
          <w:sz w:val="24"/>
          <w:szCs w:val="24"/>
        </w:rPr>
        <w:t>Просекова, М.Н. Реализация международного стандарта CDIO и инновационные подходы к методологии научного творчества // Инженерное образование. № 16. Томск,  2014.- С.114-119.</w:t>
      </w:r>
    </w:p>
    <w:p w14:paraId="348E550F" w14:textId="77777777" w:rsidR="00212D0F" w:rsidRPr="00AD6080" w:rsidRDefault="00212D0F" w:rsidP="00212D0F">
      <w:pPr>
        <w:pStyle w:val="a7"/>
        <w:numPr>
          <w:ilvl w:val="0"/>
          <w:numId w:val="77"/>
        </w:numPr>
        <w:autoSpaceDE w:val="0"/>
        <w:autoSpaceDN w:val="0"/>
        <w:adjustRightInd w:val="0"/>
        <w:ind w:left="1060" w:hanging="357"/>
        <w:jc w:val="both"/>
        <w:rPr>
          <w:rFonts w:ascii="Times New Roman" w:hAnsi="Times New Roman"/>
        </w:rPr>
      </w:pPr>
      <w:r w:rsidRPr="00AD6080">
        <w:rPr>
          <w:rFonts w:ascii="Times New Roman" w:hAnsi="Times New Roman"/>
        </w:rPr>
        <w:t>Лосева, Н.А. Контроль качества выполнения заданий по аудиту /Н.А. Лосева // Аудитор, 2016. - № 11. – С.27-29.</w:t>
      </w:r>
    </w:p>
    <w:p w14:paraId="78EE8100" w14:textId="77777777" w:rsidR="00212D0F" w:rsidRPr="00AD6080" w:rsidRDefault="00212D0F" w:rsidP="00212D0F">
      <w:pPr>
        <w:pStyle w:val="a7"/>
        <w:numPr>
          <w:ilvl w:val="0"/>
          <w:numId w:val="77"/>
        </w:numPr>
        <w:autoSpaceDE w:val="0"/>
        <w:autoSpaceDN w:val="0"/>
        <w:adjustRightInd w:val="0"/>
        <w:ind w:left="1060" w:hanging="357"/>
        <w:jc w:val="both"/>
        <w:rPr>
          <w:rFonts w:ascii="Times New Roman" w:hAnsi="Times New Roman"/>
        </w:rPr>
      </w:pPr>
      <w:r w:rsidRPr="00AD6080">
        <w:rPr>
          <w:rFonts w:ascii="Times New Roman" w:eastAsia="Helios-Italic" w:hAnsi="Times New Roman"/>
          <w:iCs/>
        </w:rPr>
        <w:t xml:space="preserve">Никифоров, С. Л. </w:t>
      </w:r>
      <w:r w:rsidRPr="00AD6080">
        <w:rPr>
          <w:rFonts w:ascii="Times New Roman" w:eastAsia="Helios-Italic" w:hAnsi="Times New Roman"/>
        </w:rPr>
        <w:t>Российский аудит: когнитивный диссонанс  // С.Л.Никифоров. - Казань, 2017. - 160 с.</w:t>
      </w:r>
    </w:p>
    <w:p w14:paraId="2A93CD4D" w14:textId="77777777" w:rsidR="00212D0F" w:rsidRPr="00AD6080" w:rsidRDefault="00212D0F" w:rsidP="00212D0F">
      <w:pPr>
        <w:pStyle w:val="a7"/>
        <w:numPr>
          <w:ilvl w:val="0"/>
          <w:numId w:val="77"/>
        </w:numPr>
        <w:autoSpaceDE w:val="0"/>
        <w:autoSpaceDN w:val="0"/>
        <w:adjustRightInd w:val="0"/>
        <w:ind w:left="1060" w:hanging="357"/>
        <w:jc w:val="both"/>
        <w:rPr>
          <w:rFonts w:ascii="Times New Roman" w:hAnsi="Times New Roman"/>
        </w:rPr>
      </w:pPr>
      <w:r w:rsidRPr="00AD6080">
        <w:rPr>
          <w:rFonts w:ascii="Times New Roman" w:eastAsia="Helios-Italic" w:hAnsi="Times New Roman"/>
          <w:iCs/>
        </w:rPr>
        <w:t xml:space="preserve">Турбанов, А. В. </w:t>
      </w:r>
      <w:r w:rsidRPr="00AD6080">
        <w:rPr>
          <w:rFonts w:ascii="Times New Roman" w:eastAsia="Helios-Italic" w:hAnsi="Times New Roman"/>
        </w:rPr>
        <w:t>Регулирование рынка аудиторских услуг / А.В.Турбанов // Деньги и кредит. 2017. - № 2.</w:t>
      </w:r>
    </w:p>
    <w:p w14:paraId="5A25747A" w14:textId="77777777" w:rsidR="00212D0F" w:rsidRDefault="00212D0F" w:rsidP="00173C65">
      <w:pPr>
        <w:rPr>
          <w:rFonts w:ascii="Times New Roman" w:hAnsi="Times New Roman"/>
          <w:b/>
          <w:sz w:val="20"/>
          <w:szCs w:val="24"/>
        </w:rPr>
      </w:pPr>
    </w:p>
    <w:p w14:paraId="2874BFF9" w14:textId="77777777" w:rsidR="00212D0F" w:rsidRPr="007E1ABB" w:rsidRDefault="00212D0F" w:rsidP="00212D0F">
      <w:pPr>
        <w:spacing w:after="0" w:line="240" w:lineRule="auto"/>
        <w:jc w:val="both"/>
        <w:rPr>
          <w:rFonts w:ascii="Times New Roman" w:hAnsi="Times New Roman" w:cs="Times New Roman"/>
          <w:b/>
          <w:sz w:val="24"/>
          <w:szCs w:val="24"/>
        </w:rPr>
      </w:pPr>
      <w:bookmarkStart w:id="8" w:name="_Toc482286034"/>
      <w:r w:rsidRPr="007E1ABB">
        <w:rPr>
          <w:rFonts w:ascii="Times New Roman" w:hAnsi="Times New Roman" w:cs="Times New Roman"/>
          <w:b/>
          <w:sz w:val="24"/>
          <w:szCs w:val="24"/>
        </w:rPr>
        <w:t>Рубрика: Учё</w:t>
      </w:r>
      <w:r w:rsidR="007E1ABB" w:rsidRPr="007E1ABB">
        <w:rPr>
          <w:rFonts w:ascii="Times New Roman" w:hAnsi="Times New Roman" w:cs="Times New Roman"/>
          <w:b/>
          <w:sz w:val="24"/>
          <w:szCs w:val="24"/>
        </w:rPr>
        <w:t xml:space="preserve">т, анализ, аудит и статистика: </w:t>
      </w:r>
      <w:r w:rsidRPr="007E1ABB">
        <w:rPr>
          <w:rFonts w:ascii="Times New Roman" w:hAnsi="Times New Roman" w:cs="Times New Roman"/>
          <w:b/>
          <w:sz w:val="24"/>
          <w:szCs w:val="24"/>
        </w:rPr>
        <w:t>исследование тенденций и проблем совершенствования</w:t>
      </w:r>
    </w:p>
    <w:p w14:paraId="09B8D95D" w14:textId="77777777" w:rsidR="00212D0F" w:rsidRPr="00AD6080" w:rsidRDefault="00212D0F" w:rsidP="00212D0F">
      <w:pPr>
        <w:spacing w:after="0" w:line="240" w:lineRule="auto"/>
        <w:jc w:val="both"/>
        <w:rPr>
          <w:rFonts w:ascii="Times New Roman" w:hAnsi="Times New Roman" w:cs="Times New Roman"/>
          <w:sz w:val="24"/>
          <w:szCs w:val="24"/>
        </w:rPr>
      </w:pPr>
    </w:p>
    <w:p w14:paraId="329C0A2E" w14:textId="77777777" w:rsidR="00212D0F" w:rsidRPr="00AD6080" w:rsidRDefault="00212D0F" w:rsidP="00212D0F">
      <w:pPr>
        <w:spacing w:after="0" w:line="240" w:lineRule="auto"/>
        <w:jc w:val="both"/>
        <w:rPr>
          <w:rFonts w:ascii="Times New Roman" w:hAnsi="Times New Roman" w:cs="Times New Roman"/>
          <w:sz w:val="24"/>
          <w:szCs w:val="24"/>
        </w:rPr>
      </w:pPr>
      <w:r w:rsidRPr="00AD6080">
        <w:rPr>
          <w:rFonts w:ascii="Times New Roman" w:hAnsi="Times New Roman" w:cs="Times New Roman"/>
          <w:sz w:val="24"/>
          <w:szCs w:val="24"/>
        </w:rPr>
        <w:t>УДК 338.24</w:t>
      </w:r>
    </w:p>
    <w:p w14:paraId="78BEFD2A" w14:textId="77777777" w:rsidR="00212D0F" w:rsidRPr="00AD6080" w:rsidRDefault="00212D0F" w:rsidP="00212D0F">
      <w:pPr>
        <w:spacing w:after="0" w:line="240" w:lineRule="auto"/>
        <w:jc w:val="both"/>
        <w:rPr>
          <w:rFonts w:ascii="Times New Roman" w:hAnsi="Times New Roman" w:cs="Times New Roman"/>
          <w:sz w:val="24"/>
          <w:szCs w:val="24"/>
        </w:rPr>
      </w:pPr>
    </w:p>
    <w:bookmarkEnd w:id="8"/>
    <w:p w14:paraId="2A618923" w14:textId="77777777" w:rsidR="00212D0F" w:rsidRPr="00AD6080" w:rsidRDefault="007E1ABB" w:rsidP="00212D0F">
      <w:pPr>
        <w:spacing w:after="0" w:line="240" w:lineRule="auto"/>
        <w:jc w:val="center"/>
        <w:rPr>
          <w:rFonts w:ascii="Times New Roman" w:hAnsi="Times New Roman" w:cs="Times New Roman"/>
          <w:b/>
          <w:sz w:val="24"/>
          <w:szCs w:val="24"/>
        </w:rPr>
      </w:pPr>
      <w:r w:rsidRPr="00AD6080">
        <w:rPr>
          <w:rFonts w:ascii="Times New Roman" w:hAnsi="Times New Roman" w:cs="Times New Roman"/>
          <w:b/>
          <w:sz w:val="24"/>
          <w:szCs w:val="24"/>
        </w:rPr>
        <w:t>ТЕОРЕТИЧЕСКИЕ ОСНОВЫ УПРАВЛЕНЧЕСКОГО УЧЕТА И ИХ ЭВОЛЮЦИЯ</w:t>
      </w:r>
    </w:p>
    <w:p w14:paraId="27A76422" w14:textId="77777777" w:rsidR="00212D0F" w:rsidRPr="00AD6080" w:rsidRDefault="00212D0F" w:rsidP="00212D0F">
      <w:pPr>
        <w:spacing w:after="0" w:line="240" w:lineRule="auto"/>
        <w:jc w:val="center"/>
        <w:rPr>
          <w:rFonts w:ascii="Times New Roman" w:hAnsi="Times New Roman" w:cs="Times New Roman"/>
          <w:b/>
          <w:sz w:val="24"/>
          <w:szCs w:val="24"/>
        </w:rPr>
      </w:pPr>
    </w:p>
    <w:p w14:paraId="79D2FBC4" w14:textId="77777777" w:rsidR="00212D0F" w:rsidRPr="007E1ABB" w:rsidRDefault="007E1ABB" w:rsidP="00212D0F">
      <w:pPr>
        <w:spacing w:after="0" w:line="240" w:lineRule="auto"/>
        <w:jc w:val="center"/>
        <w:rPr>
          <w:rFonts w:ascii="Times New Roman" w:hAnsi="Times New Roman" w:cs="Times New Roman"/>
          <w:b/>
          <w:sz w:val="24"/>
          <w:szCs w:val="24"/>
        </w:rPr>
      </w:pPr>
      <w:r w:rsidRPr="007E1ABB">
        <w:rPr>
          <w:rFonts w:ascii="Times New Roman" w:hAnsi="Times New Roman" w:cs="Times New Roman"/>
          <w:b/>
          <w:sz w:val="24"/>
          <w:szCs w:val="24"/>
        </w:rPr>
        <w:t>Курченкова Дарьяна Андреевна</w:t>
      </w:r>
    </w:p>
    <w:p w14:paraId="4841820E" w14:textId="77777777" w:rsidR="00212D0F" w:rsidRDefault="007E1ABB" w:rsidP="00212D0F">
      <w:pPr>
        <w:spacing w:after="0" w:line="240" w:lineRule="auto"/>
        <w:jc w:val="center"/>
        <w:rPr>
          <w:rFonts w:ascii="Times New Roman" w:hAnsi="Times New Roman" w:cs="Times New Roman"/>
          <w:sz w:val="24"/>
          <w:szCs w:val="24"/>
        </w:rPr>
      </w:pPr>
      <w:r w:rsidRPr="00AD6080">
        <w:rPr>
          <w:rFonts w:ascii="Times New Roman" w:hAnsi="Times New Roman" w:cs="Times New Roman"/>
          <w:sz w:val="24"/>
          <w:szCs w:val="24"/>
        </w:rPr>
        <w:t>М</w:t>
      </w:r>
      <w:r w:rsidR="00212D0F" w:rsidRPr="00AD6080">
        <w:rPr>
          <w:rFonts w:ascii="Times New Roman" w:hAnsi="Times New Roman" w:cs="Times New Roman"/>
          <w:sz w:val="24"/>
          <w:szCs w:val="24"/>
        </w:rPr>
        <w:t>агистрант</w:t>
      </w:r>
    </w:p>
    <w:p w14:paraId="49206A88" w14:textId="77777777" w:rsidR="007E1ABB" w:rsidRPr="00AD6080" w:rsidRDefault="007E1ABB" w:rsidP="00212D0F">
      <w:pPr>
        <w:spacing w:after="0" w:line="240" w:lineRule="auto"/>
        <w:jc w:val="center"/>
        <w:rPr>
          <w:rFonts w:ascii="Times New Roman" w:hAnsi="Times New Roman" w:cs="Times New Roman"/>
          <w:sz w:val="24"/>
          <w:szCs w:val="24"/>
        </w:rPr>
      </w:pPr>
    </w:p>
    <w:p w14:paraId="402127E4" w14:textId="77777777" w:rsidR="00212D0F" w:rsidRPr="00AD6080" w:rsidRDefault="00212D0F" w:rsidP="00212D0F">
      <w:pPr>
        <w:spacing w:after="0" w:line="240" w:lineRule="auto"/>
        <w:jc w:val="center"/>
        <w:rPr>
          <w:rFonts w:ascii="Times New Roman" w:hAnsi="Times New Roman" w:cs="Times New Roman"/>
          <w:i/>
          <w:sz w:val="24"/>
          <w:szCs w:val="24"/>
        </w:rPr>
      </w:pPr>
      <w:r w:rsidRPr="00AD6080">
        <w:rPr>
          <w:rFonts w:ascii="Times New Roman" w:hAnsi="Times New Roman" w:cs="Times New Roman"/>
          <w:i/>
          <w:sz w:val="24"/>
          <w:szCs w:val="24"/>
        </w:rPr>
        <w:t>Владивостокский государственный университет экономики и сервиса</w:t>
      </w:r>
    </w:p>
    <w:p w14:paraId="373BACB2" w14:textId="77777777" w:rsidR="00212D0F" w:rsidRPr="00AD6080" w:rsidRDefault="00212D0F" w:rsidP="00212D0F">
      <w:pPr>
        <w:spacing w:after="0" w:line="240" w:lineRule="auto"/>
        <w:jc w:val="center"/>
        <w:rPr>
          <w:rFonts w:ascii="Times New Roman" w:hAnsi="Times New Roman" w:cs="Times New Roman"/>
          <w:i/>
          <w:sz w:val="24"/>
          <w:szCs w:val="24"/>
        </w:rPr>
      </w:pPr>
      <w:r w:rsidRPr="00AD6080">
        <w:rPr>
          <w:rFonts w:ascii="Times New Roman" w:hAnsi="Times New Roman" w:cs="Times New Roman"/>
          <w:i/>
          <w:sz w:val="24"/>
          <w:szCs w:val="24"/>
        </w:rPr>
        <w:t>Россия. Владивосток</w:t>
      </w:r>
    </w:p>
    <w:p w14:paraId="02EDC791" w14:textId="77777777" w:rsidR="00212D0F" w:rsidRPr="007E1000" w:rsidRDefault="00212D0F" w:rsidP="00212D0F">
      <w:pPr>
        <w:spacing w:after="0" w:line="240" w:lineRule="auto"/>
        <w:jc w:val="center"/>
        <w:rPr>
          <w:rFonts w:ascii="Times New Roman" w:hAnsi="Times New Roman" w:cs="Times New Roman"/>
          <w:sz w:val="24"/>
          <w:szCs w:val="24"/>
        </w:rPr>
      </w:pPr>
      <w:r w:rsidRPr="00AD6080">
        <w:rPr>
          <w:rFonts w:ascii="Times New Roman" w:hAnsi="Times New Roman" w:cs="Times New Roman"/>
          <w:sz w:val="24"/>
          <w:szCs w:val="24"/>
          <w:lang w:val="en-US"/>
        </w:rPr>
        <w:t>E</w:t>
      </w:r>
      <w:r w:rsidRPr="007E1000">
        <w:rPr>
          <w:rFonts w:ascii="Times New Roman" w:hAnsi="Times New Roman" w:cs="Times New Roman"/>
          <w:sz w:val="24"/>
          <w:szCs w:val="24"/>
        </w:rPr>
        <w:t>-</w:t>
      </w:r>
      <w:r w:rsidRPr="00AD6080">
        <w:rPr>
          <w:rFonts w:ascii="Times New Roman" w:hAnsi="Times New Roman" w:cs="Times New Roman"/>
          <w:sz w:val="24"/>
          <w:szCs w:val="24"/>
          <w:lang w:val="en-US"/>
        </w:rPr>
        <w:t>mail</w:t>
      </w:r>
      <w:r w:rsidRPr="007E1000">
        <w:rPr>
          <w:rFonts w:ascii="Times New Roman" w:hAnsi="Times New Roman" w:cs="Times New Roman"/>
          <w:sz w:val="24"/>
          <w:szCs w:val="24"/>
        </w:rPr>
        <w:t>: 9</w:t>
      </w:r>
      <w:r w:rsidRPr="00AD6080">
        <w:rPr>
          <w:rFonts w:ascii="Times New Roman" w:hAnsi="Times New Roman" w:cs="Times New Roman"/>
          <w:sz w:val="24"/>
          <w:szCs w:val="24"/>
          <w:lang w:val="en-US"/>
        </w:rPr>
        <w:t>ariana</w:t>
      </w:r>
      <w:r w:rsidRPr="007E1000">
        <w:rPr>
          <w:rFonts w:ascii="Times New Roman" w:hAnsi="Times New Roman" w:cs="Times New Roman"/>
          <w:sz w:val="24"/>
          <w:szCs w:val="24"/>
        </w:rPr>
        <w:t>@</w:t>
      </w:r>
      <w:r w:rsidRPr="00AD6080">
        <w:rPr>
          <w:rFonts w:ascii="Times New Roman" w:hAnsi="Times New Roman" w:cs="Times New Roman"/>
          <w:sz w:val="24"/>
          <w:szCs w:val="24"/>
          <w:lang w:val="en-US"/>
        </w:rPr>
        <w:t>mail</w:t>
      </w:r>
      <w:r w:rsidRPr="007E1000">
        <w:rPr>
          <w:rFonts w:ascii="Times New Roman" w:hAnsi="Times New Roman" w:cs="Times New Roman"/>
          <w:sz w:val="24"/>
          <w:szCs w:val="24"/>
        </w:rPr>
        <w:t>.</w:t>
      </w:r>
      <w:r w:rsidRPr="00AD6080">
        <w:rPr>
          <w:rFonts w:ascii="Times New Roman" w:hAnsi="Times New Roman" w:cs="Times New Roman"/>
          <w:sz w:val="24"/>
          <w:szCs w:val="24"/>
          <w:lang w:val="en-US"/>
        </w:rPr>
        <w:t>ru</w:t>
      </w:r>
      <w:r w:rsidRPr="007E1000">
        <w:rPr>
          <w:rFonts w:ascii="Times New Roman" w:hAnsi="Times New Roman" w:cs="Times New Roman"/>
          <w:sz w:val="24"/>
          <w:szCs w:val="24"/>
        </w:rPr>
        <w:t xml:space="preserve">; </w:t>
      </w:r>
      <w:r w:rsidRPr="00AD6080">
        <w:rPr>
          <w:rFonts w:ascii="Times New Roman" w:hAnsi="Times New Roman" w:cs="Times New Roman"/>
          <w:sz w:val="24"/>
          <w:szCs w:val="24"/>
        </w:rPr>
        <w:t>тел</w:t>
      </w:r>
      <w:r w:rsidRPr="007E1000">
        <w:rPr>
          <w:rFonts w:ascii="Times New Roman" w:hAnsi="Times New Roman" w:cs="Times New Roman"/>
          <w:sz w:val="24"/>
          <w:szCs w:val="24"/>
        </w:rPr>
        <w:t>.: +7 908 449-86-73</w:t>
      </w:r>
    </w:p>
    <w:p w14:paraId="2C566560" w14:textId="77777777" w:rsidR="00212D0F" w:rsidRPr="00AD6080" w:rsidRDefault="00212D0F" w:rsidP="00212D0F">
      <w:pPr>
        <w:spacing w:after="0" w:line="240" w:lineRule="auto"/>
        <w:jc w:val="center"/>
        <w:rPr>
          <w:rFonts w:ascii="Times New Roman" w:hAnsi="Times New Roman" w:cs="Times New Roman"/>
          <w:sz w:val="24"/>
          <w:szCs w:val="24"/>
        </w:rPr>
      </w:pPr>
      <w:r w:rsidRPr="00AD6080">
        <w:rPr>
          <w:rFonts w:ascii="Times New Roman" w:hAnsi="Times New Roman" w:cs="Times New Roman"/>
          <w:sz w:val="24"/>
          <w:szCs w:val="24"/>
        </w:rPr>
        <w:t>ул. Гоголя, 41, г. Владивосток, Приморский край, Россия, 690014</w:t>
      </w:r>
    </w:p>
    <w:p w14:paraId="67B7A70C" w14:textId="77777777" w:rsidR="00212D0F" w:rsidRPr="00AD6080" w:rsidRDefault="00212D0F" w:rsidP="00212D0F">
      <w:pPr>
        <w:spacing w:after="0" w:line="240" w:lineRule="auto"/>
        <w:jc w:val="center"/>
        <w:rPr>
          <w:rFonts w:ascii="Times New Roman" w:hAnsi="Times New Roman" w:cs="Times New Roman"/>
          <w:sz w:val="24"/>
          <w:szCs w:val="24"/>
        </w:rPr>
      </w:pPr>
    </w:p>
    <w:p w14:paraId="71887C79" w14:textId="77777777" w:rsidR="00212D0F" w:rsidRPr="00AD6080" w:rsidRDefault="00212D0F" w:rsidP="00212D0F">
      <w:pPr>
        <w:spacing w:after="0" w:line="240" w:lineRule="auto"/>
        <w:jc w:val="center"/>
        <w:rPr>
          <w:rFonts w:ascii="Times New Roman" w:hAnsi="Times New Roman" w:cs="Times New Roman"/>
          <w:sz w:val="24"/>
          <w:szCs w:val="24"/>
        </w:rPr>
      </w:pPr>
    </w:p>
    <w:p w14:paraId="7752484E" w14:textId="77777777" w:rsidR="00212D0F" w:rsidRPr="00AD6080" w:rsidRDefault="00212D0F" w:rsidP="007E1ABB">
      <w:pPr>
        <w:widowControl w:val="0"/>
        <w:spacing w:after="0" w:line="240" w:lineRule="auto"/>
        <w:ind w:firstLine="709"/>
        <w:jc w:val="both"/>
        <w:rPr>
          <w:rFonts w:ascii="Times New Roman" w:hAnsi="Times New Roman" w:cs="Times New Roman"/>
          <w:i/>
          <w:sz w:val="24"/>
          <w:szCs w:val="24"/>
          <w:lang w:eastAsia="ru-RU"/>
        </w:rPr>
      </w:pPr>
      <w:r w:rsidRPr="00AD6080">
        <w:rPr>
          <w:rFonts w:ascii="Times New Roman" w:hAnsi="Times New Roman" w:cs="Times New Roman"/>
          <w:i/>
          <w:sz w:val="24"/>
          <w:szCs w:val="24"/>
          <w:lang w:eastAsia="ru-RU"/>
        </w:rPr>
        <w:t>Теоретические основы управленческого учета рассматривались и обобщались разными авторами в России и за рубежом. Единого мнения не существует: каждый автор аргументирует по-своему. В данной статье обобщены теоретические основы управленческого учета, его отличия от финансового учета по разнообразному количеству признаков, рассмотрена эволюция взглядов на его сущнос</w:t>
      </w:r>
      <w:r w:rsidR="007E1ABB">
        <w:rPr>
          <w:rFonts w:ascii="Times New Roman" w:hAnsi="Times New Roman" w:cs="Times New Roman"/>
          <w:i/>
          <w:sz w:val="24"/>
          <w:szCs w:val="24"/>
          <w:lang w:eastAsia="ru-RU"/>
        </w:rPr>
        <w:t>ть, задачи, принципы и функции.</w:t>
      </w:r>
    </w:p>
    <w:p w14:paraId="7F446682" w14:textId="77777777" w:rsidR="00212D0F" w:rsidRPr="00AD6080" w:rsidRDefault="00212D0F" w:rsidP="00212D0F">
      <w:pPr>
        <w:widowControl w:val="0"/>
        <w:spacing w:after="0" w:line="240" w:lineRule="auto"/>
        <w:ind w:firstLine="709"/>
        <w:jc w:val="both"/>
        <w:rPr>
          <w:rFonts w:ascii="Times New Roman" w:hAnsi="Times New Roman" w:cs="Times New Roman"/>
          <w:i/>
          <w:sz w:val="24"/>
          <w:szCs w:val="24"/>
          <w:lang w:eastAsia="ru-RU"/>
        </w:rPr>
      </w:pPr>
      <w:r w:rsidRPr="00AD6080">
        <w:rPr>
          <w:rFonts w:ascii="Times New Roman" w:hAnsi="Times New Roman" w:cs="Times New Roman"/>
          <w:b/>
          <w:i/>
          <w:sz w:val="24"/>
          <w:szCs w:val="24"/>
          <w:lang w:eastAsia="ru-RU"/>
        </w:rPr>
        <w:t>Ключевые слова и словосочетания</w:t>
      </w:r>
      <w:r w:rsidRPr="00AD6080">
        <w:rPr>
          <w:rFonts w:ascii="Times New Roman" w:hAnsi="Times New Roman" w:cs="Times New Roman"/>
          <w:i/>
          <w:sz w:val="24"/>
          <w:szCs w:val="24"/>
          <w:lang w:eastAsia="ru-RU"/>
        </w:rPr>
        <w:t>: управленческий учет, управление затратами, финансовый учет</w:t>
      </w:r>
    </w:p>
    <w:p w14:paraId="3B7FD67C" w14:textId="77777777" w:rsidR="00212D0F" w:rsidRPr="00AD6080" w:rsidRDefault="00212D0F" w:rsidP="00212D0F">
      <w:pPr>
        <w:widowControl w:val="0"/>
        <w:spacing w:after="0" w:line="240" w:lineRule="auto"/>
        <w:ind w:firstLine="709"/>
        <w:jc w:val="both"/>
        <w:rPr>
          <w:rFonts w:ascii="Times New Roman" w:hAnsi="Times New Roman" w:cs="Times New Roman"/>
          <w:i/>
          <w:sz w:val="24"/>
          <w:szCs w:val="24"/>
          <w:lang w:eastAsia="ru-RU"/>
        </w:rPr>
      </w:pPr>
    </w:p>
    <w:p w14:paraId="78CA84E8" w14:textId="77777777" w:rsidR="00212D0F" w:rsidRPr="00AD6080" w:rsidRDefault="007E1ABB" w:rsidP="00212D0F">
      <w:pPr>
        <w:spacing w:after="0" w:line="240" w:lineRule="auto"/>
        <w:jc w:val="center"/>
        <w:rPr>
          <w:rFonts w:ascii="Times New Roman" w:hAnsi="Times New Roman" w:cs="Times New Roman"/>
          <w:b/>
          <w:sz w:val="24"/>
          <w:szCs w:val="24"/>
          <w:lang w:val="en-US"/>
        </w:rPr>
      </w:pPr>
      <w:r w:rsidRPr="00AD6080">
        <w:rPr>
          <w:rFonts w:ascii="Times New Roman" w:hAnsi="Times New Roman" w:cs="Times New Roman"/>
          <w:b/>
          <w:sz w:val="24"/>
          <w:szCs w:val="24"/>
          <w:lang w:val="en-US"/>
        </w:rPr>
        <w:t>THE THEORETICAL BASIS OF MANAGEMENT ACCOUNTING AND THEIR EVOLUTION</w:t>
      </w:r>
    </w:p>
    <w:p w14:paraId="38D6B9B6" w14:textId="77777777" w:rsidR="00212D0F" w:rsidRPr="00AD6080" w:rsidRDefault="00212D0F" w:rsidP="00212D0F">
      <w:pPr>
        <w:widowControl w:val="0"/>
        <w:spacing w:after="0" w:line="240" w:lineRule="auto"/>
        <w:ind w:firstLine="709"/>
        <w:jc w:val="both"/>
        <w:rPr>
          <w:rFonts w:ascii="Times New Roman" w:hAnsi="Times New Roman" w:cs="Times New Roman"/>
          <w:i/>
          <w:sz w:val="24"/>
          <w:szCs w:val="24"/>
          <w:lang w:val="en-US" w:eastAsia="ru-RU"/>
        </w:rPr>
      </w:pPr>
    </w:p>
    <w:p w14:paraId="6631EEFF" w14:textId="77777777" w:rsidR="00212D0F" w:rsidRPr="00AD6080" w:rsidRDefault="00212D0F" w:rsidP="007E1ABB">
      <w:pPr>
        <w:widowControl w:val="0"/>
        <w:spacing w:after="0" w:line="240" w:lineRule="auto"/>
        <w:ind w:firstLine="709"/>
        <w:jc w:val="both"/>
        <w:rPr>
          <w:rFonts w:ascii="Times New Roman" w:hAnsi="Times New Roman" w:cs="Times New Roman"/>
          <w:i/>
          <w:sz w:val="24"/>
          <w:szCs w:val="24"/>
          <w:lang w:val="en-US" w:eastAsia="ru-RU"/>
        </w:rPr>
      </w:pPr>
      <w:r w:rsidRPr="00AD6080">
        <w:rPr>
          <w:rFonts w:ascii="Times New Roman" w:hAnsi="Times New Roman" w:cs="Times New Roman"/>
          <w:i/>
          <w:sz w:val="24"/>
          <w:szCs w:val="24"/>
          <w:lang w:val="en-US" w:eastAsia="ru-RU"/>
        </w:rPr>
        <w:t>The theoretical foundations of management accounting were reviewed and generalized by different authors in Russia and abroad. There is no one opinion: each author argues in his own way. This article summarizes the theoretical basis of management accounting, its differences from financial accounting for a variety of features, considered the evolution of views on its nature, tasks, principles and functions.</w:t>
      </w:r>
    </w:p>
    <w:p w14:paraId="750CC400" w14:textId="77777777" w:rsidR="00212D0F" w:rsidRPr="00AD6080" w:rsidRDefault="00212D0F" w:rsidP="00212D0F">
      <w:pPr>
        <w:widowControl w:val="0"/>
        <w:spacing w:after="0" w:line="240" w:lineRule="auto"/>
        <w:ind w:firstLine="709"/>
        <w:jc w:val="both"/>
        <w:rPr>
          <w:rFonts w:ascii="Times New Roman" w:hAnsi="Times New Roman" w:cs="Times New Roman"/>
          <w:i/>
          <w:sz w:val="24"/>
          <w:szCs w:val="24"/>
          <w:lang w:val="en-US" w:eastAsia="ru-RU"/>
        </w:rPr>
      </w:pPr>
      <w:r w:rsidRPr="00AD6080">
        <w:rPr>
          <w:rFonts w:ascii="Times New Roman" w:hAnsi="Times New Roman" w:cs="Times New Roman"/>
          <w:b/>
          <w:i/>
          <w:sz w:val="24"/>
          <w:szCs w:val="24"/>
          <w:lang w:val="en-US" w:eastAsia="ru-RU"/>
        </w:rPr>
        <w:t>Key words and phrases</w:t>
      </w:r>
      <w:r w:rsidRPr="00AD6080">
        <w:rPr>
          <w:rFonts w:ascii="Times New Roman" w:hAnsi="Times New Roman" w:cs="Times New Roman"/>
          <w:i/>
          <w:sz w:val="24"/>
          <w:szCs w:val="24"/>
          <w:lang w:val="en-US" w:eastAsia="ru-RU"/>
        </w:rPr>
        <w:t>: management accounting, cost management, financial accounting</w:t>
      </w:r>
    </w:p>
    <w:p w14:paraId="22F860BB" w14:textId="77777777" w:rsidR="00212D0F" w:rsidRPr="00AD6080" w:rsidRDefault="00212D0F" w:rsidP="00212D0F">
      <w:pPr>
        <w:widowControl w:val="0"/>
        <w:spacing w:after="0" w:line="240" w:lineRule="auto"/>
        <w:ind w:firstLine="709"/>
        <w:jc w:val="both"/>
        <w:rPr>
          <w:rFonts w:ascii="Times New Roman" w:hAnsi="Times New Roman" w:cs="Times New Roman"/>
          <w:i/>
          <w:sz w:val="24"/>
          <w:szCs w:val="24"/>
          <w:lang w:val="en-US" w:eastAsia="ru-RU"/>
        </w:rPr>
      </w:pPr>
    </w:p>
    <w:p w14:paraId="3FF387C4"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i/>
          <w:sz w:val="24"/>
          <w:szCs w:val="24"/>
          <w:lang w:eastAsia="ru-RU"/>
        </w:rPr>
        <w:t>Актуальность темы</w:t>
      </w:r>
      <w:r w:rsidRPr="00AD6080">
        <w:rPr>
          <w:rFonts w:ascii="Times New Roman" w:hAnsi="Times New Roman" w:cs="Times New Roman"/>
          <w:sz w:val="24"/>
          <w:szCs w:val="24"/>
          <w:lang w:eastAsia="ru-RU"/>
        </w:rPr>
        <w:t xml:space="preserve">. В современных условиях экономического кризиса и </w:t>
      </w:r>
      <w:r w:rsidRPr="00AD6080">
        <w:rPr>
          <w:rFonts w:ascii="Times New Roman" w:hAnsi="Times New Roman" w:cs="Times New Roman"/>
          <w:sz w:val="24"/>
          <w:szCs w:val="24"/>
          <w:lang w:eastAsia="ru-RU"/>
        </w:rPr>
        <w:lastRenderedPageBreak/>
        <w:t xml:space="preserve">повышенной конкуренции успешными могут быть только прибыльные предприятия. Повышение прибыли возможно двумя способами: увеличением выручки или сокращением затрат. Рост выручки зависит не столько от предприятия, сколько от внешних факторов. Следовательно, необходимо находить способы снижения затрат, а для этого требуется управление затратами, поскольку механическое снижение может привести только к потере качества. Организации, которые умеют управлять затратами, выйдут из кризиса победителями. Остальных ждет банкротство. Управленческий учет в состоянии сформировать, обобщить и предоставить информацию для управления затратами, причем несоизмеримо больший ее объем, нежели финансовый учет. Однако, нет однозначного понимания что такое управленческий учет и каковы его теоретические основы, тем более на разных этапах развития экономики и бизнеса. </w:t>
      </w:r>
    </w:p>
    <w:p w14:paraId="3A51A8C8"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i/>
          <w:sz w:val="24"/>
          <w:szCs w:val="24"/>
          <w:lang w:eastAsia="ru-RU"/>
        </w:rPr>
        <w:t>Цель и методы исследования</w:t>
      </w:r>
      <w:r w:rsidRPr="00AD6080">
        <w:rPr>
          <w:rFonts w:ascii="Times New Roman" w:hAnsi="Times New Roman" w:cs="Times New Roman"/>
          <w:sz w:val="24"/>
          <w:szCs w:val="24"/>
          <w:lang w:eastAsia="ru-RU"/>
        </w:rPr>
        <w:t xml:space="preserve">. Целью статьи является исследование теоретических основ управленческого учета с точки зрения их эволюции путем сопоставления разных точек зрения на определения управленческого учета, обобщения и классификации признаков сравнения управленческого и финансового учета по разным признакам, применения исторического подхода для рассмотрения эволюции целей и подходов развития управленческого учета. </w:t>
      </w:r>
    </w:p>
    <w:p w14:paraId="3D3772E8"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i/>
          <w:sz w:val="24"/>
          <w:szCs w:val="24"/>
          <w:lang w:eastAsia="ru-RU"/>
        </w:rPr>
        <w:t>Научная новизна</w:t>
      </w:r>
      <w:r w:rsidRPr="00AD6080">
        <w:rPr>
          <w:rFonts w:ascii="Times New Roman" w:hAnsi="Times New Roman" w:cs="Times New Roman"/>
          <w:sz w:val="24"/>
          <w:szCs w:val="24"/>
          <w:lang w:eastAsia="ru-RU"/>
        </w:rPr>
        <w:t xml:space="preserve"> заключается в доказательстве взаимосвязи изменения взглядов на сущность управленческого учета в процессе развития экономики страны и предприятия.</w:t>
      </w:r>
    </w:p>
    <w:p w14:paraId="2AF0E8E3"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i/>
          <w:sz w:val="24"/>
          <w:szCs w:val="24"/>
          <w:lang w:eastAsia="ru-RU"/>
        </w:rPr>
        <w:t>Полученные результаты.</w:t>
      </w:r>
      <w:r w:rsidRPr="00AD6080">
        <w:rPr>
          <w:rFonts w:ascii="Times New Roman" w:hAnsi="Times New Roman" w:cs="Times New Roman"/>
          <w:sz w:val="24"/>
          <w:szCs w:val="24"/>
          <w:lang w:eastAsia="ru-RU"/>
        </w:rPr>
        <w:t xml:space="preserve"> Управленческий учет предназначен для того, чтобы управленцы разных уровней иерархии предприятия могли, воспользовавшись его информацией, принять правильные, эффективные, грамотные решения по управлению организацией в целом и ее структурными подразделениями.</w:t>
      </w:r>
    </w:p>
    <w:p w14:paraId="5C1BFC2D"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Управленческий учет является составной частью бухгалтерского учета наряду с финансовым и налоговым. Такое деление учета достаточно условно, поскольку представляет собой классификацию видов учета по признаку разной информации для разных категорий пользователей. То есть информация финансового учета необходима для составления отчетности и для партнеров - внешних пользователей с прямым финансовым интересом. Информация налогового учета необходима для контролеров – налоговых служб, внебюджетных фондов. А, соответственно, информация управленческого учета – для специалистов и управленцев компании - для управления.</w:t>
      </w:r>
    </w:p>
    <w:p w14:paraId="789327F6"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Поскольку управленческий и налоговый виды учета не пересекаются в целях, то сравнивают два вида учета между собой – финансовый и управленческий (таблица 1). </w:t>
      </w:r>
    </w:p>
    <w:p w14:paraId="680A0012" w14:textId="77777777" w:rsidR="00212D0F" w:rsidRPr="00AD6080" w:rsidRDefault="00212D0F" w:rsidP="00212D0F">
      <w:pPr>
        <w:widowControl w:val="0"/>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Таблица 1 – Сравнение управленческого учета с финансовым по разным признакам</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00"/>
        <w:gridCol w:w="3636"/>
        <w:gridCol w:w="4218"/>
      </w:tblGrid>
      <w:tr w:rsidR="00212D0F" w:rsidRPr="00AD6080" w14:paraId="1F591038" w14:textId="77777777" w:rsidTr="00212D0F">
        <w:tc>
          <w:tcPr>
            <w:tcW w:w="1015" w:type="pct"/>
            <w:vAlign w:val="center"/>
          </w:tcPr>
          <w:p w14:paraId="0566138B" w14:textId="77777777" w:rsidR="00212D0F" w:rsidRPr="00AD6080" w:rsidRDefault="00212D0F" w:rsidP="00212D0F">
            <w:pPr>
              <w:overflowPunct w:val="0"/>
              <w:autoSpaceDE w:val="0"/>
              <w:autoSpaceDN w:val="0"/>
              <w:adjustRightInd w:val="0"/>
              <w:spacing w:after="0" w:line="240" w:lineRule="auto"/>
              <w:jc w:val="center"/>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Признак</w:t>
            </w:r>
          </w:p>
          <w:p w14:paraId="2B201642" w14:textId="77777777" w:rsidR="00212D0F" w:rsidRPr="00AD6080" w:rsidRDefault="00212D0F" w:rsidP="00212D0F">
            <w:pPr>
              <w:overflowPunct w:val="0"/>
              <w:autoSpaceDE w:val="0"/>
              <w:autoSpaceDN w:val="0"/>
              <w:adjustRightInd w:val="0"/>
              <w:spacing w:after="0" w:line="240" w:lineRule="auto"/>
              <w:jc w:val="center"/>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сравнения</w:t>
            </w:r>
          </w:p>
        </w:tc>
        <w:tc>
          <w:tcPr>
            <w:tcW w:w="1845" w:type="pct"/>
            <w:vAlign w:val="center"/>
          </w:tcPr>
          <w:p w14:paraId="19E25153" w14:textId="77777777" w:rsidR="00212D0F" w:rsidRPr="00AD6080" w:rsidRDefault="00212D0F" w:rsidP="00212D0F">
            <w:pPr>
              <w:overflowPunct w:val="0"/>
              <w:autoSpaceDE w:val="0"/>
              <w:autoSpaceDN w:val="0"/>
              <w:adjustRightInd w:val="0"/>
              <w:spacing w:after="120" w:line="240" w:lineRule="auto"/>
              <w:jc w:val="center"/>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Финансовый учёт</w:t>
            </w:r>
          </w:p>
        </w:tc>
        <w:tc>
          <w:tcPr>
            <w:tcW w:w="2140" w:type="pct"/>
            <w:vAlign w:val="center"/>
          </w:tcPr>
          <w:p w14:paraId="71C25A92" w14:textId="77777777" w:rsidR="00212D0F" w:rsidRPr="00AD6080" w:rsidRDefault="00212D0F" w:rsidP="00212D0F">
            <w:pPr>
              <w:overflowPunct w:val="0"/>
              <w:autoSpaceDE w:val="0"/>
              <w:autoSpaceDN w:val="0"/>
              <w:adjustRightInd w:val="0"/>
              <w:spacing w:after="120" w:line="240" w:lineRule="auto"/>
              <w:ind w:firstLine="34"/>
              <w:jc w:val="center"/>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Управленческий учёт</w:t>
            </w:r>
          </w:p>
        </w:tc>
      </w:tr>
      <w:tr w:rsidR="00212D0F" w:rsidRPr="00AD6080" w14:paraId="68032766" w14:textId="77777777" w:rsidTr="00212D0F">
        <w:tc>
          <w:tcPr>
            <w:tcW w:w="1015" w:type="pct"/>
            <w:vAlign w:val="center"/>
          </w:tcPr>
          <w:p w14:paraId="60DEF6A6"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1.Степень регламентации (обязательность)</w:t>
            </w:r>
          </w:p>
        </w:tc>
        <w:tc>
          <w:tcPr>
            <w:tcW w:w="1845" w:type="pct"/>
          </w:tcPr>
          <w:p w14:paraId="4DC90252"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требуется по законодательству</w:t>
            </w:r>
          </w:p>
        </w:tc>
        <w:tc>
          <w:tcPr>
            <w:tcW w:w="2140" w:type="pct"/>
          </w:tcPr>
          <w:p w14:paraId="28842DEA"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ведётся по решению администрации</w:t>
            </w:r>
          </w:p>
        </w:tc>
      </w:tr>
      <w:tr w:rsidR="00212D0F" w:rsidRPr="00AD6080" w14:paraId="6A057C3D" w14:textId="77777777" w:rsidTr="00212D0F">
        <w:tc>
          <w:tcPr>
            <w:tcW w:w="1015" w:type="pct"/>
            <w:vAlign w:val="center"/>
          </w:tcPr>
          <w:p w14:paraId="5CA41EEA"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2. Цели</w:t>
            </w:r>
          </w:p>
        </w:tc>
        <w:tc>
          <w:tcPr>
            <w:tcW w:w="1845" w:type="pct"/>
          </w:tcPr>
          <w:p w14:paraId="1B5AE8E4"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составление бухгалтерской отчётности</w:t>
            </w:r>
          </w:p>
        </w:tc>
        <w:tc>
          <w:tcPr>
            <w:tcW w:w="2140" w:type="pct"/>
          </w:tcPr>
          <w:p w14:paraId="26815DC5"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обеспечение менеджеров информацией для принятия соответствующих управленческих решений</w:t>
            </w:r>
          </w:p>
        </w:tc>
      </w:tr>
      <w:tr w:rsidR="00212D0F" w:rsidRPr="00AD6080" w14:paraId="107FD73F" w14:textId="77777777" w:rsidTr="00212D0F">
        <w:tc>
          <w:tcPr>
            <w:tcW w:w="1015" w:type="pct"/>
            <w:vAlign w:val="center"/>
          </w:tcPr>
          <w:p w14:paraId="2BBE94A2"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3.Пользователи информации</w:t>
            </w:r>
          </w:p>
        </w:tc>
        <w:tc>
          <w:tcPr>
            <w:tcW w:w="1845" w:type="pct"/>
          </w:tcPr>
          <w:p w14:paraId="5A8701AF"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внешние пользователи и администрации организации</w:t>
            </w:r>
          </w:p>
        </w:tc>
        <w:tc>
          <w:tcPr>
            <w:tcW w:w="2140" w:type="pct"/>
          </w:tcPr>
          <w:p w14:paraId="0AFF4639"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менеджеры различных уровней управления</w:t>
            </w:r>
          </w:p>
        </w:tc>
      </w:tr>
      <w:tr w:rsidR="00212D0F" w:rsidRPr="00AD6080" w14:paraId="732E9B8E" w14:textId="77777777" w:rsidTr="00212D0F">
        <w:tc>
          <w:tcPr>
            <w:tcW w:w="1015" w:type="pct"/>
            <w:vAlign w:val="center"/>
          </w:tcPr>
          <w:p w14:paraId="35B2F04D"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4. Правила</w:t>
            </w:r>
          </w:p>
        </w:tc>
        <w:tc>
          <w:tcPr>
            <w:tcW w:w="1845" w:type="pct"/>
          </w:tcPr>
          <w:p w14:paraId="76B5676F"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общепринятые принципы бухгалтерского учёта и правила составления отчётности</w:t>
            </w:r>
          </w:p>
        </w:tc>
        <w:tc>
          <w:tcPr>
            <w:tcW w:w="2140" w:type="pct"/>
          </w:tcPr>
          <w:p w14:paraId="5E7CA142"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нет ограничений, главный принцип – пригодность информации</w:t>
            </w:r>
          </w:p>
        </w:tc>
      </w:tr>
      <w:tr w:rsidR="00212D0F" w:rsidRPr="00AD6080" w14:paraId="1C2DF0BB" w14:textId="77777777" w:rsidTr="00212D0F">
        <w:tc>
          <w:tcPr>
            <w:tcW w:w="1015" w:type="pct"/>
            <w:vAlign w:val="center"/>
          </w:tcPr>
          <w:p w14:paraId="3EABCC60"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5. Измерители</w:t>
            </w:r>
          </w:p>
        </w:tc>
        <w:tc>
          <w:tcPr>
            <w:tcW w:w="1845" w:type="pct"/>
          </w:tcPr>
          <w:p w14:paraId="64387EEC"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денежная единица по курсу в момент совершения операций</w:t>
            </w:r>
          </w:p>
        </w:tc>
        <w:tc>
          <w:tcPr>
            <w:tcW w:w="2140" w:type="pct"/>
          </w:tcPr>
          <w:p w14:paraId="096AC6E0"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натуральные, трудовые, денежные измерители и оценки будущей стоимости</w:t>
            </w:r>
          </w:p>
        </w:tc>
      </w:tr>
      <w:tr w:rsidR="00212D0F" w:rsidRPr="00AD6080" w14:paraId="3B675709" w14:textId="77777777" w:rsidTr="00212D0F">
        <w:tc>
          <w:tcPr>
            <w:tcW w:w="1015" w:type="pct"/>
            <w:vAlign w:val="center"/>
          </w:tcPr>
          <w:p w14:paraId="47D7895D"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6.Степень </w:t>
            </w:r>
            <w:r w:rsidRPr="00AD6080">
              <w:rPr>
                <w:rFonts w:ascii="Times New Roman" w:hAnsi="Times New Roman" w:cs="Times New Roman"/>
                <w:sz w:val="24"/>
                <w:szCs w:val="24"/>
                <w:lang w:eastAsia="ru-RU"/>
              </w:rPr>
              <w:lastRenderedPageBreak/>
              <w:t>точности информации</w:t>
            </w:r>
          </w:p>
        </w:tc>
        <w:tc>
          <w:tcPr>
            <w:tcW w:w="1845" w:type="pct"/>
          </w:tcPr>
          <w:p w14:paraId="728F26E4"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lastRenderedPageBreak/>
              <w:t xml:space="preserve">достаточно высока, требует </w:t>
            </w:r>
            <w:r w:rsidRPr="00AD6080">
              <w:rPr>
                <w:rFonts w:ascii="Times New Roman" w:hAnsi="Times New Roman" w:cs="Times New Roman"/>
                <w:sz w:val="24"/>
                <w:szCs w:val="24"/>
                <w:lang w:eastAsia="ru-RU"/>
              </w:rPr>
              <w:lastRenderedPageBreak/>
              <w:t>объективности, поддаётся проверке</w:t>
            </w:r>
          </w:p>
        </w:tc>
        <w:tc>
          <w:tcPr>
            <w:tcW w:w="2140" w:type="pct"/>
          </w:tcPr>
          <w:p w14:paraId="0E8CCE3A"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lastRenderedPageBreak/>
              <w:t xml:space="preserve">применяется как достоверная, </w:t>
            </w:r>
            <w:r w:rsidRPr="00AD6080">
              <w:rPr>
                <w:rFonts w:ascii="Times New Roman" w:hAnsi="Times New Roman" w:cs="Times New Roman"/>
                <w:sz w:val="24"/>
                <w:szCs w:val="24"/>
                <w:lang w:eastAsia="ru-RU"/>
              </w:rPr>
              <w:lastRenderedPageBreak/>
              <w:t>проверенная информация, так и приблизительные оценки</w:t>
            </w:r>
          </w:p>
        </w:tc>
      </w:tr>
      <w:tr w:rsidR="00212D0F" w:rsidRPr="00AD6080" w14:paraId="075DC3E6" w14:textId="77777777" w:rsidTr="00212D0F">
        <w:tc>
          <w:tcPr>
            <w:tcW w:w="1015" w:type="pct"/>
            <w:vAlign w:val="center"/>
          </w:tcPr>
          <w:p w14:paraId="67C30A35"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lastRenderedPageBreak/>
              <w:t xml:space="preserve">7.Временной аспект </w:t>
            </w:r>
          </w:p>
        </w:tc>
        <w:tc>
          <w:tcPr>
            <w:tcW w:w="1845" w:type="pct"/>
          </w:tcPr>
          <w:p w14:paraId="33963691"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нацеленность в прошлое: оценка прошлого периода, исторический характер информации</w:t>
            </w:r>
          </w:p>
        </w:tc>
        <w:tc>
          <w:tcPr>
            <w:tcW w:w="2140" w:type="pct"/>
          </w:tcPr>
          <w:p w14:paraId="7B1AE7B1"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нацеленность в будущее: оценки и планы на будущее наравне с использованием исторической информации</w:t>
            </w:r>
          </w:p>
        </w:tc>
      </w:tr>
      <w:tr w:rsidR="00212D0F" w:rsidRPr="00AD6080" w14:paraId="193D17EB" w14:textId="77777777" w:rsidTr="00212D0F">
        <w:tc>
          <w:tcPr>
            <w:tcW w:w="1015" w:type="pct"/>
            <w:vAlign w:val="center"/>
          </w:tcPr>
          <w:p w14:paraId="2560D7C7"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8.Периодичность составления отчетности </w:t>
            </w:r>
          </w:p>
        </w:tc>
        <w:tc>
          <w:tcPr>
            <w:tcW w:w="1845" w:type="pct"/>
          </w:tcPr>
          <w:p w14:paraId="4FC72205"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составляется на регулярной основе в сроки, установленные законодательством (за месяц, квартал, год)</w:t>
            </w:r>
          </w:p>
        </w:tc>
        <w:tc>
          <w:tcPr>
            <w:tcW w:w="2140" w:type="pct"/>
          </w:tcPr>
          <w:p w14:paraId="53CE1263"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составляется как на регулярной основе, так и по мере необходимости, как правило, сразу после окончания периода (за 1,5,10 дней)</w:t>
            </w:r>
          </w:p>
        </w:tc>
      </w:tr>
      <w:tr w:rsidR="00212D0F" w:rsidRPr="00AD6080" w14:paraId="5B3EEA76" w14:textId="77777777" w:rsidTr="00212D0F">
        <w:tc>
          <w:tcPr>
            <w:tcW w:w="1015" w:type="pct"/>
            <w:vAlign w:val="center"/>
          </w:tcPr>
          <w:p w14:paraId="75459CBE"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9.Объект отчётности</w:t>
            </w:r>
          </w:p>
        </w:tc>
        <w:tc>
          <w:tcPr>
            <w:tcW w:w="1845" w:type="pct"/>
          </w:tcPr>
          <w:p w14:paraId="456200FE" w14:textId="77777777" w:rsidR="00212D0F" w:rsidRPr="00AD6080" w:rsidRDefault="00212D0F" w:rsidP="00212D0F">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организация в целом</w:t>
            </w:r>
          </w:p>
        </w:tc>
        <w:tc>
          <w:tcPr>
            <w:tcW w:w="2140" w:type="pct"/>
          </w:tcPr>
          <w:p w14:paraId="064E9BDE" w14:textId="77777777" w:rsidR="00212D0F" w:rsidRPr="00AD6080" w:rsidRDefault="00212D0F" w:rsidP="00212D0F">
            <w:pPr>
              <w:overflowPunct w:val="0"/>
              <w:autoSpaceDE w:val="0"/>
              <w:autoSpaceDN w:val="0"/>
              <w:adjustRightInd w:val="0"/>
              <w:spacing w:after="0" w:line="240" w:lineRule="auto"/>
              <w:ind w:firstLine="34"/>
              <w:jc w:val="both"/>
              <w:textAlignment w:val="baseline"/>
              <w:rPr>
                <w:rFonts w:ascii="Times New Roman" w:hAnsi="Times New Roman" w:cs="Times New Roman"/>
                <w:sz w:val="24"/>
                <w:szCs w:val="24"/>
                <w:lang w:eastAsia="ru-RU"/>
              </w:rPr>
            </w:pPr>
            <w:r w:rsidRPr="00AD6080">
              <w:rPr>
                <w:rFonts w:ascii="Times New Roman" w:hAnsi="Times New Roman" w:cs="Times New Roman"/>
                <w:sz w:val="24"/>
                <w:szCs w:val="24"/>
                <w:lang w:eastAsia="ru-RU"/>
              </w:rPr>
              <w:t>различные структурные подразделения организации, как правило, центры ответственности</w:t>
            </w:r>
          </w:p>
        </w:tc>
      </w:tr>
    </w:tbl>
    <w:p w14:paraId="0F709A7B" w14:textId="77777777" w:rsidR="00212D0F" w:rsidRPr="00AD6080" w:rsidRDefault="00212D0F" w:rsidP="00212D0F">
      <w:pPr>
        <w:widowControl w:val="0"/>
        <w:spacing w:before="120"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Но есть не только различия финансового и управленческого учета, но и общность. Она проявляется в использовании одних и тех же принципов и в том, что управленческий учет «является логическим следствием развития бухгалтерского учета, его эволюции» [9].</w:t>
      </w:r>
    </w:p>
    <w:p w14:paraId="050C0D07"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Изначально бухгалтерский учет предназначался для управления предпринимательской деятельностью. «Сам купец, хозяин мастерской или другой коммерсант, а затем нанятые ими профессиональные бухгалтеры, делая записи о приобретениях и тратах, движимом и недвижимом имуществе, долгах кредиторам и задолженности дебиторов, делали их для себя, для собственных нужд управления бизнесом предприятия. Учет им нужен был, чтобы не забыть, если дело дойдет до судебного разбирательства, в точности воспроизвести обстоятельства спорной сделки или долга. Даже когда учет стал включать подсчет затрат и калькуляцию себестоимости, делалось это для владельцев и управляющих предприятия в целях обеспечения экономичности его деятельности, ориентации в ценообразовании, оценки выгодности производства и продаж тех или иных товаров, т.е. для управления коммерческой деятельностью» [9].</w:t>
      </w:r>
    </w:p>
    <w:p w14:paraId="2FA7912B"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Потом с появлением хозяйственных организаций коллективной собственности бухгалтерский учет стал приобретать общественное значение и «понадобились единство в его методике, необходимость в ее законодательном регулировании, введение единой отчетности и правил ее составления. К тому же постоянно укрепляющее свою власть государство сразу оценило роль бухгалтерского учета в налогообложении, в расчетах с бюджетом и стало активно вмешиваться в установление его правил и контроль за их соблюдением, прежде всего из фискальных соображений. Бухгалтерский учет, сохраняя принципиальные возможности участия в управлении предприятием, постепенно превратился в учет для сторонних потребителей его данных: акционеров, пайщиков, государства и третьих лиц (кредитных, инвестиционных организаций, поставщиков, покупателей и т.п.)» [9].</w:t>
      </w:r>
    </w:p>
    <w:p w14:paraId="3761800D"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В середине XX в. управленческий учет выделился из недр бухгалтерского учета</w:t>
      </w:r>
      <w:r w:rsidRPr="00AD6080">
        <w:rPr>
          <w:rFonts w:ascii="Times New Roman" w:hAnsi="Times New Roman" w:cs="Times New Roman"/>
          <w:color w:val="FF0000"/>
          <w:sz w:val="24"/>
          <w:szCs w:val="24"/>
          <w:lang w:eastAsia="ru-RU"/>
        </w:rPr>
        <w:t xml:space="preserve"> </w:t>
      </w:r>
      <w:r w:rsidRPr="00AD6080">
        <w:rPr>
          <w:rFonts w:ascii="Times New Roman" w:hAnsi="Times New Roman" w:cs="Times New Roman"/>
          <w:sz w:val="24"/>
          <w:szCs w:val="24"/>
          <w:lang w:eastAsia="ru-RU"/>
        </w:rPr>
        <w:t xml:space="preserve">в связи с развитием техники, технологий, появлением новых инструментов рынка, усилением конкуренции. «Увеличилось количество вариантов решения экономических проблем и ситуаций, они усложнились. Возросла и цена ошибки из-за неправильно принятого решения по управлению предприятием» [5]. Тогда и были сформулированы основные принципы управленческого учета. </w:t>
      </w:r>
    </w:p>
    <w:p w14:paraId="0322C7A0"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В таблице 2 представлены ключевые слова этих определений, сгруппи</w:t>
      </w:r>
      <w:r w:rsidRPr="00AD6080">
        <w:rPr>
          <w:rFonts w:ascii="Times New Roman" w:hAnsi="Times New Roman" w:cs="Times New Roman"/>
          <w:sz w:val="24"/>
          <w:szCs w:val="24"/>
          <w:lang w:eastAsia="ru-RU"/>
        </w:rPr>
        <w:softHyphen/>
        <w:t>рованных по ряду временных интервалов.</w:t>
      </w:r>
    </w:p>
    <w:p w14:paraId="4BD21378" w14:textId="77777777" w:rsidR="00212D0F" w:rsidRPr="00AD6080" w:rsidRDefault="00212D0F" w:rsidP="00212D0F">
      <w:pPr>
        <w:widowControl w:val="0"/>
        <w:spacing w:after="0" w:line="240" w:lineRule="auto"/>
        <w:jc w:val="both"/>
        <w:rPr>
          <w:rFonts w:ascii="Times New Roman" w:hAnsi="Times New Roman" w:cs="Times New Roman"/>
          <w:sz w:val="24"/>
          <w:szCs w:val="24"/>
          <w:lang w:eastAsia="ru-RU"/>
        </w:rPr>
      </w:pPr>
      <w:r w:rsidRPr="00AD6080">
        <w:rPr>
          <w:rFonts w:ascii="Times New Roman" w:hAnsi="Times New Roman" w:cs="Times New Roman"/>
          <w:spacing w:val="-1"/>
          <w:sz w:val="24"/>
          <w:szCs w:val="24"/>
          <w:lang w:eastAsia="ru-RU"/>
        </w:rPr>
        <w:t>Таблица 2 - Ключевые слова определений управленческого учета</w:t>
      </w:r>
    </w:p>
    <w:tbl>
      <w:tblPr>
        <w:tblW w:w="5000" w:type="pct"/>
        <w:tblCellMar>
          <w:left w:w="40" w:type="dxa"/>
          <w:right w:w="40" w:type="dxa"/>
        </w:tblCellMar>
        <w:tblLook w:val="0000" w:firstRow="0" w:lastRow="0" w:firstColumn="0" w:lastColumn="0" w:noHBand="0" w:noVBand="0"/>
      </w:tblPr>
      <w:tblGrid>
        <w:gridCol w:w="1600"/>
        <w:gridCol w:w="8118"/>
      </w:tblGrid>
      <w:tr w:rsidR="00212D0F" w:rsidRPr="00AD6080" w14:paraId="43769623" w14:textId="77777777" w:rsidTr="630840AF">
        <w:trPr>
          <w:trHeight w:hRule="exact" w:val="288"/>
        </w:trPr>
        <w:tc>
          <w:tcPr>
            <w:tcW w:w="823" w:type="pct"/>
            <w:tcBorders>
              <w:top w:val="single" w:sz="6" w:space="0" w:color="auto"/>
              <w:left w:val="single" w:sz="6" w:space="0" w:color="auto"/>
              <w:bottom w:val="single" w:sz="6" w:space="0" w:color="auto"/>
              <w:right w:val="single" w:sz="6" w:space="0" w:color="auto"/>
            </w:tcBorders>
            <w:shd w:val="clear" w:color="auto" w:fill="FFFFFF" w:themeFill="background1"/>
          </w:tcPr>
          <w:p w14:paraId="405BF695" w14:textId="77777777" w:rsidR="00212D0F" w:rsidRPr="00AD6080" w:rsidRDefault="00212D0F" w:rsidP="630840AF">
            <w:pPr>
              <w:widowControl w:val="0"/>
              <w:shd w:val="clear" w:color="auto" w:fill="FFFFFF" w:themeFill="background1"/>
              <w:autoSpaceDE w:val="0"/>
              <w:autoSpaceDN w:val="0"/>
              <w:adjustRightInd w:val="0"/>
              <w:spacing w:after="0" w:line="240" w:lineRule="auto"/>
              <w:jc w:val="center"/>
              <w:rPr>
                <w:rFonts w:ascii="Times New Roman" w:hAnsi="Times New Roman" w:cs="Times New Roman"/>
                <w:sz w:val="24"/>
                <w:szCs w:val="24"/>
                <w:lang w:eastAsia="ru-RU"/>
              </w:rPr>
            </w:pPr>
            <w:r w:rsidRPr="00AD6080">
              <w:rPr>
                <w:rFonts w:ascii="Times New Roman" w:hAnsi="Times New Roman" w:cs="Times New Roman"/>
                <w:spacing w:val="-6"/>
                <w:sz w:val="24"/>
                <w:szCs w:val="24"/>
                <w:lang w:eastAsia="ru-RU"/>
              </w:rPr>
              <w:t>Период</w:t>
            </w:r>
          </w:p>
        </w:tc>
        <w:tc>
          <w:tcPr>
            <w:tcW w:w="4177" w:type="pct"/>
            <w:tcBorders>
              <w:top w:val="single" w:sz="6" w:space="0" w:color="auto"/>
              <w:left w:val="single" w:sz="6" w:space="0" w:color="auto"/>
              <w:bottom w:val="single" w:sz="6" w:space="0" w:color="auto"/>
              <w:right w:val="single" w:sz="6" w:space="0" w:color="auto"/>
            </w:tcBorders>
            <w:shd w:val="clear" w:color="auto" w:fill="FFFFFF" w:themeFill="background1"/>
          </w:tcPr>
          <w:p w14:paraId="2025BEAC" w14:textId="77777777" w:rsidR="00212D0F" w:rsidRPr="00AD6080" w:rsidRDefault="630840AF" w:rsidP="630840AF">
            <w:pPr>
              <w:widowControl w:val="0"/>
              <w:shd w:val="clear" w:color="auto" w:fill="FFFFFF" w:themeFill="background1"/>
              <w:autoSpaceDE w:val="0"/>
              <w:autoSpaceDN w:val="0"/>
              <w:adjustRightInd w:val="0"/>
              <w:spacing w:after="0" w:line="240" w:lineRule="auto"/>
              <w:jc w:val="center"/>
              <w:rPr>
                <w:rFonts w:ascii="Times New Roman" w:hAnsi="Times New Roman" w:cs="Times New Roman"/>
                <w:sz w:val="24"/>
                <w:szCs w:val="24"/>
                <w:lang w:eastAsia="ru-RU"/>
              </w:rPr>
            </w:pPr>
            <w:r w:rsidRPr="630840AF">
              <w:rPr>
                <w:rFonts w:ascii="Times New Roman" w:hAnsi="Times New Roman" w:cs="Times New Roman"/>
                <w:sz w:val="24"/>
                <w:szCs w:val="24"/>
                <w:lang w:eastAsia="ru-RU"/>
              </w:rPr>
              <w:t>Ключевые слова</w:t>
            </w:r>
          </w:p>
        </w:tc>
      </w:tr>
      <w:tr w:rsidR="00212D0F" w:rsidRPr="00AD6080" w14:paraId="177CF074" w14:textId="77777777" w:rsidTr="630840AF">
        <w:trPr>
          <w:trHeight w:hRule="exact" w:val="394"/>
        </w:trPr>
        <w:tc>
          <w:tcPr>
            <w:tcW w:w="823" w:type="pct"/>
            <w:tcBorders>
              <w:top w:val="single" w:sz="6" w:space="0" w:color="auto"/>
              <w:left w:val="single" w:sz="6" w:space="0" w:color="auto"/>
              <w:bottom w:val="single" w:sz="6" w:space="0" w:color="auto"/>
              <w:right w:val="single" w:sz="6" w:space="0" w:color="auto"/>
            </w:tcBorders>
            <w:shd w:val="clear" w:color="auto" w:fill="FFFFFF" w:themeFill="background1"/>
          </w:tcPr>
          <w:p w14:paraId="50DB41E8" w14:textId="77777777" w:rsidR="00212D0F" w:rsidRPr="00AD6080" w:rsidRDefault="00212D0F" w:rsidP="630840AF">
            <w:pPr>
              <w:widowControl w:val="0"/>
              <w:shd w:val="clear" w:color="auto" w:fill="FFFFFF" w:themeFill="background1"/>
              <w:autoSpaceDE w:val="0"/>
              <w:autoSpaceDN w:val="0"/>
              <w:adjustRightInd w:val="0"/>
              <w:spacing w:after="0" w:line="240" w:lineRule="auto"/>
              <w:ind w:left="19"/>
              <w:rPr>
                <w:rFonts w:ascii="Times New Roman" w:hAnsi="Times New Roman" w:cs="Times New Roman"/>
                <w:sz w:val="24"/>
                <w:szCs w:val="24"/>
                <w:lang w:eastAsia="ru-RU"/>
              </w:rPr>
            </w:pPr>
            <w:r w:rsidRPr="00AD6080">
              <w:rPr>
                <w:rFonts w:ascii="Times New Roman" w:hAnsi="Times New Roman" w:cs="Times New Roman"/>
                <w:sz w:val="24"/>
                <w:szCs w:val="24"/>
                <w:lang w:eastAsia="ru-RU"/>
              </w:rPr>
              <w:t>1997-</w:t>
            </w:r>
            <w:r w:rsidRPr="00AD6080">
              <w:rPr>
                <w:rFonts w:ascii="Times New Roman" w:hAnsi="Times New Roman" w:cs="Times New Roman"/>
                <w:spacing w:val="-6"/>
                <w:sz w:val="24"/>
                <w:szCs w:val="24"/>
                <w:lang w:eastAsia="ru-RU"/>
              </w:rPr>
              <w:t>2000 гг.</w:t>
            </w:r>
          </w:p>
        </w:tc>
        <w:tc>
          <w:tcPr>
            <w:tcW w:w="4177" w:type="pct"/>
            <w:tcBorders>
              <w:top w:val="single" w:sz="6" w:space="0" w:color="auto"/>
              <w:left w:val="single" w:sz="6" w:space="0" w:color="auto"/>
              <w:bottom w:val="single" w:sz="6" w:space="0" w:color="auto"/>
              <w:right w:val="single" w:sz="6" w:space="0" w:color="auto"/>
            </w:tcBorders>
            <w:shd w:val="clear" w:color="auto" w:fill="FFFFFF" w:themeFill="background1"/>
          </w:tcPr>
          <w:p w14:paraId="3F75701B" w14:textId="77777777" w:rsidR="00212D0F" w:rsidRPr="00AD6080" w:rsidRDefault="630840AF" w:rsidP="630840AF">
            <w:pPr>
              <w:widowControl w:val="0"/>
              <w:shd w:val="clear" w:color="auto" w:fill="FFFFFF" w:themeFill="background1"/>
              <w:tabs>
                <w:tab w:val="left" w:pos="288"/>
              </w:tabs>
              <w:autoSpaceDE w:val="0"/>
              <w:autoSpaceDN w:val="0"/>
              <w:adjustRightInd w:val="0"/>
              <w:spacing w:after="0" w:line="269" w:lineRule="exact"/>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-Обеспечение информацией [3]</w:t>
            </w:r>
          </w:p>
        </w:tc>
      </w:tr>
      <w:tr w:rsidR="00212D0F" w:rsidRPr="00AD6080" w14:paraId="51E4B20E" w14:textId="77777777" w:rsidTr="630840AF">
        <w:trPr>
          <w:trHeight w:hRule="exact" w:val="558"/>
        </w:trPr>
        <w:tc>
          <w:tcPr>
            <w:tcW w:w="823" w:type="pct"/>
            <w:tcBorders>
              <w:top w:val="single" w:sz="6" w:space="0" w:color="auto"/>
              <w:left w:val="single" w:sz="6" w:space="0" w:color="auto"/>
              <w:bottom w:val="single" w:sz="6" w:space="0" w:color="auto"/>
              <w:right w:val="single" w:sz="6" w:space="0" w:color="auto"/>
            </w:tcBorders>
            <w:shd w:val="clear" w:color="auto" w:fill="FFFFFF" w:themeFill="background1"/>
          </w:tcPr>
          <w:p w14:paraId="527F8C11" w14:textId="77777777" w:rsidR="00212D0F" w:rsidRPr="00AD6080" w:rsidRDefault="630840AF" w:rsidP="630840AF">
            <w:pPr>
              <w:widowControl w:val="0"/>
              <w:shd w:val="clear" w:color="auto" w:fill="FFFFFF" w:themeFill="background1"/>
              <w:autoSpaceDE w:val="0"/>
              <w:autoSpaceDN w:val="0"/>
              <w:adjustRightInd w:val="0"/>
              <w:spacing w:after="0" w:line="269" w:lineRule="exact"/>
              <w:ind w:left="10" w:right="144"/>
              <w:rPr>
                <w:rFonts w:ascii="Times New Roman" w:hAnsi="Times New Roman" w:cs="Times New Roman"/>
                <w:sz w:val="24"/>
                <w:szCs w:val="24"/>
                <w:lang w:eastAsia="ru-RU"/>
              </w:rPr>
            </w:pPr>
            <w:r w:rsidRPr="630840AF">
              <w:rPr>
                <w:rFonts w:ascii="Times New Roman" w:hAnsi="Times New Roman" w:cs="Times New Roman"/>
                <w:sz w:val="24"/>
                <w:szCs w:val="24"/>
                <w:lang w:eastAsia="ru-RU"/>
              </w:rPr>
              <w:t>2001-2009 гг.</w:t>
            </w:r>
          </w:p>
        </w:tc>
        <w:tc>
          <w:tcPr>
            <w:tcW w:w="4177" w:type="pct"/>
            <w:tcBorders>
              <w:top w:val="single" w:sz="6" w:space="0" w:color="auto"/>
              <w:left w:val="single" w:sz="6" w:space="0" w:color="auto"/>
              <w:bottom w:val="single" w:sz="6" w:space="0" w:color="auto"/>
              <w:right w:val="single" w:sz="6" w:space="0" w:color="auto"/>
            </w:tcBorders>
            <w:shd w:val="clear" w:color="auto" w:fill="FFFFFF" w:themeFill="background1"/>
          </w:tcPr>
          <w:p w14:paraId="52394675" w14:textId="77777777" w:rsidR="00212D0F" w:rsidRPr="00AD6080" w:rsidRDefault="00212D0F" w:rsidP="630840AF">
            <w:pPr>
              <w:widowControl w:val="0"/>
              <w:shd w:val="clear" w:color="auto" w:fill="FFFFFF" w:themeFill="background1"/>
              <w:tabs>
                <w:tab w:val="left" w:pos="278"/>
              </w:tabs>
              <w:autoSpaceDE w:val="0"/>
              <w:autoSpaceDN w:val="0"/>
              <w:adjustRightInd w:val="0"/>
              <w:spacing w:after="0" w:line="269" w:lineRule="exact"/>
              <w:ind w:right="58" w:hanging="1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w:t>
            </w:r>
            <w:r w:rsidRPr="00AD6080">
              <w:rPr>
                <w:rFonts w:ascii="Times New Roman" w:hAnsi="Times New Roman" w:cs="Times New Roman"/>
                <w:spacing w:val="-3"/>
                <w:sz w:val="24"/>
                <w:szCs w:val="24"/>
                <w:lang w:eastAsia="ru-RU"/>
              </w:rPr>
              <w:t xml:space="preserve">Набор взаимосвязанных подсистем, чтобы получить годную для применения </w:t>
            </w:r>
            <w:r w:rsidRPr="00AD6080">
              <w:rPr>
                <w:rFonts w:ascii="Times New Roman" w:hAnsi="Times New Roman" w:cs="Times New Roman"/>
                <w:sz w:val="24"/>
                <w:szCs w:val="24"/>
                <w:lang w:eastAsia="ru-RU"/>
              </w:rPr>
              <w:t>информацию [1]</w:t>
            </w:r>
          </w:p>
        </w:tc>
      </w:tr>
      <w:tr w:rsidR="00212D0F" w:rsidRPr="00AD6080" w14:paraId="60D7ADBD" w14:textId="77777777" w:rsidTr="630840AF">
        <w:trPr>
          <w:trHeight w:hRule="exact" w:val="1139"/>
        </w:trPr>
        <w:tc>
          <w:tcPr>
            <w:tcW w:w="823" w:type="pct"/>
            <w:tcBorders>
              <w:top w:val="single" w:sz="6" w:space="0" w:color="auto"/>
              <w:left w:val="single" w:sz="6" w:space="0" w:color="auto"/>
              <w:bottom w:val="single" w:sz="6" w:space="0" w:color="auto"/>
              <w:right w:val="single" w:sz="6" w:space="0" w:color="auto"/>
            </w:tcBorders>
            <w:shd w:val="clear" w:color="auto" w:fill="FFFFFF" w:themeFill="background1"/>
          </w:tcPr>
          <w:p w14:paraId="68FB362F" w14:textId="77777777" w:rsidR="00212D0F" w:rsidRPr="00AD6080" w:rsidRDefault="630840AF" w:rsidP="630840AF">
            <w:pPr>
              <w:widowControl w:val="0"/>
              <w:shd w:val="clear" w:color="auto" w:fill="FFFFFF" w:themeFill="background1"/>
              <w:autoSpaceDE w:val="0"/>
              <w:autoSpaceDN w:val="0"/>
              <w:adjustRightInd w:val="0"/>
              <w:spacing w:after="0" w:line="269" w:lineRule="exact"/>
              <w:ind w:left="10" w:right="144"/>
              <w:rPr>
                <w:rFonts w:ascii="Times New Roman" w:hAnsi="Times New Roman" w:cs="Times New Roman"/>
                <w:sz w:val="24"/>
                <w:szCs w:val="24"/>
                <w:lang w:eastAsia="ru-RU"/>
              </w:rPr>
            </w:pPr>
            <w:r w:rsidRPr="630840AF">
              <w:rPr>
                <w:rFonts w:ascii="Times New Roman" w:hAnsi="Times New Roman" w:cs="Times New Roman"/>
                <w:sz w:val="24"/>
                <w:szCs w:val="24"/>
                <w:lang w:eastAsia="ru-RU"/>
              </w:rPr>
              <w:lastRenderedPageBreak/>
              <w:t>2010-2017 гг.</w:t>
            </w:r>
          </w:p>
        </w:tc>
        <w:tc>
          <w:tcPr>
            <w:tcW w:w="4177" w:type="pct"/>
            <w:tcBorders>
              <w:top w:val="single" w:sz="6" w:space="0" w:color="auto"/>
              <w:left w:val="single" w:sz="6" w:space="0" w:color="auto"/>
              <w:bottom w:val="single" w:sz="6" w:space="0" w:color="auto"/>
              <w:right w:val="single" w:sz="6" w:space="0" w:color="auto"/>
            </w:tcBorders>
            <w:shd w:val="clear" w:color="auto" w:fill="FFFFFF" w:themeFill="background1"/>
          </w:tcPr>
          <w:p w14:paraId="3AF3CE0D" w14:textId="77777777" w:rsidR="00212D0F" w:rsidRPr="00AD6080" w:rsidRDefault="630840AF" w:rsidP="630840AF">
            <w:pPr>
              <w:widowControl w:val="0"/>
              <w:shd w:val="clear" w:color="auto" w:fill="FFFFFF" w:themeFill="background1"/>
              <w:tabs>
                <w:tab w:val="left" w:pos="278"/>
              </w:tabs>
              <w:autoSpaceDE w:val="0"/>
              <w:autoSpaceDN w:val="0"/>
              <w:adjustRightInd w:val="0"/>
              <w:spacing w:after="0" w:line="269" w:lineRule="exact"/>
              <w:ind w:right="58" w:hanging="10"/>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-Установленная организацией интегрированная система планирования, учета, контроля, анализа и регулирования [2]; -Процесс, происходящий внутри организации; информационная система, обеспечивающая сбор, измерение, систематизацию, анализ и передачу данных [8]</w:t>
            </w:r>
          </w:p>
        </w:tc>
      </w:tr>
    </w:tbl>
    <w:p w14:paraId="2B737D8C" w14:textId="77777777" w:rsidR="00212D0F" w:rsidRPr="00AD6080" w:rsidRDefault="00212D0F" w:rsidP="00212D0F">
      <w:pPr>
        <w:widowControl w:val="0"/>
        <w:spacing w:before="120"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Первоначально управленческий учет предназначался для учета и контроля, исчисления себестоимости продукции и анализа затрат. Тогда он обеспечивал «предоставление информации лицам в самой организации, на основе которой они могут обоснованно принимать решения и повышать эффективность и производительность текущих операций» [4]. Затем широко стали использовать системы директ-костинг и стандарт кост, и этого было достаточно для принятия оперативных управленческих решений. Затем «в систему управленческого учета были включены прогнозирование и планирование затрат и результатов деятельности и значительная часть производственного бухгалтерского учета. Сделано это было для того, чтобы уменьшить степень неопределенности, свойственной рыночным условиям хозяйствования» [8]. В последующем управленческий учет включил в состав своих методов бюджетирование, оценку инвестиционных проектов, анализ финансовых показателей, поведенческие аспекты принятия решений.</w:t>
      </w:r>
    </w:p>
    <w:p w14:paraId="353F52E8"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«Основными задачами организации управленческого учета являются ориентация на достижение заранее определенной цели предпринимательства, необходимость обеспечения альтернативных вариантов решения поставленной задачи, участие в выборе оптимального варианта и в расчетах нормативных параметров его исполнения, ориентация на выявление отклонений от заданных параметров исполнения, интерпретация выявленных отклонений и их анализ» [8]. </w:t>
      </w:r>
    </w:p>
    <w:p w14:paraId="2A458E63"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Принципами формирования информации для управления являются: принцип опережения данных для принятия управленческого решения и принцип ответственности за его последствия. «Правильная оценка предстоящих расходов и доходов в бизнесе гораздо важнее, чем констатация упущенных возможностей. В то же время, если нет ответственности за результаты хозяйствования на всех уровнях управления, вести управленческий учет не имеет смысла» [7].</w:t>
      </w:r>
    </w:p>
    <w:p w14:paraId="238CDA92"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Функциями современного управленческого учета являются: прогнозирование, нормирование, планирование, оперативный учет и контроль.</w:t>
      </w:r>
    </w:p>
    <w:p w14:paraId="4C910DCB" w14:textId="77777777" w:rsidR="00AD6080" w:rsidRPr="00AD6080" w:rsidRDefault="00212D0F" w:rsidP="007E1ABB">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i/>
          <w:sz w:val="24"/>
          <w:szCs w:val="24"/>
          <w:lang w:eastAsia="ru-RU"/>
        </w:rPr>
        <w:t>Выводы.</w:t>
      </w:r>
      <w:r w:rsidRPr="00AD6080">
        <w:rPr>
          <w:rFonts w:ascii="Times New Roman" w:hAnsi="Times New Roman" w:cs="Times New Roman"/>
          <w:sz w:val="24"/>
          <w:szCs w:val="24"/>
          <w:lang w:eastAsia="ru-RU"/>
        </w:rPr>
        <w:t xml:space="preserve"> Управленческий учет предназначен для того, чтобы управленцы разных уровней иерархии предприятия могли, воспользовавшись его информацией, принять правильные, эффективные, грамотные решения по управлению организацией и ее структурными подразделениями. Управленческий учет отличается от финансового учета целым рядом признаков, начиная от цели и регламентации, до периодичности составления. Хотя изначально сам бухгалтерский учет возник для управления бизнесом и только с появлением хозяйственных организаций коллективной собственности он стал приобретать общественное значение. В 20 веке управленческий учет стал самостоятельным. Первоначально управленческий учет рассматривался как учет и контроль, исчисление и анализ затрат предприятия, потом стал включать бюджетирование, оценку инвестиционных проектов, анализ финансовых показателей, поведенческие аспекты принятия решений. Задачами организации управленческого учета являются ориентация на достижение заранее определенной цели предпринимательства с обеспечением альтернативных и эффективных решений путем прогнозирования, нормирования, планирования, оперативного учета и контроля.</w:t>
      </w:r>
    </w:p>
    <w:p w14:paraId="39098AA1" w14:textId="77777777" w:rsidR="00212D0F" w:rsidRPr="00AD6080" w:rsidRDefault="00212D0F" w:rsidP="00212D0F">
      <w:pPr>
        <w:widowControl w:val="0"/>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_________________________________________________</w:t>
      </w:r>
    </w:p>
    <w:p w14:paraId="413AEF8D"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1. Апчерч, А. Управленческий учет: принципы и практика /А. Апчерч. Под ред. Я. В. Соколова, И. А. Смирновой. - М.: Финансы и статистика, 2002. -952 с.</w:t>
      </w:r>
    </w:p>
    <w:p w14:paraId="7C1362E9"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2. Бережной, В. И. Бухгалтерский управленческий учет: Учеб. пособие / В. И. Бережной, Г. Е. Крохичева, В. В. Лесняк. -М: ИНФРА-М, 2014.-176 с.</w:t>
      </w:r>
    </w:p>
    <w:p w14:paraId="6EB86090"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3. Вахрушина, М. А. Бухгалтерский управленческий учет: Учеб. посо¬бие / М. А. Вахрушина. - М.: ЗАО «Финстатинформ», 2000. - 359 с.</w:t>
      </w:r>
    </w:p>
    <w:p w14:paraId="40676A06"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lastRenderedPageBreak/>
        <w:t>4. Друри, К. Управленческий учет для бизнес-решений: Учебник / К. Друри. Пер. с англ. - М.: ЮНИТИ-ДАНА, 2003. - 655 с.</w:t>
      </w:r>
    </w:p>
    <w:p w14:paraId="74D8C026"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5. Зимакова Л.А. Применение методов и моделей управленческого учета на разных стадиях строительной деятельности / Л.А. Зимакова, С.Н. Цыгулева, И.В. Серебренникова // Международный бухгалтерский учет. – 2014. – № 42 (336). – С. 2-10.</w:t>
      </w:r>
    </w:p>
    <w:p w14:paraId="7AA93673"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6. Костюкова, Е. И. Управленческий учет: Учебник / Е. И. Костюкова, А. Н. Бобрышев, О. В. Ельчанинова, И. Б. Манжосова, М. Н. Татаринова, С. В. Гришанова. - Ставрополь, типография «Седьмое небо», 2017.-271 с.</w:t>
      </w:r>
    </w:p>
    <w:p w14:paraId="4FA9F18B"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7. Сабзалиев С.М. Теоретико-методологические подходы к управлению производственными затратами в системе управленческого учета / С.М.Сабзалиев, С.А. Аббасова // Управленческий учет. - 2017. - № 3. - С. 10-18.</w:t>
      </w:r>
    </w:p>
    <w:p w14:paraId="5697258A"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8. Супрунова Е.А. Конфликт традиционных и инновационных методов управленческого учета / Е.А. Супрунова // Управленческий учет. – 2014. – № 1. – С. 41-49.</w:t>
      </w:r>
    </w:p>
    <w:p w14:paraId="361F7489" w14:textId="77777777" w:rsidR="00212D0F" w:rsidRPr="00AD6080" w:rsidRDefault="00212D0F" w:rsidP="00212D0F">
      <w:pPr>
        <w:suppressAutoHyphens/>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9. Сысо Т.Н. Оптимизация управления затратами предприятия / Т.Н. Сысо // Вестник Омского университета. Серия «Экономика». - 2011. - № 4. - С. 135–143.</w:t>
      </w:r>
    </w:p>
    <w:p w14:paraId="698536F5" w14:textId="77777777" w:rsidR="00212D0F" w:rsidRDefault="00212D0F" w:rsidP="00173C65">
      <w:pPr>
        <w:rPr>
          <w:rFonts w:ascii="Times New Roman" w:hAnsi="Times New Roman"/>
          <w:b/>
          <w:sz w:val="20"/>
          <w:szCs w:val="24"/>
        </w:rPr>
      </w:pPr>
    </w:p>
    <w:p w14:paraId="7938E11B" w14:textId="77777777" w:rsidR="00173C65" w:rsidRPr="00AD6080" w:rsidRDefault="00173C65" w:rsidP="00173C65">
      <w:pPr>
        <w:rPr>
          <w:rFonts w:ascii="Times New Roman" w:hAnsi="Times New Roman" w:cs="Times New Roman"/>
          <w:b/>
          <w:sz w:val="24"/>
          <w:szCs w:val="24"/>
        </w:rPr>
      </w:pPr>
      <w:r w:rsidRPr="00AD6080">
        <w:rPr>
          <w:rFonts w:ascii="Times New Roman" w:hAnsi="Times New Roman" w:cs="Times New Roman"/>
          <w:b/>
          <w:sz w:val="24"/>
          <w:szCs w:val="24"/>
        </w:rPr>
        <w:t>Рубрика: Экономика труда</w:t>
      </w:r>
    </w:p>
    <w:p w14:paraId="233EC1A9" w14:textId="77777777" w:rsidR="00173C65" w:rsidRPr="00AD6080" w:rsidRDefault="00173C65" w:rsidP="00173C65">
      <w:pPr>
        <w:rPr>
          <w:rFonts w:ascii="Times New Roman" w:hAnsi="Times New Roman" w:cs="Times New Roman"/>
          <w:sz w:val="24"/>
          <w:szCs w:val="24"/>
        </w:rPr>
      </w:pPr>
      <w:r w:rsidRPr="00AD6080">
        <w:rPr>
          <w:rFonts w:ascii="Times New Roman" w:hAnsi="Times New Roman" w:cs="Times New Roman"/>
          <w:sz w:val="24"/>
          <w:szCs w:val="24"/>
        </w:rPr>
        <w:t>УДК 331.22</w:t>
      </w:r>
    </w:p>
    <w:p w14:paraId="1CA0FA4C" w14:textId="77777777" w:rsidR="00173C65" w:rsidRPr="00AD6080" w:rsidRDefault="00173C65" w:rsidP="00173C65">
      <w:pPr>
        <w:spacing w:before="240" w:line="240" w:lineRule="auto"/>
        <w:jc w:val="center"/>
        <w:rPr>
          <w:rFonts w:ascii="Times New Roman" w:hAnsi="Times New Roman" w:cs="Times New Roman"/>
          <w:sz w:val="24"/>
          <w:szCs w:val="24"/>
        </w:rPr>
      </w:pPr>
      <w:r w:rsidRPr="00AD6080">
        <w:rPr>
          <w:rFonts w:ascii="Times New Roman" w:hAnsi="Times New Roman" w:cs="Times New Roman"/>
          <w:b/>
          <w:sz w:val="24"/>
          <w:szCs w:val="24"/>
          <w:lang w:eastAsia="ar-SA"/>
        </w:rPr>
        <w:t>ВИДЫ, ФОРМЫ И СИСТЕМЫ ОПЛАТЫ ТРУДА, ИХ ХАРАКТЕРИСТИКА И ОРГАНИЗАЦИЯ УЧЁТА НА ПРИМЕРЕ ООО РТС «ВОСТОЧНОЕ» Г. МОСКВА.</w:t>
      </w:r>
    </w:p>
    <w:p w14:paraId="233610D5" w14:textId="77777777" w:rsidR="00173C65" w:rsidRPr="00AD6080" w:rsidRDefault="007E1ABB" w:rsidP="00173C6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lang w:eastAsia="ar-SA"/>
        </w:rPr>
        <w:t>Куськова Юлия Александровна</w:t>
      </w:r>
    </w:p>
    <w:p w14:paraId="344C7C09" w14:textId="77777777" w:rsidR="00173C65" w:rsidRPr="00AD6080" w:rsidRDefault="00173C65" w:rsidP="00173C65">
      <w:pPr>
        <w:spacing w:after="0" w:line="240" w:lineRule="auto"/>
        <w:jc w:val="center"/>
        <w:rPr>
          <w:rFonts w:ascii="Times New Roman" w:hAnsi="Times New Roman" w:cs="Times New Roman"/>
          <w:sz w:val="24"/>
          <w:szCs w:val="24"/>
        </w:rPr>
      </w:pPr>
      <w:r w:rsidRPr="00AD6080">
        <w:rPr>
          <w:rFonts w:ascii="Times New Roman" w:hAnsi="Times New Roman" w:cs="Times New Roman"/>
          <w:sz w:val="24"/>
          <w:szCs w:val="24"/>
          <w:lang w:eastAsia="ar-SA"/>
        </w:rPr>
        <w:t>бакалавр</w:t>
      </w:r>
    </w:p>
    <w:p w14:paraId="2D97682D" w14:textId="77777777" w:rsidR="00173C65" w:rsidRPr="00AD6080" w:rsidRDefault="00173C65" w:rsidP="00173C65">
      <w:pPr>
        <w:spacing w:before="240" w:line="240" w:lineRule="auto"/>
        <w:jc w:val="center"/>
        <w:rPr>
          <w:rFonts w:ascii="Times New Roman" w:hAnsi="Times New Roman" w:cs="Times New Roman"/>
          <w:i/>
          <w:color w:val="000000" w:themeColor="text1"/>
          <w:sz w:val="24"/>
          <w:szCs w:val="24"/>
        </w:rPr>
      </w:pPr>
      <w:r w:rsidRPr="00AD6080">
        <w:rPr>
          <w:rFonts w:ascii="Times New Roman" w:hAnsi="Times New Roman" w:cs="Times New Roman"/>
          <w:i/>
          <w:color w:val="000000" w:themeColor="text1"/>
          <w:sz w:val="24"/>
          <w:szCs w:val="24"/>
        </w:rPr>
        <w:t>Владивостокский государственный университет экономики и сервиса</w:t>
      </w:r>
      <w:r w:rsidRPr="00AD6080">
        <w:rPr>
          <w:rFonts w:ascii="Times New Roman" w:hAnsi="Times New Roman" w:cs="Times New Roman"/>
          <w:i/>
          <w:color w:val="000000" w:themeColor="text1"/>
          <w:sz w:val="24"/>
          <w:szCs w:val="24"/>
        </w:rPr>
        <w:br/>
        <w:t>Россия, Владивосток</w:t>
      </w:r>
    </w:p>
    <w:p w14:paraId="268BDFE1" w14:textId="77777777" w:rsidR="00173C65" w:rsidRPr="00AD6080" w:rsidRDefault="00173C65" w:rsidP="00173C65">
      <w:pPr>
        <w:spacing w:before="240" w:line="240" w:lineRule="auto"/>
        <w:jc w:val="center"/>
        <w:rPr>
          <w:rFonts w:ascii="Times New Roman" w:hAnsi="Times New Roman" w:cs="Times New Roman"/>
          <w:color w:val="000000" w:themeColor="text1"/>
          <w:sz w:val="24"/>
          <w:szCs w:val="24"/>
        </w:rPr>
      </w:pPr>
      <w:r w:rsidRPr="00AD6080">
        <w:rPr>
          <w:rFonts w:ascii="Times New Roman" w:hAnsi="Times New Roman" w:cs="Times New Roman"/>
          <w:color w:val="000000" w:themeColor="text1"/>
          <w:sz w:val="24"/>
          <w:szCs w:val="24"/>
          <w:lang w:val="en-US"/>
        </w:rPr>
        <w:t>E</w:t>
      </w:r>
      <w:r w:rsidRPr="00AD6080">
        <w:rPr>
          <w:rFonts w:ascii="Times New Roman" w:hAnsi="Times New Roman" w:cs="Times New Roman"/>
          <w:color w:val="000000" w:themeColor="text1"/>
          <w:sz w:val="24"/>
          <w:szCs w:val="24"/>
        </w:rPr>
        <w:t>-</w:t>
      </w:r>
      <w:r w:rsidRPr="00AD6080">
        <w:rPr>
          <w:rFonts w:ascii="Times New Roman" w:hAnsi="Times New Roman" w:cs="Times New Roman"/>
          <w:color w:val="000000" w:themeColor="text1"/>
          <w:sz w:val="24"/>
          <w:szCs w:val="24"/>
          <w:lang w:val="en-US"/>
        </w:rPr>
        <w:t>mail</w:t>
      </w:r>
      <w:r w:rsidRPr="00AD6080">
        <w:rPr>
          <w:rFonts w:ascii="Times New Roman" w:hAnsi="Times New Roman" w:cs="Times New Roman"/>
          <w:color w:val="000000" w:themeColor="text1"/>
          <w:sz w:val="24"/>
          <w:szCs w:val="24"/>
        </w:rPr>
        <w:t>:</w:t>
      </w:r>
      <w:hyperlink r:id="rId45" w:history="1">
        <w:r w:rsidRPr="00AD6080">
          <w:rPr>
            <w:rStyle w:val="a4"/>
            <w:rFonts w:ascii="Times New Roman" w:hAnsi="Times New Roman" w:cs="Times New Roman"/>
            <w:color w:val="000000" w:themeColor="text1"/>
            <w:sz w:val="24"/>
            <w:szCs w:val="24"/>
            <w:lang w:val="en-US"/>
          </w:rPr>
          <w:t>kuskova</w:t>
        </w:r>
        <w:r w:rsidRPr="00AD6080">
          <w:rPr>
            <w:rStyle w:val="a4"/>
            <w:rFonts w:ascii="Times New Roman" w:hAnsi="Times New Roman" w:cs="Times New Roman"/>
            <w:color w:val="000000" w:themeColor="text1"/>
            <w:sz w:val="24"/>
            <w:szCs w:val="24"/>
          </w:rPr>
          <w:t>.</w:t>
        </w:r>
        <w:r w:rsidRPr="00AD6080">
          <w:rPr>
            <w:rStyle w:val="a4"/>
            <w:rFonts w:ascii="Times New Roman" w:hAnsi="Times New Roman" w:cs="Times New Roman"/>
            <w:color w:val="000000" w:themeColor="text1"/>
            <w:sz w:val="24"/>
            <w:szCs w:val="24"/>
            <w:lang w:val="en-US"/>
          </w:rPr>
          <w:t>yuliya</w:t>
        </w:r>
        <w:r w:rsidRPr="00AD6080">
          <w:rPr>
            <w:rStyle w:val="a4"/>
            <w:rFonts w:ascii="Times New Roman" w:hAnsi="Times New Roman" w:cs="Times New Roman"/>
            <w:color w:val="000000" w:themeColor="text1"/>
            <w:sz w:val="24"/>
            <w:szCs w:val="24"/>
          </w:rPr>
          <w:t>@</w:t>
        </w:r>
        <w:r w:rsidRPr="00AD6080">
          <w:rPr>
            <w:rStyle w:val="a4"/>
            <w:rFonts w:ascii="Times New Roman" w:hAnsi="Times New Roman" w:cs="Times New Roman"/>
            <w:color w:val="000000" w:themeColor="text1"/>
            <w:sz w:val="24"/>
            <w:szCs w:val="24"/>
            <w:lang w:val="en-US"/>
          </w:rPr>
          <w:t>mail</w:t>
        </w:r>
        <w:r w:rsidRPr="00AD6080">
          <w:rPr>
            <w:rStyle w:val="a4"/>
            <w:rFonts w:ascii="Times New Roman" w:hAnsi="Times New Roman" w:cs="Times New Roman"/>
            <w:color w:val="000000" w:themeColor="text1"/>
            <w:sz w:val="24"/>
            <w:szCs w:val="24"/>
          </w:rPr>
          <w:t>.</w:t>
        </w:r>
        <w:r w:rsidRPr="00AD6080">
          <w:rPr>
            <w:rStyle w:val="a4"/>
            <w:rFonts w:ascii="Times New Roman" w:hAnsi="Times New Roman" w:cs="Times New Roman"/>
            <w:color w:val="000000" w:themeColor="text1"/>
            <w:sz w:val="24"/>
            <w:szCs w:val="24"/>
            <w:lang w:val="en-US"/>
          </w:rPr>
          <w:t>ru</w:t>
        </w:r>
      </w:hyperlink>
      <w:r w:rsidRPr="00AD6080">
        <w:rPr>
          <w:rFonts w:ascii="Times New Roman" w:hAnsi="Times New Roman" w:cs="Times New Roman"/>
          <w:color w:val="000000" w:themeColor="text1"/>
          <w:sz w:val="24"/>
          <w:szCs w:val="24"/>
        </w:rPr>
        <w:t>, 89940084202</w:t>
      </w:r>
      <w:r w:rsidRPr="00AD6080">
        <w:rPr>
          <w:rFonts w:ascii="Times New Roman" w:hAnsi="Times New Roman" w:cs="Times New Roman"/>
          <w:color w:val="000000" w:themeColor="text1"/>
          <w:sz w:val="24"/>
          <w:szCs w:val="24"/>
        </w:rPr>
        <w:br/>
        <w:t>ул. Гоголя, 41, г. Владивосток, Приморский край, Россия, 690014</w:t>
      </w:r>
    </w:p>
    <w:p w14:paraId="18508376" w14:textId="77777777" w:rsidR="00AD6080" w:rsidRPr="007E1ABB" w:rsidRDefault="00173C65" w:rsidP="007E1ABB">
      <w:pPr>
        <w:spacing w:after="0" w:line="240" w:lineRule="auto"/>
        <w:ind w:firstLine="709"/>
        <w:jc w:val="both"/>
        <w:rPr>
          <w:rFonts w:ascii="Times New Roman" w:hAnsi="Times New Roman" w:cs="Times New Roman"/>
          <w:i/>
          <w:sz w:val="24"/>
          <w:szCs w:val="24"/>
        </w:rPr>
      </w:pPr>
      <w:r w:rsidRPr="00AD6080">
        <w:rPr>
          <w:rFonts w:ascii="Times New Roman" w:hAnsi="Times New Roman" w:cs="Times New Roman"/>
          <w:i/>
          <w:sz w:val="24"/>
          <w:szCs w:val="24"/>
        </w:rPr>
        <w:t>Данная статья посвящена комплексному исследованию заработной платы предприятия ООО РТС «Восточное», затрагивая системы оплаты труда, применяемые предприятием и пути их совершенствования. Целью статьи является анализ и оценка оплаты труда работников, работающих на предприятии ООО РТС «Восточное». Также в статье выяснены особенности документального оформ</w:t>
      </w:r>
      <w:r w:rsidR="007E1ABB">
        <w:rPr>
          <w:rFonts w:ascii="Times New Roman" w:hAnsi="Times New Roman" w:cs="Times New Roman"/>
          <w:i/>
          <w:sz w:val="24"/>
          <w:szCs w:val="24"/>
        </w:rPr>
        <w:t>ления расчетов по оплате труда.</w:t>
      </w:r>
    </w:p>
    <w:p w14:paraId="54EE339E" w14:textId="77777777" w:rsidR="00173C65" w:rsidRPr="007E1ABB" w:rsidRDefault="00173C65" w:rsidP="007E1ABB">
      <w:pPr>
        <w:widowControl w:val="0"/>
        <w:suppressAutoHyphens/>
        <w:spacing w:after="0" w:line="240" w:lineRule="auto"/>
        <w:ind w:right="-74" w:firstLine="709"/>
        <w:jc w:val="both"/>
        <w:rPr>
          <w:rFonts w:ascii="Times New Roman" w:hAnsi="Times New Roman" w:cs="Times New Roman"/>
          <w:i/>
          <w:sz w:val="24"/>
          <w:szCs w:val="24"/>
          <w:lang w:eastAsia="ar-SA"/>
        </w:rPr>
      </w:pPr>
      <w:r w:rsidRPr="00AD6080">
        <w:rPr>
          <w:rFonts w:ascii="Times New Roman" w:hAnsi="Times New Roman" w:cs="Times New Roman"/>
          <w:b/>
          <w:i/>
          <w:sz w:val="24"/>
          <w:szCs w:val="24"/>
          <w:lang w:eastAsia="ar-SA"/>
        </w:rPr>
        <w:t>Ключевые слова и словосочетания:</w:t>
      </w:r>
      <w:r w:rsidRPr="00AD6080">
        <w:rPr>
          <w:rFonts w:ascii="Times New Roman" w:hAnsi="Times New Roman" w:cs="Times New Roman"/>
          <w:i/>
          <w:sz w:val="24"/>
          <w:szCs w:val="24"/>
          <w:lang w:eastAsia="ar-SA"/>
        </w:rPr>
        <w:t xml:space="preserve"> оплата труда, заработная плата, системы оплаты труда, виды оплаты труда, выплаты, мотивация, фонд оплаты труда, производительность труда, пособия,</w:t>
      </w:r>
      <w:r w:rsidR="007E1ABB">
        <w:rPr>
          <w:rFonts w:ascii="Times New Roman" w:hAnsi="Times New Roman" w:cs="Times New Roman"/>
          <w:i/>
          <w:sz w:val="24"/>
          <w:szCs w:val="24"/>
          <w:lang w:eastAsia="ar-SA"/>
        </w:rPr>
        <w:t xml:space="preserve"> премии, учёт заработной платы.</w:t>
      </w:r>
    </w:p>
    <w:p w14:paraId="571737B4" w14:textId="77777777" w:rsidR="00173C65" w:rsidRPr="00AD6080" w:rsidRDefault="00173C65" w:rsidP="00173C65">
      <w:pPr>
        <w:spacing w:before="240" w:line="240" w:lineRule="auto"/>
        <w:jc w:val="center"/>
        <w:rPr>
          <w:rFonts w:ascii="Times New Roman" w:hAnsi="Times New Roman" w:cs="Times New Roman"/>
          <w:b/>
          <w:sz w:val="24"/>
          <w:szCs w:val="24"/>
          <w:lang w:val="en-US"/>
        </w:rPr>
      </w:pPr>
      <w:r w:rsidRPr="00AD6080">
        <w:rPr>
          <w:rFonts w:ascii="Times New Roman" w:hAnsi="Times New Roman" w:cs="Times New Roman"/>
          <w:b/>
          <w:sz w:val="24"/>
          <w:szCs w:val="24"/>
          <w:lang w:val="en-US"/>
        </w:rPr>
        <w:t>TYPES, FORMS AND PAYMENT SYSTEMS, THEIR CHARACTERISTICS AND ORGANIZATION OF ACCOUNTING ON THE EXAMPLE OF LLC RTS «EASTERLY», MOSCOW.</w:t>
      </w:r>
    </w:p>
    <w:p w14:paraId="669FFC70" w14:textId="77777777" w:rsidR="00AD6080" w:rsidRPr="000B1300" w:rsidRDefault="00173C65" w:rsidP="007E1ABB">
      <w:pPr>
        <w:spacing w:after="0" w:line="240" w:lineRule="auto"/>
        <w:ind w:firstLine="708"/>
        <w:jc w:val="both"/>
        <w:rPr>
          <w:rFonts w:ascii="Times New Roman" w:hAnsi="Times New Roman" w:cs="Times New Roman"/>
          <w:b/>
          <w:i/>
          <w:sz w:val="24"/>
          <w:szCs w:val="24"/>
          <w:lang w:val="en-US"/>
        </w:rPr>
      </w:pPr>
      <w:r w:rsidRPr="00AD6080">
        <w:rPr>
          <w:rFonts w:ascii="Times New Roman" w:hAnsi="Times New Roman" w:cs="Times New Roman"/>
          <w:i/>
          <w:sz w:val="24"/>
          <w:szCs w:val="24"/>
          <w:lang w:val="en-US"/>
        </w:rPr>
        <w:t>This article is devoted to complex research of a salary of the LLC RTS « Easterly» enterprise, affecting the wage systems applied by the enterprise and ways of their improvement. The purpose of the article is to analyze and assess the remuneration of employees working at the enterprise LLC RTS Easterly». Also in article features of documentary registration of calculations on compensation are found out.</w:t>
      </w:r>
    </w:p>
    <w:p w14:paraId="1B78CC0C" w14:textId="77777777" w:rsidR="00173C65" w:rsidRPr="00AD6080" w:rsidRDefault="00173C65" w:rsidP="00173C65">
      <w:pPr>
        <w:spacing w:after="0" w:line="240" w:lineRule="auto"/>
        <w:ind w:firstLine="709"/>
        <w:jc w:val="both"/>
        <w:rPr>
          <w:rFonts w:ascii="Times New Roman" w:hAnsi="Times New Roman" w:cs="Times New Roman"/>
          <w:b/>
          <w:i/>
          <w:sz w:val="24"/>
          <w:szCs w:val="24"/>
          <w:lang w:val="en-US"/>
        </w:rPr>
      </w:pPr>
      <w:r w:rsidRPr="00AD6080">
        <w:rPr>
          <w:rFonts w:ascii="Times New Roman" w:hAnsi="Times New Roman" w:cs="Times New Roman"/>
          <w:b/>
          <w:i/>
          <w:sz w:val="24"/>
          <w:szCs w:val="24"/>
          <w:lang w:val="en-US"/>
        </w:rPr>
        <w:t xml:space="preserve">Key words: </w:t>
      </w:r>
      <w:r w:rsidRPr="00AD6080">
        <w:rPr>
          <w:rFonts w:ascii="Times New Roman" w:hAnsi="Times New Roman" w:cs="Times New Roman"/>
          <w:i/>
          <w:sz w:val="24"/>
          <w:szCs w:val="24"/>
          <w:lang w:val="en-US"/>
        </w:rPr>
        <w:t>remuneration, wages, wage systems, types of remuneration, payments, motivation, wage Fund, productivity, benefits, bonuses, payroll accounting.</w:t>
      </w:r>
    </w:p>
    <w:p w14:paraId="6DE4515D" w14:textId="77777777" w:rsidR="00173C65" w:rsidRPr="00AD6080" w:rsidRDefault="00173C65" w:rsidP="00173C65">
      <w:pPr>
        <w:spacing w:before="24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lastRenderedPageBreak/>
        <w:t xml:space="preserve">Оплата труда является одной из наиболее значимых составляющих в отношениях между работником и работодателем. Задачей работодателя является выбор оптимальной системы оплаты труда, размера тарифных ставок, выплат в пользу работника и т.д. В свою очередь, задачами работника какого-либо предприятия являются качественное и своевременное выполнение своих обязанностей, положительная производительность труда и другое. После Конституции РФ главным регулятором трудовых отношений между работником и работодателем является Трудовой кодекс РФ, определяющий права и обязанности сторон [1]. </w:t>
      </w:r>
    </w:p>
    <w:p w14:paraId="67088466" w14:textId="77777777" w:rsidR="00173C65" w:rsidRPr="00AD6080" w:rsidRDefault="00173C65" w:rsidP="00173C65">
      <w:pPr>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t xml:space="preserve">        Актуальность исследуемого вопроса заключается в том, что оплату труда, являющуюся неотъемлемой составляющей жизни каждого человека, нельзя назвать идеальной, полностью удовлетворяющей потребности всех людей, поэтому она требует более глубокого изучения с целью дальнейшего совершенствования.  </w:t>
      </w:r>
    </w:p>
    <w:p w14:paraId="63661E67" w14:textId="77777777" w:rsidR="00173C65" w:rsidRPr="00AD6080" w:rsidRDefault="00173C65" w:rsidP="00173C65">
      <w:pPr>
        <w:spacing w:after="0" w:line="240" w:lineRule="auto"/>
        <w:ind w:firstLine="709"/>
        <w:jc w:val="both"/>
        <w:rPr>
          <w:rFonts w:ascii="Times New Roman" w:hAnsi="Times New Roman" w:cs="Times New Roman"/>
          <w:b/>
          <w:sz w:val="24"/>
          <w:szCs w:val="24"/>
        </w:rPr>
      </w:pPr>
      <w:r w:rsidRPr="00AD6080">
        <w:rPr>
          <w:rFonts w:ascii="Times New Roman" w:hAnsi="Times New Roman" w:cs="Times New Roman"/>
          <w:sz w:val="24"/>
          <w:szCs w:val="24"/>
        </w:rPr>
        <w:t>Задача данной статьи состоит в рассмотрении системы оплаты труда и путей её совершенствования на примере ООО РТС «Восточное».</w:t>
      </w:r>
    </w:p>
    <w:p w14:paraId="1193C62F" w14:textId="77777777" w:rsidR="00173C65" w:rsidRPr="00AD6080" w:rsidRDefault="00173C65" w:rsidP="00173C65">
      <w:pPr>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t>Исследование проводится в рамках ООО РТС «Восточное». Что касается анализа оплаты труда, то актуально применение способа сравнения, который путём сопоставления фактических показателей с показателями прошлых лет помогает определить развитие тенденций экономических процессов.</w:t>
      </w:r>
    </w:p>
    <w:p w14:paraId="19C26499" w14:textId="77777777" w:rsidR="00173C65" w:rsidRPr="00AD6080" w:rsidRDefault="00173C65" w:rsidP="00173C65">
      <w:pPr>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t xml:space="preserve">ООО РТС «Восточное», занимающаяся </w:t>
      </w:r>
      <w:r w:rsidRPr="00AD6080">
        <w:rPr>
          <w:rFonts w:ascii="Times New Roman" w:hAnsi="Times New Roman" w:cs="Times New Roman"/>
          <w:sz w:val="24"/>
          <w:szCs w:val="24"/>
          <w:shd w:val="clear" w:color="auto" w:fill="FFFFFF"/>
        </w:rPr>
        <w:t>оптовой торговлей</w:t>
      </w:r>
      <w:r w:rsidRPr="00AD6080">
        <w:rPr>
          <w:rFonts w:ascii="Times New Roman" w:hAnsi="Times New Roman" w:cs="Times New Roman"/>
          <w:sz w:val="24"/>
          <w:szCs w:val="24"/>
        </w:rPr>
        <w:t xml:space="preserve"> рыбой</w:t>
      </w:r>
      <w:r w:rsidRPr="00AD6080">
        <w:rPr>
          <w:rFonts w:ascii="Times New Roman" w:hAnsi="Times New Roman" w:cs="Times New Roman"/>
          <w:sz w:val="24"/>
          <w:szCs w:val="24"/>
          <w:shd w:val="clear" w:color="auto" w:fill="FFFFFF"/>
        </w:rPr>
        <w:t xml:space="preserve">, ракообразными, </w:t>
      </w:r>
      <w:r w:rsidRPr="00AD6080">
        <w:rPr>
          <w:rFonts w:ascii="Times New Roman" w:hAnsi="Times New Roman" w:cs="Times New Roman"/>
          <w:sz w:val="24"/>
          <w:szCs w:val="24"/>
        </w:rPr>
        <w:t xml:space="preserve">моллюсками </w:t>
      </w:r>
      <w:r w:rsidRPr="00AD6080">
        <w:rPr>
          <w:rFonts w:ascii="Times New Roman" w:hAnsi="Times New Roman" w:cs="Times New Roman"/>
          <w:sz w:val="24"/>
          <w:szCs w:val="24"/>
          <w:shd w:val="clear" w:color="auto" w:fill="FFFFFF"/>
        </w:rPr>
        <w:t xml:space="preserve">и консервами было зарегистрировано в 2006 году в Москве. На данный момент предприятие работает эффективно и имеет прибыль в размере 465 тыс. рублей в 2017 году [2]. </w:t>
      </w:r>
    </w:p>
    <w:p w14:paraId="33C26A67" w14:textId="77777777" w:rsidR="00173C65" w:rsidRPr="00AD6080" w:rsidRDefault="00173C65" w:rsidP="00173C65">
      <w:pPr>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t>Для того, чтобы проанализировать показатели, связанные с оплатой труда, рассмотрим нижеприведенную таблицу.</w:t>
      </w:r>
    </w:p>
    <w:p w14:paraId="5C8E0BE4" w14:textId="77777777" w:rsidR="00173C65" w:rsidRPr="00AD6080" w:rsidRDefault="00173C65" w:rsidP="00173C65">
      <w:pPr>
        <w:spacing w:line="240" w:lineRule="auto"/>
        <w:jc w:val="right"/>
        <w:rPr>
          <w:rFonts w:ascii="Times New Roman" w:hAnsi="Times New Roman" w:cs="Times New Roman"/>
          <w:i/>
          <w:sz w:val="24"/>
          <w:szCs w:val="24"/>
        </w:rPr>
      </w:pPr>
      <w:r w:rsidRPr="00AD6080">
        <w:rPr>
          <w:rFonts w:ascii="Times New Roman" w:hAnsi="Times New Roman" w:cs="Times New Roman"/>
          <w:i/>
          <w:sz w:val="24"/>
          <w:szCs w:val="24"/>
        </w:rPr>
        <w:t>Таблица 1</w:t>
      </w:r>
    </w:p>
    <w:p w14:paraId="42C4C0A8" w14:textId="77777777" w:rsidR="00173C65" w:rsidRPr="00AD6080" w:rsidRDefault="00173C65" w:rsidP="00173C65">
      <w:pPr>
        <w:spacing w:line="240" w:lineRule="auto"/>
        <w:jc w:val="center"/>
        <w:rPr>
          <w:rFonts w:ascii="Times New Roman" w:hAnsi="Times New Roman" w:cs="Times New Roman"/>
          <w:b/>
          <w:sz w:val="24"/>
          <w:szCs w:val="24"/>
        </w:rPr>
      </w:pPr>
      <w:r w:rsidRPr="00AD6080">
        <w:rPr>
          <w:rFonts w:ascii="Times New Roman" w:hAnsi="Times New Roman" w:cs="Times New Roman"/>
          <w:b/>
          <w:sz w:val="24"/>
          <w:szCs w:val="24"/>
        </w:rPr>
        <w:t>Экономические показатели ООО РТС «Восточное» за 2016-2017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7"/>
        <w:gridCol w:w="1882"/>
        <w:gridCol w:w="1882"/>
        <w:gridCol w:w="1904"/>
        <w:gridCol w:w="1886"/>
      </w:tblGrid>
      <w:tr w:rsidR="00173C65" w:rsidRPr="00AD6080" w14:paraId="7E451375" w14:textId="77777777" w:rsidTr="00A57174">
        <w:trPr>
          <w:jc w:val="center"/>
        </w:trPr>
        <w:tc>
          <w:tcPr>
            <w:tcW w:w="2017" w:type="dxa"/>
            <w:vMerge w:val="restart"/>
            <w:vAlign w:val="center"/>
          </w:tcPr>
          <w:p w14:paraId="7351759D" w14:textId="77777777" w:rsidR="00173C65" w:rsidRPr="00AD6080" w:rsidRDefault="00173C65" w:rsidP="00A57174">
            <w:pPr>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Показатель</w:t>
            </w:r>
          </w:p>
        </w:tc>
        <w:tc>
          <w:tcPr>
            <w:tcW w:w="1882" w:type="dxa"/>
            <w:vMerge w:val="restart"/>
            <w:vAlign w:val="center"/>
          </w:tcPr>
          <w:p w14:paraId="5C5D9587" w14:textId="77777777" w:rsidR="00173C65" w:rsidRPr="00AD6080" w:rsidRDefault="00173C65" w:rsidP="00A57174">
            <w:pPr>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2016</w:t>
            </w:r>
          </w:p>
        </w:tc>
        <w:tc>
          <w:tcPr>
            <w:tcW w:w="1882" w:type="dxa"/>
            <w:vMerge w:val="restart"/>
            <w:vAlign w:val="center"/>
          </w:tcPr>
          <w:p w14:paraId="48256C82" w14:textId="77777777" w:rsidR="00173C65" w:rsidRPr="00AD6080" w:rsidRDefault="00173C65" w:rsidP="00A57174">
            <w:pPr>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2017</w:t>
            </w:r>
          </w:p>
        </w:tc>
        <w:tc>
          <w:tcPr>
            <w:tcW w:w="3790" w:type="dxa"/>
            <w:gridSpan w:val="2"/>
            <w:vAlign w:val="center"/>
          </w:tcPr>
          <w:p w14:paraId="15BE866C" w14:textId="77777777" w:rsidR="00173C65" w:rsidRPr="00AD6080" w:rsidRDefault="00173C65" w:rsidP="00A57174">
            <w:pPr>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Изменения</w:t>
            </w:r>
          </w:p>
        </w:tc>
      </w:tr>
      <w:tr w:rsidR="00173C65" w:rsidRPr="00AD6080" w14:paraId="4D361B60" w14:textId="77777777" w:rsidTr="00A57174">
        <w:trPr>
          <w:jc w:val="center"/>
        </w:trPr>
        <w:tc>
          <w:tcPr>
            <w:tcW w:w="2017" w:type="dxa"/>
            <w:vMerge/>
            <w:vAlign w:val="center"/>
          </w:tcPr>
          <w:p w14:paraId="7BC1BAF2" w14:textId="77777777" w:rsidR="00173C65" w:rsidRPr="00AD6080" w:rsidRDefault="00173C65" w:rsidP="00A57174">
            <w:pPr>
              <w:spacing w:line="240" w:lineRule="auto"/>
              <w:jc w:val="center"/>
              <w:rPr>
                <w:rFonts w:ascii="Times New Roman" w:hAnsi="Times New Roman" w:cs="Times New Roman"/>
                <w:sz w:val="24"/>
                <w:szCs w:val="24"/>
              </w:rPr>
            </w:pPr>
          </w:p>
        </w:tc>
        <w:tc>
          <w:tcPr>
            <w:tcW w:w="1882" w:type="dxa"/>
            <w:vMerge/>
            <w:vAlign w:val="center"/>
          </w:tcPr>
          <w:p w14:paraId="61C988F9" w14:textId="77777777" w:rsidR="00173C65" w:rsidRPr="00AD6080" w:rsidRDefault="00173C65" w:rsidP="00A57174">
            <w:pPr>
              <w:spacing w:line="240" w:lineRule="auto"/>
              <w:jc w:val="center"/>
              <w:rPr>
                <w:rFonts w:ascii="Times New Roman" w:hAnsi="Times New Roman" w:cs="Times New Roman"/>
                <w:sz w:val="24"/>
                <w:szCs w:val="24"/>
              </w:rPr>
            </w:pPr>
          </w:p>
        </w:tc>
        <w:tc>
          <w:tcPr>
            <w:tcW w:w="1882" w:type="dxa"/>
            <w:vMerge/>
            <w:vAlign w:val="center"/>
          </w:tcPr>
          <w:p w14:paraId="3B22BB7D" w14:textId="77777777" w:rsidR="00173C65" w:rsidRPr="00AD6080" w:rsidRDefault="00173C65" w:rsidP="00A57174">
            <w:pPr>
              <w:spacing w:line="240" w:lineRule="auto"/>
              <w:jc w:val="center"/>
              <w:rPr>
                <w:rFonts w:ascii="Times New Roman" w:hAnsi="Times New Roman" w:cs="Times New Roman"/>
                <w:sz w:val="24"/>
                <w:szCs w:val="24"/>
              </w:rPr>
            </w:pPr>
          </w:p>
        </w:tc>
        <w:tc>
          <w:tcPr>
            <w:tcW w:w="1904" w:type="dxa"/>
            <w:vAlign w:val="center"/>
          </w:tcPr>
          <w:p w14:paraId="428271AE" w14:textId="77777777" w:rsidR="00173C65" w:rsidRPr="00AD6080" w:rsidRDefault="00173C65" w:rsidP="00A57174">
            <w:pPr>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В абс. выражении, тыс. руб.</w:t>
            </w:r>
          </w:p>
        </w:tc>
        <w:tc>
          <w:tcPr>
            <w:tcW w:w="1886" w:type="dxa"/>
            <w:vAlign w:val="center"/>
          </w:tcPr>
          <w:p w14:paraId="72AE036C" w14:textId="77777777" w:rsidR="00173C65" w:rsidRPr="00AD6080" w:rsidRDefault="00173C65" w:rsidP="00A57174">
            <w:pPr>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В %</w:t>
            </w:r>
          </w:p>
        </w:tc>
      </w:tr>
      <w:tr w:rsidR="00173C65" w:rsidRPr="00AD6080" w14:paraId="69E5AB31" w14:textId="77777777" w:rsidTr="00A57174">
        <w:trPr>
          <w:jc w:val="center"/>
        </w:trPr>
        <w:tc>
          <w:tcPr>
            <w:tcW w:w="2017" w:type="dxa"/>
          </w:tcPr>
          <w:p w14:paraId="65F2C051" w14:textId="77777777" w:rsidR="00173C65" w:rsidRPr="00AD6080" w:rsidRDefault="00173C65" w:rsidP="00A57174">
            <w:pPr>
              <w:pStyle w:val="af5"/>
              <w:jc w:val="left"/>
              <w:rPr>
                <w:bCs/>
                <w:kern w:val="28"/>
              </w:rPr>
            </w:pPr>
            <w:r w:rsidRPr="00AD6080">
              <w:t xml:space="preserve">Среднегодовой фонд </w:t>
            </w:r>
            <w:r w:rsidRPr="00AD6080">
              <w:rPr>
                <w:bCs/>
                <w:kern w:val="28"/>
              </w:rPr>
              <w:t>оплаты труда (руб.)</w:t>
            </w:r>
          </w:p>
        </w:tc>
        <w:tc>
          <w:tcPr>
            <w:tcW w:w="1882" w:type="dxa"/>
            <w:vAlign w:val="center"/>
          </w:tcPr>
          <w:p w14:paraId="6C7E00A1" w14:textId="77777777" w:rsidR="00173C65" w:rsidRPr="00AD6080" w:rsidRDefault="00173C65" w:rsidP="00A57174">
            <w:pPr>
              <w:pStyle w:val="af5"/>
              <w:jc w:val="center"/>
              <w:rPr>
                <w:bCs/>
                <w:kern w:val="28"/>
              </w:rPr>
            </w:pPr>
            <w:r w:rsidRPr="00AD6080">
              <w:t>1892</w:t>
            </w:r>
          </w:p>
        </w:tc>
        <w:tc>
          <w:tcPr>
            <w:tcW w:w="1882" w:type="dxa"/>
            <w:vAlign w:val="center"/>
          </w:tcPr>
          <w:p w14:paraId="09A0C36F" w14:textId="77777777" w:rsidR="00173C65" w:rsidRPr="00AD6080" w:rsidRDefault="00173C65" w:rsidP="00A57174">
            <w:pPr>
              <w:pStyle w:val="af5"/>
              <w:jc w:val="center"/>
              <w:rPr>
                <w:bCs/>
                <w:kern w:val="28"/>
              </w:rPr>
            </w:pPr>
            <w:r w:rsidRPr="00AD6080">
              <w:t>1977</w:t>
            </w:r>
          </w:p>
        </w:tc>
        <w:tc>
          <w:tcPr>
            <w:tcW w:w="1904" w:type="dxa"/>
            <w:vAlign w:val="center"/>
          </w:tcPr>
          <w:p w14:paraId="6781D0DB" w14:textId="77777777" w:rsidR="00173C65" w:rsidRPr="00AD6080" w:rsidRDefault="00173C65" w:rsidP="00A57174">
            <w:pPr>
              <w:pStyle w:val="af5"/>
              <w:jc w:val="center"/>
              <w:rPr>
                <w:bCs/>
                <w:kern w:val="28"/>
              </w:rPr>
            </w:pPr>
            <w:r w:rsidRPr="00AD6080">
              <w:rPr>
                <w:bCs/>
                <w:kern w:val="28"/>
              </w:rPr>
              <w:t>+85</w:t>
            </w:r>
          </w:p>
        </w:tc>
        <w:tc>
          <w:tcPr>
            <w:tcW w:w="1886" w:type="dxa"/>
            <w:vAlign w:val="center"/>
          </w:tcPr>
          <w:p w14:paraId="69AC69C9" w14:textId="77777777" w:rsidR="00173C65" w:rsidRPr="00AD6080" w:rsidRDefault="00173C65" w:rsidP="00A57174">
            <w:pPr>
              <w:pStyle w:val="af5"/>
              <w:jc w:val="center"/>
              <w:rPr>
                <w:bCs/>
                <w:kern w:val="28"/>
              </w:rPr>
            </w:pPr>
            <w:r w:rsidRPr="00AD6080">
              <w:t>104,49</w:t>
            </w:r>
          </w:p>
        </w:tc>
      </w:tr>
      <w:tr w:rsidR="00173C65" w:rsidRPr="00AD6080" w14:paraId="26616200" w14:textId="77777777" w:rsidTr="00A57174">
        <w:trPr>
          <w:jc w:val="center"/>
        </w:trPr>
        <w:tc>
          <w:tcPr>
            <w:tcW w:w="2017" w:type="dxa"/>
          </w:tcPr>
          <w:p w14:paraId="61FC7014" w14:textId="77777777" w:rsidR="00173C65" w:rsidRPr="00AD6080" w:rsidRDefault="00173C65" w:rsidP="00A57174">
            <w:pPr>
              <w:pStyle w:val="af5"/>
              <w:jc w:val="left"/>
              <w:rPr>
                <w:bCs/>
                <w:kern w:val="28"/>
              </w:rPr>
            </w:pPr>
            <w:r w:rsidRPr="00AD6080">
              <w:rPr>
                <w:bCs/>
                <w:kern w:val="28"/>
              </w:rPr>
              <w:t>Средняя зарплата (</w:t>
            </w:r>
            <w:r w:rsidRPr="00AD6080">
              <w:t>руб.</w:t>
            </w:r>
            <w:r w:rsidRPr="00AD6080">
              <w:rPr>
                <w:bCs/>
                <w:kern w:val="28"/>
              </w:rPr>
              <w:t>)</w:t>
            </w:r>
          </w:p>
        </w:tc>
        <w:tc>
          <w:tcPr>
            <w:tcW w:w="1882" w:type="dxa"/>
            <w:vAlign w:val="center"/>
          </w:tcPr>
          <w:p w14:paraId="02F20C01" w14:textId="77777777" w:rsidR="00173C65" w:rsidRPr="00AD6080" w:rsidRDefault="00173C65" w:rsidP="00A57174">
            <w:pPr>
              <w:pStyle w:val="af5"/>
              <w:jc w:val="center"/>
              <w:rPr>
                <w:bCs/>
                <w:color w:val="000000"/>
              </w:rPr>
            </w:pPr>
            <w:r w:rsidRPr="00AD6080">
              <w:rPr>
                <w:bCs/>
                <w:kern w:val="28"/>
              </w:rPr>
              <w:t>19,7</w:t>
            </w:r>
          </w:p>
        </w:tc>
        <w:tc>
          <w:tcPr>
            <w:tcW w:w="1882" w:type="dxa"/>
            <w:vAlign w:val="center"/>
          </w:tcPr>
          <w:p w14:paraId="3024B8E4" w14:textId="77777777" w:rsidR="00173C65" w:rsidRPr="00AD6080" w:rsidRDefault="00173C65" w:rsidP="00A57174">
            <w:pPr>
              <w:pStyle w:val="af5"/>
              <w:jc w:val="center"/>
              <w:rPr>
                <w:bCs/>
                <w:color w:val="000000"/>
              </w:rPr>
            </w:pPr>
            <w:r w:rsidRPr="00AD6080">
              <w:rPr>
                <w:bCs/>
                <w:kern w:val="28"/>
              </w:rPr>
              <w:t>20,6</w:t>
            </w:r>
          </w:p>
        </w:tc>
        <w:tc>
          <w:tcPr>
            <w:tcW w:w="1904" w:type="dxa"/>
            <w:vAlign w:val="center"/>
          </w:tcPr>
          <w:p w14:paraId="08319BA2" w14:textId="77777777" w:rsidR="00173C65" w:rsidRPr="00AD6080" w:rsidRDefault="00173C65" w:rsidP="00A57174">
            <w:pPr>
              <w:pStyle w:val="af5"/>
              <w:jc w:val="center"/>
              <w:rPr>
                <w:bCs/>
                <w:kern w:val="28"/>
              </w:rPr>
            </w:pPr>
            <w:r w:rsidRPr="00AD6080">
              <w:rPr>
                <w:bCs/>
                <w:kern w:val="28"/>
              </w:rPr>
              <w:t>0,9</w:t>
            </w:r>
          </w:p>
        </w:tc>
        <w:tc>
          <w:tcPr>
            <w:tcW w:w="1886" w:type="dxa"/>
            <w:vAlign w:val="center"/>
          </w:tcPr>
          <w:p w14:paraId="4C5293F7" w14:textId="77777777" w:rsidR="00173C65" w:rsidRPr="00AD6080" w:rsidRDefault="00173C65" w:rsidP="00A57174">
            <w:pPr>
              <w:pStyle w:val="af5"/>
              <w:jc w:val="center"/>
              <w:rPr>
                <w:bCs/>
                <w:kern w:val="28"/>
              </w:rPr>
            </w:pPr>
            <w:r w:rsidRPr="00AD6080">
              <w:t>104,57</w:t>
            </w:r>
          </w:p>
        </w:tc>
      </w:tr>
      <w:tr w:rsidR="00173C65" w:rsidRPr="00AD6080" w14:paraId="58F77BED" w14:textId="77777777" w:rsidTr="00A57174">
        <w:trPr>
          <w:jc w:val="center"/>
        </w:trPr>
        <w:tc>
          <w:tcPr>
            <w:tcW w:w="2017" w:type="dxa"/>
          </w:tcPr>
          <w:p w14:paraId="06FEEEE0" w14:textId="77777777" w:rsidR="00173C65" w:rsidRPr="00AD6080" w:rsidRDefault="00173C65" w:rsidP="00A57174">
            <w:pPr>
              <w:pStyle w:val="af5"/>
              <w:jc w:val="left"/>
              <w:rPr>
                <w:bCs/>
                <w:kern w:val="28"/>
              </w:rPr>
            </w:pPr>
            <w:bookmarkStart w:id="9" w:name="_Toc328064591"/>
            <w:r w:rsidRPr="00AD6080">
              <w:t xml:space="preserve">Среднесписочная численность работников </w:t>
            </w:r>
            <w:r w:rsidRPr="00AD6080">
              <w:rPr>
                <w:bCs/>
                <w:kern w:val="28"/>
              </w:rPr>
              <w:t>(чел.)</w:t>
            </w:r>
            <w:bookmarkEnd w:id="9"/>
          </w:p>
          <w:p w14:paraId="17B246DD" w14:textId="77777777" w:rsidR="00173C65" w:rsidRPr="00AD6080" w:rsidRDefault="00173C65" w:rsidP="00A57174">
            <w:pPr>
              <w:pStyle w:val="af5"/>
              <w:jc w:val="left"/>
              <w:rPr>
                <w:bCs/>
                <w:kern w:val="28"/>
              </w:rPr>
            </w:pPr>
          </w:p>
        </w:tc>
        <w:tc>
          <w:tcPr>
            <w:tcW w:w="1882" w:type="dxa"/>
            <w:vAlign w:val="center"/>
          </w:tcPr>
          <w:p w14:paraId="4CE4F91D" w14:textId="77777777" w:rsidR="00173C65" w:rsidRPr="00AD6080" w:rsidRDefault="00173C65" w:rsidP="00A57174">
            <w:pPr>
              <w:pStyle w:val="af5"/>
              <w:jc w:val="center"/>
              <w:rPr>
                <w:color w:val="000000"/>
              </w:rPr>
            </w:pPr>
            <w:r w:rsidRPr="00AD6080">
              <w:rPr>
                <w:color w:val="000000"/>
              </w:rPr>
              <w:t>8</w:t>
            </w:r>
          </w:p>
        </w:tc>
        <w:tc>
          <w:tcPr>
            <w:tcW w:w="1882" w:type="dxa"/>
            <w:vAlign w:val="center"/>
          </w:tcPr>
          <w:p w14:paraId="46D1341F" w14:textId="77777777" w:rsidR="00173C65" w:rsidRPr="00AD6080" w:rsidRDefault="00173C65" w:rsidP="00A57174">
            <w:pPr>
              <w:pStyle w:val="af5"/>
              <w:jc w:val="center"/>
              <w:rPr>
                <w:color w:val="000000"/>
              </w:rPr>
            </w:pPr>
            <w:r w:rsidRPr="00AD6080">
              <w:rPr>
                <w:color w:val="000000"/>
              </w:rPr>
              <w:t>8</w:t>
            </w:r>
          </w:p>
        </w:tc>
        <w:tc>
          <w:tcPr>
            <w:tcW w:w="1904" w:type="dxa"/>
            <w:vAlign w:val="center"/>
          </w:tcPr>
          <w:p w14:paraId="33E67AC6" w14:textId="77777777" w:rsidR="00173C65" w:rsidRPr="00AD6080" w:rsidRDefault="00173C65" w:rsidP="00A57174">
            <w:pPr>
              <w:pStyle w:val="af5"/>
              <w:jc w:val="center"/>
              <w:rPr>
                <w:bCs/>
                <w:kern w:val="28"/>
              </w:rPr>
            </w:pPr>
            <w:r w:rsidRPr="00AD6080">
              <w:rPr>
                <w:bCs/>
                <w:kern w:val="28"/>
              </w:rPr>
              <w:t>-</w:t>
            </w:r>
          </w:p>
        </w:tc>
        <w:tc>
          <w:tcPr>
            <w:tcW w:w="1886" w:type="dxa"/>
            <w:vAlign w:val="center"/>
          </w:tcPr>
          <w:p w14:paraId="0CCF700D" w14:textId="77777777" w:rsidR="00173C65" w:rsidRPr="00AD6080" w:rsidRDefault="00173C65" w:rsidP="00A57174">
            <w:pPr>
              <w:pStyle w:val="af5"/>
              <w:jc w:val="center"/>
              <w:rPr>
                <w:bCs/>
                <w:kern w:val="28"/>
              </w:rPr>
            </w:pPr>
            <w:r w:rsidRPr="00AD6080">
              <w:rPr>
                <w:bCs/>
                <w:kern w:val="28"/>
              </w:rPr>
              <w:t>100</w:t>
            </w:r>
          </w:p>
        </w:tc>
      </w:tr>
    </w:tbl>
    <w:p w14:paraId="65EF76AE" w14:textId="77777777" w:rsidR="00173C65" w:rsidRPr="00AD6080" w:rsidRDefault="00173C65" w:rsidP="00173C65">
      <w:pPr>
        <w:spacing w:before="120" w:after="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t xml:space="preserve">Из приведённой таблицы видно, что численность персонала за рассматриваемый период осталасьнеизменной и составляет 8 человек. Средняя заработная плата увеличилась с 19,7 тыс. рублей до 20,6 тыс. рублей в отчетном 2017году. В связи с возрастанием средней заработной платы, годовой фонд оплаты труда увеличивается на 85 тыс. рублей и составил 1977 тыс. рублей. Увеличение фонда оплаты труда говорит о росте расходов на заработную плату работникам ООО РТС «Восточное», в том числе о росте премий, надбавок и каких-либо компенсаций в пользу рабочего персонала [3, с 852]. </w:t>
      </w:r>
    </w:p>
    <w:p w14:paraId="2E1D4C8D" w14:textId="77777777" w:rsidR="00173C65" w:rsidRPr="00AD6080" w:rsidRDefault="00173C65" w:rsidP="00173C65">
      <w:pPr>
        <w:tabs>
          <w:tab w:val="right" w:pos="2410"/>
        </w:tabs>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sz w:val="24"/>
          <w:szCs w:val="24"/>
        </w:rPr>
        <w:lastRenderedPageBreak/>
        <w:t>На предприятии используется повременная форма оплаты труда, рассчитываемая исходя из установленного оклада за фактически отработанное время. Размеры окладов для различных категорий работников ООО РТС «Восточное» устанавливаются в Положении об оплате труда и указываются в штатном расписании. Основополагающим документом</w:t>
      </w:r>
      <w:r w:rsidRPr="00AD6080">
        <w:rPr>
          <w:rFonts w:ascii="Times New Roman" w:hAnsi="Times New Roman" w:cs="Times New Roman"/>
          <w:spacing w:val="-7"/>
          <w:sz w:val="24"/>
          <w:szCs w:val="24"/>
        </w:rPr>
        <w:t xml:space="preserve"> при расчёте заработка </w:t>
      </w:r>
      <w:r w:rsidRPr="00AD6080">
        <w:rPr>
          <w:rFonts w:ascii="Times New Roman" w:hAnsi="Times New Roman" w:cs="Times New Roman"/>
          <w:sz w:val="24"/>
          <w:szCs w:val="24"/>
        </w:rPr>
        <w:t>рабочего-повременщика является</w:t>
      </w:r>
      <w:r w:rsidRPr="00AD6080">
        <w:rPr>
          <w:rFonts w:ascii="Times New Roman" w:hAnsi="Times New Roman" w:cs="Times New Roman"/>
          <w:spacing w:val="-7"/>
          <w:sz w:val="24"/>
          <w:szCs w:val="24"/>
        </w:rPr>
        <w:t xml:space="preserve"> табель учёта  </w:t>
      </w:r>
      <w:r w:rsidRPr="00AD6080">
        <w:rPr>
          <w:rFonts w:ascii="Times New Roman" w:hAnsi="Times New Roman" w:cs="Times New Roman"/>
          <w:sz w:val="24"/>
          <w:szCs w:val="24"/>
        </w:rPr>
        <w:t>использования рабочего</w:t>
      </w:r>
      <w:r w:rsidRPr="00AD6080">
        <w:rPr>
          <w:rFonts w:ascii="Times New Roman" w:hAnsi="Times New Roman" w:cs="Times New Roman"/>
          <w:spacing w:val="-7"/>
          <w:sz w:val="24"/>
          <w:szCs w:val="24"/>
        </w:rPr>
        <w:t xml:space="preserve"> времени.</w:t>
      </w:r>
    </w:p>
    <w:p w14:paraId="60EC2557" w14:textId="77777777" w:rsidR="00173C65" w:rsidRPr="00AD6080" w:rsidRDefault="00173C65" w:rsidP="00173C65">
      <w:pPr>
        <w:pStyle w:val="af4"/>
        <w:spacing w:line="240" w:lineRule="auto"/>
        <w:rPr>
          <w:sz w:val="24"/>
          <w:szCs w:val="24"/>
          <w:shd w:val="clear" w:color="auto" w:fill="FFFFFF"/>
        </w:rPr>
      </w:pPr>
      <w:r w:rsidRPr="00AD6080">
        <w:rPr>
          <w:sz w:val="24"/>
          <w:szCs w:val="24"/>
        </w:rPr>
        <w:t>Аналитический учёт</w:t>
      </w:r>
      <w:r w:rsidRPr="00AD6080">
        <w:rPr>
          <w:sz w:val="24"/>
          <w:szCs w:val="24"/>
          <w:shd w:val="clear" w:color="auto" w:fill="FFFFFF"/>
        </w:rPr>
        <w:t xml:space="preserve"> заработной </w:t>
      </w:r>
      <w:r w:rsidRPr="00AD6080">
        <w:rPr>
          <w:sz w:val="24"/>
          <w:szCs w:val="24"/>
        </w:rPr>
        <w:t>платы</w:t>
      </w:r>
      <w:r w:rsidRPr="00AD6080">
        <w:rPr>
          <w:sz w:val="24"/>
          <w:szCs w:val="24"/>
          <w:shd w:val="clear" w:color="auto" w:fill="FFFFFF"/>
        </w:rPr>
        <w:t xml:space="preserve"> ведется с </w:t>
      </w:r>
      <w:r w:rsidRPr="00AD6080">
        <w:rPr>
          <w:sz w:val="24"/>
          <w:szCs w:val="24"/>
        </w:rPr>
        <w:t>использованием лицевого счёта</w:t>
      </w:r>
      <w:r w:rsidRPr="00AD6080">
        <w:rPr>
          <w:sz w:val="24"/>
          <w:szCs w:val="24"/>
          <w:shd w:val="clear" w:color="auto" w:fill="FFFFFF"/>
        </w:rPr>
        <w:t xml:space="preserve">, </w:t>
      </w:r>
      <w:r w:rsidRPr="00AD6080">
        <w:rPr>
          <w:sz w:val="24"/>
          <w:szCs w:val="24"/>
        </w:rPr>
        <w:t xml:space="preserve">расчётной </w:t>
      </w:r>
      <w:r w:rsidRPr="00AD6080">
        <w:rPr>
          <w:sz w:val="24"/>
          <w:szCs w:val="24"/>
          <w:shd w:val="clear" w:color="auto" w:fill="FFFFFF"/>
        </w:rPr>
        <w:t xml:space="preserve">ведомости, платежной </w:t>
      </w:r>
      <w:r w:rsidRPr="00AD6080">
        <w:rPr>
          <w:sz w:val="24"/>
          <w:szCs w:val="24"/>
        </w:rPr>
        <w:t>ведомости</w:t>
      </w:r>
      <w:r w:rsidRPr="00AD6080">
        <w:rPr>
          <w:sz w:val="24"/>
          <w:szCs w:val="24"/>
          <w:shd w:val="clear" w:color="auto" w:fill="FFFFFF"/>
        </w:rPr>
        <w:t xml:space="preserve">, </w:t>
      </w:r>
      <w:r w:rsidRPr="00AD6080">
        <w:rPr>
          <w:sz w:val="24"/>
          <w:szCs w:val="24"/>
        </w:rPr>
        <w:t xml:space="preserve">расчётно-платежной </w:t>
      </w:r>
      <w:r w:rsidRPr="00AD6080">
        <w:rPr>
          <w:sz w:val="24"/>
          <w:szCs w:val="24"/>
          <w:shd w:val="clear" w:color="auto" w:fill="FFFFFF"/>
        </w:rPr>
        <w:t xml:space="preserve">ведомости. В </w:t>
      </w:r>
      <w:r w:rsidRPr="00AD6080">
        <w:rPr>
          <w:sz w:val="24"/>
          <w:szCs w:val="24"/>
        </w:rPr>
        <w:t>этих формах</w:t>
      </w:r>
      <w:r w:rsidRPr="00AD6080">
        <w:rPr>
          <w:sz w:val="24"/>
          <w:szCs w:val="24"/>
          <w:shd w:val="clear" w:color="auto" w:fill="FFFFFF"/>
        </w:rPr>
        <w:t xml:space="preserve"> отражается </w:t>
      </w:r>
      <w:r w:rsidRPr="00AD6080">
        <w:rPr>
          <w:sz w:val="24"/>
          <w:szCs w:val="24"/>
        </w:rPr>
        <w:t>информация</w:t>
      </w:r>
      <w:r w:rsidRPr="00AD6080">
        <w:rPr>
          <w:sz w:val="24"/>
          <w:szCs w:val="24"/>
          <w:shd w:val="clear" w:color="auto" w:fill="FFFFFF"/>
        </w:rPr>
        <w:t xml:space="preserve"> по </w:t>
      </w:r>
      <w:r w:rsidRPr="00AD6080">
        <w:rPr>
          <w:sz w:val="24"/>
          <w:szCs w:val="24"/>
        </w:rPr>
        <w:t xml:space="preserve">начислению </w:t>
      </w:r>
      <w:r w:rsidRPr="00AD6080">
        <w:rPr>
          <w:sz w:val="24"/>
          <w:szCs w:val="24"/>
          <w:shd w:val="clear" w:color="auto" w:fill="FFFFFF"/>
        </w:rPr>
        <w:t xml:space="preserve">оплаты </w:t>
      </w:r>
      <w:r w:rsidRPr="00AD6080">
        <w:rPr>
          <w:sz w:val="24"/>
          <w:szCs w:val="24"/>
        </w:rPr>
        <w:t>труда</w:t>
      </w:r>
      <w:r w:rsidRPr="00AD6080">
        <w:rPr>
          <w:sz w:val="24"/>
          <w:szCs w:val="24"/>
          <w:shd w:val="clear" w:color="auto" w:fill="FFFFFF"/>
        </w:rPr>
        <w:t xml:space="preserve">, </w:t>
      </w:r>
      <w:r w:rsidRPr="00AD6080">
        <w:rPr>
          <w:sz w:val="24"/>
          <w:szCs w:val="24"/>
        </w:rPr>
        <w:t>удержаниям</w:t>
      </w:r>
      <w:r w:rsidRPr="00AD6080">
        <w:rPr>
          <w:sz w:val="24"/>
          <w:szCs w:val="24"/>
          <w:shd w:val="clear" w:color="auto" w:fill="FFFFFF"/>
        </w:rPr>
        <w:t xml:space="preserve">, начисленным налогам, </w:t>
      </w:r>
      <w:r w:rsidRPr="00AD6080">
        <w:rPr>
          <w:sz w:val="24"/>
          <w:szCs w:val="24"/>
        </w:rPr>
        <w:t xml:space="preserve">выплатам </w:t>
      </w:r>
      <w:r w:rsidRPr="00AD6080">
        <w:rPr>
          <w:sz w:val="24"/>
          <w:szCs w:val="24"/>
          <w:shd w:val="clear" w:color="auto" w:fill="FFFFFF"/>
        </w:rPr>
        <w:t>и т.д. [4].</w:t>
      </w:r>
    </w:p>
    <w:p w14:paraId="72E83A53" w14:textId="77777777" w:rsidR="00173C65" w:rsidRPr="00AD6080" w:rsidRDefault="00173C65" w:rsidP="00173C65">
      <w:pPr>
        <w:pStyle w:val="af4"/>
        <w:spacing w:line="240" w:lineRule="auto"/>
        <w:rPr>
          <w:sz w:val="24"/>
          <w:szCs w:val="24"/>
        </w:rPr>
      </w:pPr>
      <w:r w:rsidRPr="00AD6080">
        <w:rPr>
          <w:spacing w:val="-6"/>
          <w:sz w:val="24"/>
          <w:szCs w:val="24"/>
          <w:lang w:eastAsia="ru-RU"/>
        </w:rPr>
        <w:t xml:space="preserve">Учет расчетов по </w:t>
      </w:r>
      <w:r w:rsidRPr="00AD6080">
        <w:rPr>
          <w:sz w:val="24"/>
          <w:szCs w:val="24"/>
        </w:rPr>
        <w:t>заработной плате</w:t>
      </w:r>
      <w:r w:rsidRPr="00AD6080">
        <w:rPr>
          <w:spacing w:val="-6"/>
          <w:sz w:val="24"/>
          <w:szCs w:val="24"/>
          <w:lang w:eastAsia="ru-RU"/>
        </w:rPr>
        <w:t xml:space="preserve"> ведется на </w:t>
      </w:r>
      <w:r w:rsidRPr="00AD6080">
        <w:rPr>
          <w:sz w:val="24"/>
          <w:szCs w:val="24"/>
        </w:rPr>
        <w:t>синтетическом счёте</w:t>
      </w:r>
      <w:r w:rsidRPr="00AD6080">
        <w:rPr>
          <w:spacing w:val="-6"/>
          <w:sz w:val="24"/>
          <w:szCs w:val="24"/>
          <w:lang w:eastAsia="ru-RU"/>
        </w:rPr>
        <w:t xml:space="preserve"> 70 </w:t>
      </w:r>
      <w:r w:rsidRPr="00AD6080">
        <w:rPr>
          <w:spacing w:val="-7"/>
          <w:sz w:val="24"/>
          <w:szCs w:val="24"/>
          <w:lang w:eastAsia="ru-RU"/>
        </w:rPr>
        <w:t xml:space="preserve">«Расчеты с персоналом по </w:t>
      </w:r>
      <w:r w:rsidRPr="00AD6080">
        <w:rPr>
          <w:sz w:val="24"/>
          <w:szCs w:val="24"/>
        </w:rPr>
        <w:t>оплате труда</w:t>
      </w:r>
      <w:r w:rsidRPr="00AD6080">
        <w:rPr>
          <w:spacing w:val="-7"/>
          <w:sz w:val="24"/>
          <w:szCs w:val="24"/>
          <w:lang w:eastAsia="ru-RU"/>
        </w:rPr>
        <w:t xml:space="preserve">», являющимся пассивным по отношению к балансу. </w:t>
      </w:r>
      <w:r w:rsidRPr="00AD6080">
        <w:rPr>
          <w:sz w:val="24"/>
          <w:szCs w:val="24"/>
        </w:rPr>
        <w:t xml:space="preserve">Оборот </w:t>
      </w:r>
      <w:r w:rsidRPr="00AD6080">
        <w:rPr>
          <w:sz w:val="24"/>
          <w:szCs w:val="24"/>
          <w:lang w:eastAsia="ru-RU"/>
        </w:rPr>
        <w:t xml:space="preserve">по кредиту </w:t>
      </w:r>
      <w:r w:rsidRPr="00AD6080">
        <w:rPr>
          <w:sz w:val="24"/>
          <w:szCs w:val="24"/>
        </w:rPr>
        <w:t>показывает сумму</w:t>
      </w:r>
      <w:r w:rsidRPr="00AD6080">
        <w:rPr>
          <w:spacing w:val="-6"/>
          <w:sz w:val="24"/>
          <w:szCs w:val="24"/>
          <w:lang w:eastAsia="ru-RU"/>
        </w:rPr>
        <w:t xml:space="preserve"> начисленной </w:t>
      </w:r>
      <w:r w:rsidRPr="00AD6080">
        <w:rPr>
          <w:sz w:val="24"/>
          <w:szCs w:val="24"/>
        </w:rPr>
        <w:t xml:space="preserve">заработной </w:t>
      </w:r>
      <w:r w:rsidRPr="00AD6080">
        <w:rPr>
          <w:spacing w:val="-4"/>
          <w:sz w:val="24"/>
          <w:szCs w:val="24"/>
          <w:lang w:eastAsia="ru-RU"/>
        </w:rPr>
        <w:t xml:space="preserve">платы, </w:t>
      </w:r>
      <w:r w:rsidRPr="00AD6080">
        <w:rPr>
          <w:sz w:val="24"/>
          <w:szCs w:val="24"/>
        </w:rPr>
        <w:t>премий</w:t>
      </w:r>
      <w:r w:rsidRPr="00AD6080">
        <w:rPr>
          <w:spacing w:val="-4"/>
          <w:sz w:val="24"/>
          <w:szCs w:val="24"/>
          <w:lang w:eastAsia="ru-RU"/>
        </w:rPr>
        <w:t xml:space="preserve">, пособий и </w:t>
      </w:r>
      <w:r w:rsidRPr="00AD6080">
        <w:rPr>
          <w:sz w:val="24"/>
          <w:szCs w:val="24"/>
        </w:rPr>
        <w:t>прочих</w:t>
      </w:r>
      <w:r w:rsidRPr="00AD6080">
        <w:rPr>
          <w:spacing w:val="-4"/>
          <w:sz w:val="24"/>
          <w:szCs w:val="24"/>
          <w:lang w:eastAsia="ru-RU"/>
        </w:rPr>
        <w:t xml:space="preserve"> платежей. </w:t>
      </w:r>
      <w:r w:rsidRPr="00AD6080">
        <w:rPr>
          <w:sz w:val="24"/>
          <w:szCs w:val="24"/>
        </w:rPr>
        <w:t>Рассмотрим корреспонденцию счёта 70 с некоторыми другими счетами в приведённой ниже таблице.</w:t>
      </w:r>
    </w:p>
    <w:p w14:paraId="1D8B2C01" w14:textId="77777777" w:rsidR="00173C65" w:rsidRPr="00AD6080" w:rsidRDefault="00173C65" w:rsidP="00173C65">
      <w:pPr>
        <w:pStyle w:val="af4"/>
        <w:spacing w:line="240" w:lineRule="auto"/>
        <w:ind w:firstLine="0"/>
        <w:jc w:val="right"/>
        <w:rPr>
          <w:i/>
          <w:sz w:val="24"/>
          <w:szCs w:val="24"/>
        </w:rPr>
      </w:pPr>
      <w:r w:rsidRPr="00AD6080">
        <w:rPr>
          <w:i/>
          <w:sz w:val="24"/>
          <w:szCs w:val="24"/>
        </w:rPr>
        <w:t>Таблица 2</w:t>
      </w:r>
    </w:p>
    <w:p w14:paraId="3FC21DD7" w14:textId="77777777" w:rsidR="00173C65" w:rsidRPr="00AD6080" w:rsidRDefault="00173C65" w:rsidP="00173C65">
      <w:pPr>
        <w:pStyle w:val="af4"/>
        <w:spacing w:line="240" w:lineRule="auto"/>
        <w:ind w:firstLine="0"/>
        <w:jc w:val="center"/>
        <w:rPr>
          <w:b/>
          <w:spacing w:val="-6"/>
          <w:sz w:val="24"/>
          <w:szCs w:val="24"/>
          <w:lang w:eastAsia="ru-RU"/>
        </w:rPr>
      </w:pPr>
      <w:r w:rsidRPr="00AD6080">
        <w:rPr>
          <w:b/>
          <w:spacing w:val="-6"/>
          <w:sz w:val="24"/>
          <w:szCs w:val="24"/>
          <w:lang w:eastAsia="ru-RU"/>
        </w:rPr>
        <w:t>Корреспонденция счёта 70 с другими счетами ООО РТС «Восточное»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7"/>
        <w:gridCol w:w="1439"/>
        <w:gridCol w:w="1588"/>
      </w:tblGrid>
      <w:tr w:rsidR="00173C65" w:rsidRPr="00AD6080" w14:paraId="6E4E18C4" w14:textId="77777777" w:rsidTr="00A57174">
        <w:trPr>
          <w:trHeight w:val="454"/>
        </w:trPr>
        <w:tc>
          <w:tcPr>
            <w:tcW w:w="3464" w:type="pct"/>
          </w:tcPr>
          <w:p w14:paraId="7F0E3AA7"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Хозяйственная операция</w:t>
            </w:r>
          </w:p>
        </w:tc>
        <w:tc>
          <w:tcPr>
            <w:tcW w:w="730" w:type="pct"/>
          </w:tcPr>
          <w:p w14:paraId="753D4042"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z w:val="24"/>
                <w:szCs w:val="24"/>
              </w:rPr>
              <w:t>Дебет</w:t>
            </w:r>
          </w:p>
        </w:tc>
        <w:tc>
          <w:tcPr>
            <w:tcW w:w="806" w:type="pct"/>
          </w:tcPr>
          <w:p w14:paraId="31E22B3E"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z w:val="24"/>
                <w:szCs w:val="24"/>
              </w:rPr>
              <w:t>Кредит</w:t>
            </w:r>
          </w:p>
        </w:tc>
      </w:tr>
      <w:tr w:rsidR="00173C65" w:rsidRPr="00AD6080" w14:paraId="5DC5052F" w14:textId="77777777" w:rsidTr="00A57174">
        <w:trPr>
          <w:trHeight w:val="454"/>
        </w:trPr>
        <w:tc>
          <w:tcPr>
            <w:tcW w:w="3464" w:type="pct"/>
          </w:tcPr>
          <w:p w14:paraId="3BB9CA1C"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z w:val="24"/>
                <w:szCs w:val="24"/>
              </w:rPr>
              <w:t xml:space="preserve">Сумма заработной </w:t>
            </w:r>
            <w:r w:rsidRPr="00AD6080">
              <w:rPr>
                <w:rFonts w:ascii="Times New Roman" w:hAnsi="Times New Roman" w:cs="Times New Roman"/>
                <w:spacing w:val="-7"/>
                <w:sz w:val="24"/>
                <w:szCs w:val="24"/>
              </w:rPr>
              <w:t xml:space="preserve">платы, </w:t>
            </w:r>
            <w:r w:rsidRPr="00AD6080">
              <w:rPr>
                <w:rFonts w:ascii="Times New Roman" w:hAnsi="Times New Roman" w:cs="Times New Roman"/>
                <w:sz w:val="24"/>
                <w:szCs w:val="24"/>
              </w:rPr>
              <w:t>выплаченная наличным</w:t>
            </w:r>
          </w:p>
        </w:tc>
        <w:tc>
          <w:tcPr>
            <w:tcW w:w="730" w:type="pct"/>
          </w:tcPr>
          <w:p w14:paraId="67F82D0C"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70</w:t>
            </w:r>
          </w:p>
        </w:tc>
        <w:tc>
          <w:tcPr>
            <w:tcW w:w="806" w:type="pct"/>
          </w:tcPr>
          <w:p w14:paraId="68861898"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50</w:t>
            </w:r>
          </w:p>
        </w:tc>
      </w:tr>
      <w:tr w:rsidR="00173C65" w:rsidRPr="00AD6080" w14:paraId="49B05CB9" w14:textId="77777777" w:rsidTr="00A57174">
        <w:trPr>
          <w:trHeight w:val="454"/>
        </w:trPr>
        <w:tc>
          <w:tcPr>
            <w:tcW w:w="3464" w:type="pct"/>
          </w:tcPr>
          <w:p w14:paraId="3547754E"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pacing w:val="-7"/>
                <w:sz w:val="24"/>
                <w:szCs w:val="24"/>
              </w:rPr>
              <w:t xml:space="preserve">Сумма </w:t>
            </w:r>
            <w:r w:rsidRPr="00AD6080">
              <w:rPr>
                <w:rFonts w:ascii="Times New Roman" w:hAnsi="Times New Roman" w:cs="Times New Roman"/>
                <w:sz w:val="24"/>
                <w:szCs w:val="24"/>
              </w:rPr>
              <w:t>удержанных</w:t>
            </w:r>
            <w:r w:rsidRPr="00AD6080">
              <w:rPr>
                <w:rFonts w:ascii="Times New Roman" w:hAnsi="Times New Roman" w:cs="Times New Roman"/>
                <w:spacing w:val="-7"/>
                <w:sz w:val="24"/>
                <w:szCs w:val="24"/>
              </w:rPr>
              <w:t xml:space="preserve"> из заработной </w:t>
            </w:r>
            <w:r w:rsidRPr="00AD6080">
              <w:rPr>
                <w:rFonts w:ascii="Times New Roman" w:hAnsi="Times New Roman" w:cs="Times New Roman"/>
                <w:sz w:val="24"/>
                <w:szCs w:val="24"/>
              </w:rPr>
              <w:t>платы налогов</w:t>
            </w:r>
            <w:r w:rsidRPr="00AD6080">
              <w:rPr>
                <w:rFonts w:ascii="Times New Roman" w:hAnsi="Times New Roman" w:cs="Times New Roman"/>
                <w:spacing w:val="-7"/>
                <w:sz w:val="24"/>
                <w:szCs w:val="24"/>
              </w:rPr>
              <w:t xml:space="preserve"> в бюджет</w:t>
            </w:r>
          </w:p>
        </w:tc>
        <w:tc>
          <w:tcPr>
            <w:tcW w:w="730" w:type="pct"/>
          </w:tcPr>
          <w:p w14:paraId="743D8313"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70</w:t>
            </w:r>
          </w:p>
        </w:tc>
        <w:tc>
          <w:tcPr>
            <w:tcW w:w="806" w:type="pct"/>
          </w:tcPr>
          <w:p w14:paraId="224139B5"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68</w:t>
            </w:r>
          </w:p>
        </w:tc>
      </w:tr>
      <w:tr w:rsidR="00173C65" w:rsidRPr="00AD6080" w14:paraId="5C67D3FC" w14:textId="77777777" w:rsidTr="00A57174">
        <w:trPr>
          <w:trHeight w:val="454"/>
        </w:trPr>
        <w:tc>
          <w:tcPr>
            <w:tcW w:w="3464" w:type="pct"/>
          </w:tcPr>
          <w:p w14:paraId="07D260F9"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pacing w:val="-6"/>
                <w:sz w:val="24"/>
                <w:szCs w:val="24"/>
              </w:rPr>
              <w:t xml:space="preserve">Сумма </w:t>
            </w:r>
            <w:r w:rsidRPr="00AD6080">
              <w:rPr>
                <w:rFonts w:ascii="Times New Roman" w:hAnsi="Times New Roman" w:cs="Times New Roman"/>
                <w:sz w:val="24"/>
                <w:szCs w:val="24"/>
              </w:rPr>
              <w:t>депонированной заработной</w:t>
            </w:r>
            <w:r w:rsidRPr="00AD6080">
              <w:rPr>
                <w:rFonts w:ascii="Times New Roman" w:hAnsi="Times New Roman" w:cs="Times New Roman"/>
                <w:spacing w:val="-6"/>
                <w:sz w:val="24"/>
                <w:szCs w:val="24"/>
              </w:rPr>
              <w:t xml:space="preserve"> платы</w:t>
            </w:r>
          </w:p>
        </w:tc>
        <w:tc>
          <w:tcPr>
            <w:tcW w:w="730" w:type="pct"/>
          </w:tcPr>
          <w:p w14:paraId="19DC6508"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70</w:t>
            </w:r>
          </w:p>
        </w:tc>
        <w:tc>
          <w:tcPr>
            <w:tcW w:w="806" w:type="pct"/>
          </w:tcPr>
          <w:p w14:paraId="13DC3A13"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76</w:t>
            </w:r>
          </w:p>
        </w:tc>
      </w:tr>
      <w:tr w:rsidR="00173C65" w:rsidRPr="00AD6080" w14:paraId="37B67F60" w14:textId="77777777" w:rsidTr="00A57174">
        <w:trPr>
          <w:trHeight w:val="825"/>
        </w:trPr>
        <w:tc>
          <w:tcPr>
            <w:tcW w:w="3464" w:type="pct"/>
          </w:tcPr>
          <w:p w14:paraId="4761BA81"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z w:val="24"/>
                <w:szCs w:val="24"/>
              </w:rPr>
              <w:t>Сумма, удержанной зарплаты в погашение задолженности за ранее нанесённый</w:t>
            </w:r>
            <w:r w:rsidRPr="00AD6080">
              <w:rPr>
                <w:rFonts w:ascii="Times New Roman" w:hAnsi="Times New Roman" w:cs="Times New Roman"/>
                <w:spacing w:val="-1"/>
                <w:sz w:val="24"/>
                <w:szCs w:val="24"/>
              </w:rPr>
              <w:t xml:space="preserve"> ущерб предприятию</w:t>
            </w:r>
          </w:p>
        </w:tc>
        <w:tc>
          <w:tcPr>
            <w:tcW w:w="730" w:type="pct"/>
          </w:tcPr>
          <w:p w14:paraId="7DAAF832"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70</w:t>
            </w:r>
          </w:p>
        </w:tc>
        <w:tc>
          <w:tcPr>
            <w:tcW w:w="806" w:type="pct"/>
          </w:tcPr>
          <w:p w14:paraId="3FEECC14"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73</w:t>
            </w:r>
          </w:p>
        </w:tc>
      </w:tr>
      <w:tr w:rsidR="00173C65" w:rsidRPr="00AD6080" w14:paraId="3BC99B35" w14:textId="77777777" w:rsidTr="00A57174">
        <w:trPr>
          <w:trHeight w:val="825"/>
        </w:trPr>
        <w:tc>
          <w:tcPr>
            <w:tcW w:w="3464" w:type="pct"/>
          </w:tcPr>
          <w:p w14:paraId="75F90751"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pacing w:val="-6"/>
                <w:sz w:val="24"/>
                <w:szCs w:val="24"/>
              </w:rPr>
              <w:t xml:space="preserve">Сумма </w:t>
            </w:r>
            <w:r w:rsidRPr="00AD6080">
              <w:rPr>
                <w:rFonts w:ascii="Times New Roman" w:hAnsi="Times New Roman" w:cs="Times New Roman"/>
                <w:sz w:val="24"/>
                <w:szCs w:val="24"/>
              </w:rPr>
              <w:t>начисленных</w:t>
            </w:r>
            <w:r w:rsidRPr="00AD6080">
              <w:rPr>
                <w:rFonts w:ascii="Times New Roman" w:hAnsi="Times New Roman" w:cs="Times New Roman"/>
                <w:spacing w:val="-6"/>
                <w:sz w:val="24"/>
                <w:szCs w:val="24"/>
              </w:rPr>
              <w:t xml:space="preserve"> пособий по </w:t>
            </w:r>
            <w:r w:rsidRPr="00AD6080">
              <w:rPr>
                <w:rFonts w:ascii="Times New Roman" w:hAnsi="Times New Roman" w:cs="Times New Roman"/>
                <w:sz w:val="24"/>
                <w:szCs w:val="24"/>
              </w:rPr>
              <w:t xml:space="preserve">временной нетрудоспособности </w:t>
            </w:r>
            <w:r w:rsidRPr="00AD6080">
              <w:rPr>
                <w:rFonts w:ascii="Times New Roman" w:hAnsi="Times New Roman" w:cs="Times New Roman"/>
                <w:spacing w:val="-9"/>
                <w:sz w:val="24"/>
                <w:szCs w:val="24"/>
              </w:rPr>
              <w:t xml:space="preserve">всем </w:t>
            </w:r>
            <w:r w:rsidRPr="00AD6080">
              <w:rPr>
                <w:rFonts w:ascii="Times New Roman" w:hAnsi="Times New Roman" w:cs="Times New Roman"/>
                <w:sz w:val="24"/>
                <w:szCs w:val="24"/>
              </w:rPr>
              <w:t>работникам</w:t>
            </w:r>
            <w:r w:rsidRPr="00AD6080">
              <w:rPr>
                <w:rFonts w:ascii="Times New Roman" w:hAnsi="Times New Roman" w:cs="Times New Roman"/>
                <w:spacing w:val="-9"/>
                <w:sz w:val="24"/>
                <w:szCs w:val="24"/>
              </w:rPr>
              <w:t xml:space="preserve">, </w:t>
            </w:r>
            <w:r w:rsidRPr="00AD6080">
              <w:rPr>
                <w:rFonts w:ascii="Times New Roman" w:hAnsi="Times New Roman" w:cs="Times New Roman"/>
                <w:sz w:val="24"/>
                <w:szCs w:val="24"/>
              </w:rPr>
              <w:t xml:space="preserve">пособий </w:t>
            </w:r>
            <w:r w:rsidRPr="00AD6080">
              <w:rPr>
                <w:rFonts w:ascii="Times New Roman" w:hAnsi="Times New Roman" w:cs="Times New Roman"/>
                <w:spacing w:val="-9"/>
                <w:sz w:val="24"/>
                <w:szCs w:val="24"/>
              </w:rPr>
              <w:t xml:space="preserve">по беременности и </w:t>
            </w:r>
            <w:r w:rsidRPr="00AD6080">
              <w:rPr>
                <w:rFonts w:ascii="Times New Roman" w:hAnsi="Times New Roman" w:cs="Times New Roman"/>
                <w:sz w:val="24"/>
                <w:szCs w:val="24"/>
              </w:rPr>
              <w:t>родам</w:t>
            </w:r>
            <w:r w:rsidRPr="00AD6080">
              <w:rPr>
                <w:rFonts w:ascii="Times New Roman" w:hAnsi="Times New Roman" w:cs="Times New Roman"/>
                <w:spacing w:val="-9"/>
                <w:sz w:val="24"/>
                <w:szCs w:val="24"/>
              </w:rPr>
              <w:t xml:space="preserve">, прочие выплаты за </w:t>
            </w:r>
            <w:r w:rsidRPr="00AD6080">
              <w:rPr>
                <w:rFonts w:ascii="Times New Roman" w:hAnsi="Times New Roman" w:cs="Times New Roman"/>
                <w:sz w:val="24"/>
                <w:szCs w:val="24"/>
              </w:rPr>
              <w:t>счёт средств социального страхования.</w:t>
            </w:r>
          </w:p>
        </w:tc>
        <w:tc>
          <w:tcPr>
            <w:tcW w:w="730" w:type="pct"/>
          </w:tcPr>
          <w:p w14:paraId="5D87285D"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69</w:t>
            </w:r>
          </w:p>
        </w:tc>
        <w:tc>
          <w:tcPr>
            <w:tcW w:w="806" w:type="pct"/>
          </w:tcPr>
          <w:p w14:paraId="67B07FB8"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70</w:t>
            </w:r>
          </w:p>
        </w:tc>
      </w:tr>
      <w:tr w:rsidR="00173C65" w:rsidRPr="00AD6080" w14:paraId="75A7D31C" w14:textId="77777777" w:rsidTr="00A57174">
        <w:trPr>
          <w:trHeight w:val="825"/>
        </w:trPr>
        <w:tc>
          <w:tcPr>
            <w:tcW w:w="3464" w:type="pct"/>
          </w:tcPr>
          <w:p w14:paraId="31365454" w14:textId="77777777" w:rsidR="00173C65" w:rsidRPr="00AD6080" w:rsidRDefault="00173C65" w:rsidP="00A57174">
            <w:pPr>
              <w:widowControl w:val="0"/>
              <w:spacing w:line="240" w:lineRule="auto"/>
              <w:jc w:val="both"/>
              <w:rPr>
                <w:rFonts w:ascii="Times New Roman" w:hAnsi="Times New Roman" w:cs="Times New Roman"/>
                <w:sz w:val="24"/>
                <w:szCs w:val="24"/>
              </w:rPr>
            </w:pPr>
            <w:r w:rsidRPr="00AD6080">
              <w:rPr>
                <w:rFonts w:ascii="Times New Roman" w:hAnsi="Times New Roman" w:cs="Times New Roman"/>
                <w:sz w:val="24"/>
                <w:szCs w:val="24"/>
              </w:rPr>
              <w:t xml:space="preserve">Суммы </w:t>
            </w:r>
            <w:r w:rsidRPr="00AD6080">
              <w:rPr>
                <w:rFonts w:ascii="Times New Roman" w:hAnsi="Times New Roman" w:cs="Times New Roman"/>
                <w:spacing w:val="-7"/>
                <w:sz w:val="24"/>
                <w:szCs w:val="24"/>
              </w:rPr>
              <w:t xml:space="preserve">начисленной </w:t>
            </w:r>
            <w:r w:rsidRPr="00AD6080">
              <w:rPr>
                <w:rFonts w:ascii="Times New Roman" w:hAnsi="Times New Roman" w:cs="Times New Roman"/>
                <w:sz w:val="24"/>
                <w:szCs w:val="24"/>
              </w:rPr>
              <w:t>заработной</w:t>
            </w:r>
            <w:r w:rsidRPr="00AD6080">
              <w:rPr>
                <w:rFonts w:ascii="Times New Roman" w:hAnsi="Times New Roman" w:cs="Times New Roman"/>
                <w:spacing w:val="-7"/>
                <w:sz w:val="24"/>
                <w:szCs w:val="24"/>
              </w:rPr>
              <w:t xml:space="preserve"> платы </w:t>
            </w:r>
            <w:r w:rsidRPr="00AD6080">
              <w:rPr>
                <w:rFonts w:ascii="Times New Roman" w:hAnsi="Times New Roman" w:cs="Times New Roman"/>
                <w:sz w:val="24"/>
                <w:szCs w:val="24"/>
              </w:rPr>
              <w:t xml:space="preserve">всем категориям </w:t>
            </w:r>
            <w:r w:rsidRPr="00AD6080">
              <w:rPr>
                <w:rFonts w:ascii="Times New Roman" w:hAnsi="Times New Roman" w:cs="Times New Roman"/>
                <w:spacing w:val="-4"/>
                <w:sz w:val="24"/>
                <w:szCs w:val="24"/>
              </w:rPr>
              <w:t xml:space="preserve">сотрудников за </w:t>
            </w:r>
            <w:r w:rsidRPr="00AD6080">
              <w:rPr>
                <w:rFonts w:ascii="Times New Roman" w:hAnsi="Times New Roman" w:cs="Times New Roman"/>
                <w:sz w:val="24"/>
                <w:szCs w:val="24"/>
              </w:rPr>
              <w:t>проработанное</w:t>
            </w:r>
            <w:r w:rsidRPr="00AD6080">
              <w:rPr>
                <w:rFonts w:ascii="Times New Roman" w:hAnsi="Times New Roman" w:cs="Times New Roman"/>
                <w:spacing w:val="-4"/>
                <w:sz w:val="24"/>
                <w:szCs w:val="24"/>
              </w:rPr>
              <w:t xml:space="preserve"> и не </w:t>
            </w:r>
            <w:r w:rsidRPr="00AD6080">
              <w:rPr>
                <w:rFonts w:ascii="Times New Roman" w:hAnsi="Times New Roman" w:cs="Times New Roman"/>
                <w:sz w:val="24"/>
                <w:szCs w:val="24"/>
              </w:rPr>
              <w:t>проработанное</w:t>
            </w:r>
            <w:r w:rsidRPr="00AD6080">
              <w:rPr>
                <w:rFonts w:ascii="Times New Roman" w:hAnsi="Times New Roman" w:cs="Times New Roman"/>
                <w:spacing w:val="-4"/>
                <w:sz w:val="24"/>
                <w:szCs w:val="24"/>
              </w:rPr>
              <w:t xml:space="preserve"> время, за </w:t>
            </w:r>
            <w:r w:rsidRPr="00AD6080">
              <w:rPr>
                <w:rFonts w:ascii="Times New Roman" w:hAnsi="Times New Roman" w:cs="Times New Roman"/>
                <w:sz w:val="24"/>
                <w:szCs w:val="24"/>
              </w:rPr>
              <w:t xml:space="preserve">выполненные </w:t>
            </w:r>
            <w:r w:rsidRPr="00AD6080">
              <w:rPr>
                <w:rFonts w:ascii="Times New Roman" w:hAnsi="Times New Roman" w:cs="Times New Roman"/>
                <w:spacing w:val="-7"/>
                <w:sz w:val="24"/>
                <w:szCs w:val="24"/>
              </w:rPr>
              <w:t xml:space="preserve">работы, </w:t>
            </w:r>
            <w:r w:rsidRPr="00AD6080">
              <w:rPr>
                <w:rFonts w:ascii="Times New Roman" w:hAnsi="Times New Roman" w:cs="Times New Roman"/>
                <w:sz w:val="24"/>
                <w:szCs w:val="24"/>
              </w:rPr>
              <w:t xml:space="preserve">доплаты </w:t>
            </w:r>
            <w:r w:rsidRPr="00AD6080">
              <w:rPr>
                <w:rFonts w:ascii="Times New Roman" w:hAnsi="Times New Roman" w:cs="Times New Roman"/>
                <w:spacing w:val="-7"/>
                <w:sz w:val="24"/>
                <w:szCs w:val="24"/>
              </w:rPr>
              <w:t xml:space="preserve">в </w:t>
            </w:r>
            <w:r w:rsidRPr="00AD6080">
              <w:rPr>
                <w:rFonts w:ascii="Times New Roman" w:hAnsi="Times New Roman" w:cs="Times New Roman"/>
                <w:sz w:val="24"/>
                <w:szCs w:val="24"/>
              </w:rPr>
              <w:t>ночное</w:t>
            </w:r>
            <w:r w:rsidRPr="00AD6080">
              <w:rPr>
                <w:rFonts w:ascii="Times New Roman" w:hAnsi="Times New Roman" w:cs="Times New Roman"/>
                <w:spacing w:val="-7"/>
                <w:sz w:val="24"/>
                <w:szCs w:val="24"/>
              </w:rPr>
              <w:t xml:space="preserve"> время, </w:t>
            </w:r>
            <w:r w:rsidRPr="00AD6080">
              <w:rPr>
                <w:rFonts w:ascii="Times New Roman" w:hAnsi="Times New Roman" w:cs="Times New Roman"/>
                <w:sz w:val="24"/>
                <w:szCs w:val="24"/>
              </w:rPr>
              <w:t xml:space="preserve">сверхурочное </w:t>
            </w:r>
            <w:r w:rsidRPr="00AD6080">
              <w:rPr>
                <w:rFonts w:ascii="Times New Roman" w:hAnsi="Times New Roman" w:cs="Times New Roman"/>
                <w:spacing w:val="-7"/>
                <w:sz w:val="24"/>
                <w:szCs w:val="24"/>
              </w:rPr>
              <w:t xml:space="preserve">время, </w:t>
            </w:r>
            <w:r w:rsidRPr="00AD6080">
              <w:rPr>
                <w:rFonts w:ascii="Times New Roman" w:hAnsi="Times New Roman" w:cs="Times New Roman"/>
                <w:sz w:val="24"/>
                <w:szCs w:val="24"/>
              </w:rPr>
              <w:t>суммы начисленных премий.</w:t>
            </w:r>
          </w:p>
        </w:tc>
        <w:tc>
          <w:tcPr>
            <w:tcW w:w="730" w:type="pct"/>
          </w:tcPr>
          <w:p w14:paraId="72A4FFC0"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20</w:t>
            </w:r>
          </w:p>
        </w:tc>
        <w:tc>
          <w:tcPr>
            <w:tcW w:w="806" w:type="pct"/>
          </w:tcPr>
          <w:p w14:paraId="0D19866B" w14:textId="77777777" w:rsidR="00173C65" w:rsidRPr="00AD6080" w:rsidRDefault="00173C65" w:rsidP="00A57174">
            <w:pPr>
              <w:widowControl w:val="0"/>
              <w:spacing w:line="240" w:lineRule="auto"/>
              <w:jc w:val="center"/>
              <w:rPr>
                <w:rFonts w:ascii="Times New Roman" w:hAnsi="Times New Roman" w:cs="Times New Roman"/>
                <w:sz w:val="24"/>
                <w:szCs w:val="24"/>
              </w:rPr>
            </w:pPr>
            <w:r w:rsidRPr="00AD6080">
              <w:rPr>
                <w:rFonts w:ascii="Times New Roman" w:hAnsi="Times New Roman" w:cs="Times New Roman"/>
                <w:sz w:val="24"/>
                <w:szCs w:val="24"/>
              </w:rPr>
              <w:t>70</w:t>
            </w:r>
          </w:p>
        </w:tc>
      </w:tr>
    </w:tbl>
    <w:p w14:paraId="6BF89DA3" w14:textId="77777777" w:rsidR="00173C65" w:rsidRPr="00AD6080" w:rsidRDefault="00173C65" w:rsidP="00173C65">
      <w:pPr>
        <w:pStyle w:val="af4"/>
        <w:spacing w:line="240" w:lineRule="auto"/>
        <w:ind w:firstLine="0"/>
        <w:rPr>
          <w:sz w:val="24"/>
          <w:szCs w:val="24"/>
        </w:rPr>
      </w:pPr>
    </w:p>
    <w:p w14:paraId="7A820F8E" w14:textId="77777777" w:rsidR="00173C65" w:rsidRPr="00AD6080" w:rsidRDefault="00173C65" w:rsidP="00173C65">
      <w:pPr>
        <w:pStyle w:val="af4"/>
        <w:spacing w:line="240" w:lineRule="auto"/>
        <w:rPr>
          <w:spacing w:val="-7"/>
          <w:sz w:val="24"/>
          <w:szCs w:val="24"/>
          <w:lang w:eastAsia="ru-RU"/>
        </w:rPr>
      </w:pPr>
      <w:r w:rsidRPr="00AD6080">
        <w:rPr>
          <w:sz w:val="24"/>
          <w:szCs w:val="24"/>
        </w:rPr>
        <w:t xml:space="preserve">Немаловажным вопросом в организации труда ООО РТС «Восточное» является мотивация работников. Мотивация может проявляться в виде как материального стимулировании, так и нематериального. Таким образом, </w:t>
      </w:r>
      <w:r w:rsidRPr="00AD6080">
        <w:rPr>
          <w:spacing w:val="-8"/>
          <w:sz w:val="24"/>
          <w:szCs w:val="24"/>
          <w:lang w:eastAsia="ru-RU"/>
        </w:rPr>
        <w:t xml:space="preserve">доходы сотрудников </w:t>
      </w:r>
      <w:r w:rsidRPr="00AD6080">
        <w:rPr>
          <w:sz w:val="24"/>
          <w:szCs w:val="24"/>
        </w:rPr>
        <w:t>складываются</w:t>
      </w:r>
      <w:r w:rsidRPr="00AD6080">
        <w:rPr>
          <w:spacing w:val="-8"/>
          <w:sz w:val="24"/>
          <w:szCs w:val="24"/>
          <w:lang w:eastAsia="ru-RU"/>
        </w:rPr>
        <w:t xml:space="preserve"> не </w:t>
      </w:r>
      <w:r w:rsidRPr="00AD6080">
        <w:rPr>
          <w:sz w:val="24"/>
          <w:szCs w:val="24"/>
        </w:rPr>
        <w:t>только</w:t>
      </w:r>
      <w:r w:rsidRPr="00AD6080">
        <w:rPr>
          <w:spacing w:val="-8"/>
          <w:sz w:val="24"/>
          <w:szCs w:val="24"/>
          <w:lang w:eastAsia="ru-RU"/>
        </w:rPr>
        <w:t xml:space="preserve"> из повременной </w:t>
      </w:r>
      <w:r w:rsidRPr="00AD6080">
        <w:rPr>
          <w:sz w:val="24"/>
          <w:szCs w:val="24"/>
        </w:rPr>
        <w:t xml:space="preserve">заработной </w:t>
      </w:r>
      <w:r w:rsidRPr="00AD6080">
        <w:rPr>
          <w:spacing w:val="-7"/>
          <w:sz w:val="24"/>
          <w:szCs w:val="24"/>
          <w:lang w:eastAsia="ru-RU"/>
        </w:rPr>
        <w:t xml:space="preserve">платы, но и из </w:t>
      </w:r>
      <w:r w:rsidRPr="00AD6080">
        <w:rPr>
          <w:sz w:val="24"/>
          <w:szCs w:val="24"/>
        </w:rPr>
        <w:t>надбавок</w:t>
      </w:r>
      <w:r w:rsidRPr="00AD6080">
        <w:rPr>
          <w:spacing w:val="-7"/>
          <w:sz w:val="24"/>
          <w:szCs w:val="24"/>
          <w:lang w:eastAsia="ru-RU"/>
        </w:rPr>
        <w:t xml:space="preserve"> и</w:t>
      </w:r>
      <w:r w:rsidRPr="00AD6080">
        <w:rPr>
          <w:sz w:val="24"/>
          <w:szCs w:val="24"/>
        </w:rPr>
        <w:t>доплат</w:t>
      </w:r>
      <w:r w:rsidRPr="00AD6080">
        <w:rPr>
          <w:spacing w:val="-7"/>
          <w:sz w:val="24"/>
          <w:szCs w:val="24"/>
          <w:lang w:eastAsia="ru-RU"/>
        </w:rPr>
        <w:t>, играющими важную роль в материальном стимулировании. Также к материальному стимулированию персонала можно отнести доплаты за совмещение профессий и за высокое качество выполненной работы. Размер таких доплат определяется и устанавливается самим ООО РТС «Восточное». К нематериальному стимулированию можно отнести продвижение по карьерной лестнице, улучшение рабочих условий, соревнование за звание лучшего сотрудника месяца и более гибкий график работы.</w:t>
      </w:r>
    </w:p>
    <w:p w14:paraId="5931328B" w14:textId="77777777" w:rsidR="00173C65" w:rsidRPr="00AD6080" w:rsidRDefault="00173C65" w:rsidP="00173C65">
      <w:pPr>
        <w:pStyle w:val="af4"/>
        <w:spacing w:line="240" w:lineRule="auto"/>
        <w:rPr>
          <w:spacing w:val="-7"/>
          <w:sz w:val="24"/>
          <w:szCs w:val="24"/>
          <w:lang w:eastAsia="ru-RU"/>
        </w:rPr>
      </w:pPr>
      <w:r w:rsidRPr="00AD6080">
        <w:rPr>
          <w:spacing w:val="-7"/>
          <w:sz w:val="24"/>
          <w:szCs w:val="24"/>
          <w:lang w:eastAsia="ru-RU"/>
        </w:rPr>
        <w:t>Предприятию важно не превратить материальное стимулирование в простую постоянную выплату, не зависящую от вклада работника в трудовой процесс, так как следствием этого может стать неудовлетворенность работника в случае неполучения такого вида денежных средств[5, с 149].</w:t>
      </w:r>
    </w:p>
    <w:p w14:paraId="24A1A162" w14:textId="77777777" w:rsidR="00173C65" w:rsidRPr="00AD6080" w:rsidRDefault="00173C65" w:rsidP="00173C65">
      <w:pPr>
        <w:pStyle w:val="af4"/>
        <w:spacing w:line="240" w:lineRule="auto"/>
        <w:rPr>
          <w:spacing w:val="-7"/>
          <w:sz w:val="24"/>
          <w:szCs w:val="24"/>
          <w:lang w:eastAsia="ru-RU"/>
        </w:rPr>
      </w:pPr>
      <w:r w:rsidRPr="00AD6080">
        <w:rPr>
          <w:spacing w:val="-7"/>
          <w:sz w:val="24"/>
          <w:szCs w:val="24"/>
          <w:lang w:eastAsia="ru-RU"/>
        </w:rPr>
        <w:t xml:space="preserve">Таким образом, рассмотрев деятельность ООО РТС «Восточное», можно отметить, что организация работает эффективно и её деятельность соответствует требованиям законодательства и нормативным документам. Организация  всячески мотивирует сотрудников, стимулирует </w:t>
      </w:r>
      <w:r w:rsidRPr="00AD6080">
        <w:rPr>
          <w:spacing w:val="-7"/>
          <w:sz w:val="24"/>
          <w:szCs w:val="24"/>
          <w:lang w:eastAsia="ru-RU"/>
        </w:rPr>
        <w:lastRenderedPageBreak/>
        <w:t xml:space="preserve">производительность труда с помощью как материальных, так и нематериальных вариантов. Заработная плата сотрудников напрямую зависит от их вклада в рабочий процесс. </w:t>
      </w:r>
    </w:p>
    <w:p w14:paraId="6FEC7700" w14:textId="77777777" w:rsidR="00173C65" w:rsidRPr="00AD6080" w:rsidRDefault="00173C65" w:rsidP="00173C65">
      <w:pPr>
        <w:pStyle w:val="af4"/>
        <w:spacing w:line="240" w:lineRule="auto"/>
        <w:rPr>
          <w:spacing w:val="-7"/>
          <w:sz w:val="24"/>
          <w:szCs w:val="24"/>
          <w:lang w:eastAsia="ru-RU"/>
        </w:rPr>
      </w:pPr>
      <w:r w:rsidRPr="00AD6080">
        <w:rPr>
          <w:spacing w:val="-7"/>
          <w:sz w:val="24"/>
          <w:szCs w:val="24"/>
          <w:lang w:eastAsia="ru-RU"/>
        </w:rPr>
        <w:t>Так как целью статьи являлосьрассмотрение иоценка оплаты труда работников ООО РТС «Восточное», данная статья может представлять интерес как руководителям каких-либо организаций, так и для персонала с ознакомительной целью.</w:t>
      </w:r>
    </w:p>
    <w:p w14:paraId="49EF400A" w14:textId="77777777" w:rsidR="00173C65" w:rsidRPr="00AD6080" w:rsidRDefault="00173C65" w:rsidP="00173C65">
      <w:pPr>
        <w:pStyle w:val="af4"/>
        <w:spacing w:line="240" w:lineRule="auto"/>
        <w:ind w:firstLine="0"/>
        <w:rPr>
          <w:spacing w:val="-7"/>
          <w:sz w:val="24"/>
          <w:szCs w:val="24"/>
          <w:lang w:eastAsia="ru-RU"/>
        </w:rPr>
      </w:pPr>
      <w:r w:rsidRPr="00AD6080">
        <w:rPr>
          <w:spacing w:val="-7"/>
          <w:sz w:val="24"/>
          <w:szCs w:val="24"/>
          <w:lang w:eastAsia="ru-RU"/>
        </w:rPr>
        <w:t>___________________________________________________</w:t>
      </w:r>
    </w:p>
    <w:p w14:paraId="5C3E0E74" w14:textId="77777777" w:rsidR="00173C65" w:rsidRPr="00AD6080" w:rsidRDefault="00173C65" w:rsidP="00173C65">
      <w:pPr>
        <w:pStyle w:val="af4"/>
        <w:spacing w:line="240" w:lineRule="auto"/>
        <w:ind w:firstLine="567"/>
        <w:rPr>
          <w:b/>
          <w:spacing w:val="-7"/>
          <w:sz w:val="24"/>
          <w:szCs w:val="24"/>
          <w:lang w:eastAsia="ru-RU"/>
        </w:rPr>
      </w:pPr>
    </w:p>
    <w:p w14:paraId="5C943D1A" w14:textId="77777777" w:rsidR="00173C65" w:rsidRPr="00AD6080" w:rsidRDefault="00173C65" w:rsidP="00202D58">
      <w:pPr>
        <w:numPr>
          <w:ilvl w:val="0"/>
          <w:numId w:val="47"/>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Трудовой кодекс Российской Федерации: Принят государственной думой 30.12.2001 № 197-ФЗ (ред. от 05.02.2018) // СПС «Консультант Плюс».- Режим доступа: http://www.consultant.ru/document/cons_doc_LAW_34683/</w:t>
      </w:r>
    </w:p>
    <w:p w14:paraId="03D6DDA9" w14:textId="77777777" w:rsidR="00173C65" w:rsidRPr="00AD6080" w:rsidRDefault="00173C65" w:rsidP="00202D58">
      <w:pPr>
        <w:numPr>
          <w:ilvl w:val="0"/>
          <w:numId w:val="47"/>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Об обществах с ограниченной ответственностью: Федеральный закон от 08.02.1998  № 14 ФЗ (ред. от 01.02.2018) [Электронный ресурс] // СПС «Консультант Плюс».- Режим доступа: http://www.consultant.ru/document/cons_doc_LAW_17819/</w:t>
      </w:r>
    </w:p>
    <w:p w14:paraId="3A68CF0B" w14:textId="77777777" w:rsidR="00173C65" w:rsidRPr="00AD6080" w:rsidRDefault="00173C65" w:rsidP="00202D58">
      <w:pPr>
        <w:numPr>
          <w:ilvl w:val="0"/>
          <w:numId w:val="47"/>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Астафурова И.С. Оценка методик формирования системы показателей деятельности организаций / Экономика и предпринимательство. – 2014. - № 12-3 (53-3). – С. 850-854.</w:t>
      </w:r>
    </w:p>
    <w:p w14:paraId="732ED844" w14:textId="77777777" w:rsidR="00173C65" w:rsidRPr="00AD6080" w:rsidRDefault="00173C65" w:rsidP="00202D58">
      <w:pPr>
        <w:numPr>
          <w:ilvl w:val="0"/>
          <w:numId w:val="47"/>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Налоговый кодекс Российской Федерации (часть первая): Принят Государственной Думой РФ 16.07.1998 № 146 – ФЗ (ред. от 19.02.2018) // СПС «Консультант Плюс».- Режим доступа: http://www.consultant.ru/document/cons_doc_LAW_19671/</w:t>
      </w:r>
    </w:p>
    <w:p w14:paraId="356DF2DF" w14:textId="77777777" w:rsidR="00173C65" w:rsidRPr="00AD6080" w:rsidRDefault="00173C65" w:rsidP="00202D58">
      <w:pPr>
        <w:numPr>
          <w:ilvl w:val="0"/>
          <w:numId w:val="47"/>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Ветлужских Е. Н. Мотивация и оплата труда. Инструменты. Методики. Практика / Е. Н. Ветлужских. - 7-е изд. - М. : Альпина Паблишер, 2016. - 149 с.</w:t>
      </w:r>
    </w:p>
    <w:p w14:paraId="66A1FAB9" w14:textId="77777777" w:rsidR="00173C65" w:rsidRDefault="00173C65" w:rsidP="00173C65">
      <w:pPr>
        <w:spacing w:line="240" w:lineRule="auto"/>
        <w:rPr>
          <w:rFonts w:ascii="Times New Roman" w:hAnsi="Times New Roman"/>
          <w:sz w:val="24"/>
          <w:szCs w:val="24"/>
        </w:rPr>
      </w:pPr>
    </w:p>
    <w:p w14:paraId="4055BAC7" w14:textId="77777777" w:rsidR="00173C65" w:rsidRPr="00AD6080" w:rsidRDefault="00173C65" w:rsidP="00173C65">
      <w:pPr>
        <w:pStyle w:val="af6"/>
        <w:spacing w:after="0"/>
        <w:ind w:firstLine="0"/>
        <w:outlineLvl w:val="0"/>
        <w:rPr>
          <w:b/>
          <w:sz w:val="24"/>
        </w:rPr>
      </w:pPr>
      <w:r w:rsidRPr="00AD6080">
        <w:rPr>
          <w:b/>
          <w:sz w:val="24"/>
        </w:rPr>
        <w:t>Рубрика: Учет, анализ, аудит и статистика: исследование тенденций и проблем совершенствования</w:t>
      </w:r>
    </w:p>
    <w:p w14:paraId="76BB753C" w14:textId="77777777" w:rsidR="00A57174" w:rsidRPr="00AD6080" w:rsidRDefault="00A57174" w:rsidP="00173C65">
      <w:pPr>
        <w:pStyle w:val="af6"/>
        <w:spacing w:after="0"/>
        <w:ind w:firstLine="0"/>
        <w:outlineLvl w:val="0"/>
        <w:rPr>
          <w:sz w:val="24"/>
        </w:rPr>
      </w:pPr>
    </w:p>
    <w:p w14:paraId="1742A638" w14:textId="77777777" w:rsidR="00173C65" w:rsidRPr="00AD6080" w:rsidRDefault="00173C65" w:rsidP="00173C65">
      <w:pPr>
        <w:pStyle w:val="af6"/>
        <w:spacing w:after="0"/>
        <w:ind w:firstLine="0"/>
        <w:outlineLvl w:val="0"/>
        <w:rPr>
          <w:sz w:val="24"/>
        </w:rPr>
      </w:pPr>
      <w:r w:rsidRPr="00AD6080">
        <w:rPr>
          <w:sz w:val="24"/>
        </w:rPr>
        <w:t>УДК 332.871.1, 657.01</w:t>
      </w:r>
    </w:p>
    <w:p w14:paraId="513DA1E0" w14:textId="77777777" w:rsidR="00173C65" w:rsidRPr="00AD6080" w:rsidRDefault="00173C65" w:rsidP="00173C65">
      <w:pPr>
        <w:pStyle w:val="af6"/>
        <w:spacing w:after="0"/>
        <w:ind w:firstLine="0"/>
        <w:outlineLvl w:val="0"/>
        <w:rPr>
          <w:b/>
          <w:sz w:val="24"/>
        </w:rPr>
      </w:pPr>
    </w:p>
    <w:p w14:paraId="16E4905B" w14:textId="77777777" w:rsidR="00173C65" w:rsidRPr="00AD6080" w:rsidRDefault="00173C65" w:rsidP="00173C65">
      <w:pPr>
        <w:pStyle w:val="af6"/>
        <w:spacing w:after="0"/>
        <w:ind w:firstLine="0"/>
        <w:jc w:val="center"/>
        <w:outlineLvl w:val="0"/>
        <w:rPr>
          <w:b/>
          <w:sz w:val="24"/>
        </w:rPr>
      </w:pPr>
      <w:r w:rsidRPr="00AD6080">
        <w:rPr>
          <w:b/>
          <w:sz w:val="24"/>
        </w:rPr>
        <w:t>БУХГАЛТЕРСКИЙ УЧЕТ И ОТЧЕТНОСТЬ ТОВАРИЩЕСТВА СОБСТВЕННИКОВ ЖИЛЬЯ, ПРИМЕНЯЮЩЕГО УПРОЩЕННУЮ СИСТЕМУ НАЛОГООБЛОЖЕНИЯ:</w:t>
      </w:r>
    </w:p>
    <w:p w14:paraId="4348EF3D" w14:textId="77777777" w:rsidR="00173C65" w:rsidRPr="00AD6080" w:rsidRDefault="00173C65" w:rsidP="00173C65">
      <w:pPr>
        <w:pStyle w:val="af6"/>
        <w:spacing w:after="240"/>
        <w:ind w:firstLine="0"/>
        <w:jc w:val="center"/>
        <w:outlineLvl w:val="0"/>
        <w:rPr>
          <w:sz w:val="24"/>
        </w:rPr>
      </w:pPr>
      <w:r w:rsidRPr="00AD6080">
        <w:rPr>
          <w:b/>
          <w:sz w:val="24"/>
        </w:rPr>
        <w:t xml:space="preserve"> ОСОБЕННОСТИ И РЕКОМЕНДАЦИИ</w:t>
      </w:r>
    </w:p>
    <w:p w14:paraId="41B20F07" w14:textId="77777777" w:rsidR="00173C65" w:rsidRPr="00AD6080" w:rsidRDefault="00173C65" w:rsidP="00173C65">
      <w:pPr>
        <w:pStyle w:val="af6"/>
        <w:spacing w:after="0"/>
        <w:ind w:firstLine="0"/>
        <w:jc w:val="center"/>
        <w:outlineLvl w:val="0"/>
        <w:rPr>
          <w:b/>
          <w:sz w:val="24"/>
        </w:rPr>
      </w:pPr>
      <w:r w:rsidRPr="00AD6080">
        <w:rPr>
          <w:b/>
          <w:sz w:val="24"/>
        </w:rPr>
        <w:t>Монид</w:t>
      </w:r>
      <w:r w:rsidR="00376F6E" w:rsidRPr="00AD6080">
        <w:rPr>
          <w:b/>
          <w:sz w:val="24"/>
        </w:rPr>
        <w:t xml:space="preserve"> О.В.</w:t>
      </w:r>
    </w:p>
    <w:p w14:paraId="61B3223E" w14:textId="77777777" w:rsidR="00173C65" w:rsidRPr="00AD6080" w:rsidRDefault="00173C65" w:rsidP="007E1ABB">
      <w:pPr>
        <w:pStyle w:val="af6"/>
        <w:spacing w:after="0"/>
        <w:ind w:firstLine="0"/>
        <w:jc w:val="center"/>
        <w:outlineLvl w:val="0"/>
        <w:rPr>
          <w:sz w:val="24"/>
        </w:rPr>
      </w:pPr>
      <w:r w:rsidRPr="00AD6080">
        <w:rPr>
          <w:sz w:val="24"/>
        </w:rPr>
        <w:t>бакалавр, 4 курс</w:t>
      </w:r>
    </w:p>
    <w:p w14:paraId="75CAC6F5" w14:textId="77777777" w:rsidR="00173C65" w:rsidRPr="00AD6080" w:rsidRDefault="00173C65" w:rsidP="007E1ABB">
      <w:pPr>
        <w:pStyle w:val="af6"/>
        <w:spacing w:after="0"/>
        <w:ind w:firstLine="0"/>
        <w:jc w:val="center"/>
        <w:outlineLvl w:val="0"/>
        <w:rPr>
          <w:sz w:val="24"/>
        </w:rPr>
      </w:pPr>
    </w:p>
    <w:p w14:paraId="5DA1EE89" w14:textId="77777777" w:rsidR="00173C65" w:rsidRPr="00AD6080" w:rsidRDefault="00173C65" w:rsidP="007E1ABB">
      <w:pPr>
        <w:pStyle w:val="af6"/>
        <w:spacing w:after="0"/>
        <w:ind w:firstLine="0"/>
        <w:jc w:val="center"/>
        <w:outlineLvl w:val="0"/>
        <w:rPr>
          <w:i/>
          <w:sz w:val="24"/>
        </w:rPr>
      </w:pPr>
      <w:r w:rsidRPr="00AD6080">
        <w:rPr>
          <w:i/>
          <w:sz w:val="24"/>
        </w:rPr>
        <w:t xml:space="preserve">Владивостокский университет экономики и сервиса, </w:t>
      </w:r>
    </w:p>
    <w:p w14:paraId="57B94D85" w14:textId="77777777" w:rsidR="00173C65" w:rsidRPr="00AD6080" w:rsidRDefault="00173C65" w:rsidP="00173C65">
      <w:pPr>
        <w:pStyle w:val="af6"/>
        <w:spacing w:after="0"/>
        <w:ind w:firstLine="0"/>
        <w:jc w:val="center"/>
        <w:outlineLvl w:val="0"/>
        <w:rPr>
          <w:i/>
          <w:sz w:val="24"/>
        </w:rPr>
      </w:pPr>
      <w:r w:rsidRPr="00AD6080">
        <w:rPr>
          <w:i/>
          <w:sz w:val="24"/>
        </w:rPr>
        <w:t>Россия. Владивосток</w:t>
      </w:r>
    </w:p>
    <w:p w14:paraId="66060428" w14:textId="77777777" w:rsidR="00173C65" w:rsidRPr="00AD6080" w:rsidRDefault="00173C65" w:rsidP="00173C65">
      <w:pPr>
        <w:pStyle w:val="af6"/>
        <w:spacing w:after="0"/>
        <w:ind w:firstLine="0"/>
        <w:jc w:val="center"/>
        <w:outlineLvl w:val="0"/>
        <w:rPr>
          <w:sz w:val="24"/>
        </w:rPr>
      </w:pPr>
    </w:p>
    <w:p w14:paraId="6B45132F" w14:textId="77777777" w:rsidR="00AD6080" w:rsidRPr="007E1ABB" w:rsidRDefault="630840AF" w:rsidP="630840AF">
      <w:pPr>
        <w:shd w:val="clear" w:color="auto" w:fill="FFFFFF" w:themeFill="background1"/>
        <w:tabs>
          <w:tab w:val="left" w:pos="720"/>
        </w:tabs>
        <w:spacing w:after="0" w:line="240" w:lineRule="auto"/>
        <w:ind w:left="34" w:right="68" w:firstLine="686"/>
        <w:jc w:val="both"/>
        <w:rPr>
          <w:rFonts w:ascii="Times New Roman" w:hAnsi="Times New Roman" w:cs="Times New Roman"/>
          <w:i/>
          <w:iCs/>
          <w:sz w:val="24"/>
          <w:szCs w:val="24"/>
          <w:lang w:eastAsia="ru-RU"/>
        </w:rPr>
      </w:pPr>
      <w:r w:rsidRPr="630840AF">
        <w:rPr>
          <w:rFonts w:ascii="Times New Roman" w:hAnsi="Times New Roman" w:cs="Times New Roman"/>
          <w:i/>
          <w:iCs/>
          <w:sz w:val="24"/>
          <w:szCs w:val="24"/>
          <w:lang w:eastAsia="ru-RU"/>
        </w:rPr>
        <w:t>Учет и отчетность товарищества собственников жилья имеют свою специфику, обусловленную целями и задачами организации. В данной статье рассмотрены основные особенности бухгалтерского учета в товариществах собственников жилья и даны рекомендации по составлению отчетности таких организаций.</w:t>
      </w:r>
    </w:p>
    <w:p w14:paraId="07A5D830" w14:textId="77777777" w:rsidR="00173C65" w:rsidRPr="00AD6080" w:rsidRDefault="630840AF" w:rsidP="630840AF">
      <w:pPr>
        <w:shd w:val="clear" w:color="auto" w:fill="FFFFFF" w:themeFill="background1"/>
        <w:tabs>
          <w:tab w:val="left" w:pos="720"/>
        </w:tabs>
        <w:spacing w:after="0" w:line="240" w:lineRule="auto"/>
        <w:ind w:left="34" w:right="68" w:firstLine="686"/>
        <w:jc w:val="both"/>
        <w:rPr>
          <w:rFonts w:ascii="Times New Roman" w:hAnsi="Times New Roman" w:cs="Times New Roman"/>
          <w:i/>
          <w:iCs/>
          <w:sz w:val="24"/>
          <w:szCs w:val="24"/>
          <w:lang w:eastAsia="ru-RU"/>
        </w:rPr>
      </w:pPr>
      <w:r w:rsidRPr="630840AF">
        <w:rPr>
          <w:rFonts w:ascii="Times New Roman" w:hAnsi="Times New Roman" w:cs="Times New Roman"/>
          <w:b/>
          <w:bCs/>
          <w:i/>
          <w:iCs/>
          <w:sz w:val="24"/>
          <w:szCs w:val="24"/>
          <w:lang w:eastAsia="ru-RU"/>
        </w:rPr>
        <w:t xml:space="preserve">Ключевые слова и словосочетания: </w:t>
      </w:r>
      <w:r w:rsidRPr="630840AF">
        <w:rPr>
          <w:rFonts w:ascii="Times New Roman" w:hAnsi="Times New Roman" w:cs="Times New Roman"/>
          <w:i/>
          <w:iCs/>
          <w:sz w:val="24"/>
          <w:szCs w:val="24"/>
          <w:lang w:eastAsia="ru-RU"/>
        </w:rPr>
        <w:t>товарищество собственников жилья, бухгалтерский учет, отчетность, целевое финансирование, бухгалтерский баланс, отчет о целевом использовании средств.</w:t>
      </w:r>
    </w:p>
    <w:p w14:paraId="1D0656FE" w14:textId="77777777" w:rsidR="00173C65" w:rsidRPr="00AD6080" w:rsidRDefault="00173C65" w:rsidP="00173C65">
      <w:pPr>
        <w:shd w:val="clear" w:color="auto" w:fill="FFFFFF"/>
        <w:tabs>
          <w:tab w:val="left" w:pos="720"/>
        </w:tabs>
        <w:spacing w:after="0" w:line="360" w:lineRule="auto"/>
        <w:ind w:left="34" w:right="67" w:firstLine="686"/>
        <w:jc w:val="center"/>
        <w:rPr>
          <w:rFonts w:ascii="Times New Roman" w:hAnsi="Times New Roman" w:cs="Times New Roman"/>
          <w:i/>
          <w:sz w:val="24"/>
          <w:szCs w:val="24"/>
          <w:lang w:eastAsia="ru-RU"/>
        </w:rPr>
      </w:pPr>
    </w:p>
    <w:p w14:paraId="086B56EC" w14:textId="77777777" w:rsidR="00173C65" w:rsidRPr="00AD6080" w:rsidRDefault="00173C65" w:rsidP="00173C65">
      <w:pPr>
        <w:pStyle w:val="af8"/>
        <w:rPr>
          <w:b/>
          <w:sz w:val="24"/>
          <w:szCs w:val="24"/>
          <w:lang w:val="en-US"/>
        </w:rPr>
      </w:pPr>
      <w:r w:rsidRPr="00AD6080">
        <w:rPr>
          <w:b/>
          <w:sz w:val="24"/>
          <w:szCs w:val="24"/>
          <w:lang w:val="en-US"/>
        </w:rPr>
        <w:t>ACCOUNTING AND REPORTING OF THE PARTNERSHIP OF HOMEOWNERS APPLYING THE SIMPLIFIED TAXATION SYSTEM: FEATURES AND RECOMMENDATIONS</w:t>
      </w:r>
    </w:p>
    <w:p w14:paraId="7B37605A" w14:textId="77777777" w:rsidR="00173C65" w:rsidRPr="00AD6080" w:rsidRDefault="00173C65" w:rsidP="00173C65">
      <w:pPr>
        <w:pStyle w:val="af8"/>
        <w:rPr>
          <w:b/>
          <w:sz w:val="24"/>
          <w:szCs w:val="24"/>
          <w:lang w:val="en-US"/>
        </w:rPr>
      </w:pPr>
    </w:p>
    <w:p w14:paraId="473E123F" w14:textId="77777777" w:rsidR="00173C65" w:rsidRPr="00AD6080" w:rsidRDefault="00173C65" w:rsidP="00173C65">
      <w:pPr>
        <w:shd w:val="clear" w:color="auto" w:fill="FFFFFF"/>
        <w:tabs>
          <w:tab w:val="left" w:pos="720"/>
        </w:tabs>
        <w:spacing w:after="0" w:line="240" w:lineRule="auto"/>
        <w:ind w:left="34" w:right="68" w:firstLine="686"/>
        <w:jc w:val="center"/>
        <w:rPr>
          <w:rFonts w:ascii="Times New Roman" w:hAnsi="Times New Roman" w:cs="Times New Roman"/>
          <w:b/>
          <w:sz w:val="24"/>
          <w:szCs w:val="24"/>
          <w:lang w:val="en-US" w:eastAsia="ru-RU"/>
        </w:rPr>
      </w:pPr>
      <w:r w:rsidRPr="00AD6080">
        <w:rPr>
          <w:rFonts w:ascii="Times New Roman" w:hAnsi="Times New Roman" w:cs="Times New Roman"/>
          <w:b/>
          <w:sz w:val="24"/>
          <w:szCs w:val="24"/>
          <w:lang w:val="en-US" w:eastAsia="ru-RU"/>
        </w:rPr>
        <w:t>O.V. Monid</w:t>
      </w:r>
    </w:p>
    <w:p w14:paraId="2C17335B" w14:textId="77777777" w:rsidR="00173C65" w:rsidRPr="00AD6080" w:rsidRDefault="630840AF" w:rsidP="630840AF">
      <w:pPr>
        <w:shd w:val="clear" w:color="auto" w:fill="FFFFFF" w:themeFill="background1"/>
        <w:tabs>
          <w:tab w:val="left" w:pos="720"/>
        </w:tabs>
        <w:spacing w:after="0" w:line="240" w:lineRule="auto"/>
        <w:ind w:left="34" w:right="68" w:firstLine="686"/>
        <w:jc w:val="center"/>
        <w:rPr>
          <w:rFonts w:ascii="Times New Roman" w:hAnsi="Times New Roman" w:cs="Times New Roman"/>
          <w:sz w:val="24"/>
          <w:szCs w:val="24"/>
          <w:lang w:val="en-US" w:eastAsia="ru-RU"/>
        </w:rPr>
      </w:pPr>
      <w:r w:rsidRPr="630840AF">
        <w:rPr>
          <w:rFonts w:ascii="Times New Roman" w:hAnsi="Times New Roman" w:cs="Times New Roman"/>
          <w:sz w:val="24"/>
          <w:szCs w:val="24"/>
          <w:lang w:val="en-US" w:eastAsia="ru-RU"/>
        </w:rPr>
        <w:t>bachelor, 4 year</w:t>
      </w:r>
    </w:p>
    <w:p w14:paraId="394798F2" w14:textId="77777777" w:rsidR="00A57174" w:rsidRPr="00AD6080" w:rsidRDefault="00A57174" w:rsidP="00A57174">
      <w:pPr>
        <w:shd w:val="clear" w:color="auto" w:fill="FFFFFF"/>
        <w:tabs>
          <w:tab w:val="left" w:pos="720"/>
        </w:tabs>
        <w:spacing w:after="0" w:line="240" w:lineRule="auto"/>
        <w:ind w:left="34" w:right="68" w:firstLine="686"/>
        <w:jc w:val="center"/>
        <w:rPr>
          <w:rFonts w:ascii="Times New Roman" w:hAnsi="Times New Roman" w:cs="Times New Roman"/>
          <w:sz w:val="24"/>
          <w:szCs w:val="24"/>
          <w:lang w:val="en-US" w:eastAsia="ru-RU"/>
        </w:rPr>
      </w:pPr>
    </w:p>
    <w:p w14:paraId="7B54E28E" w14:textId="77777777" w:rsidR="00173C65" w:rsidRPr="00AD6080" w:rsidRDefault="630840AF" w:rsidP="630840AF">
      <w:pPr>
        <w:shd w:val="clear" w:color="auto" w:fill="FFFFFF" w:themeFill="background1"/>
        <w:tabs>
          <w:tab w:val="left" w:pos="720"/>
        </w:tabs>
        <w:spacing w:after="0" w:line="240" w:lineRule="auto"/>
        <w:ind w:left="34" w:right="68" w:firstLine="686"/>
        <w:jc w:val="center"/>
        <w:rPr>
          <w:rFonts w:ascii="Times New Roman" w:hAnsi="Times New Roman" w:cs="Times New Roman"/>
          <w:i/>
          <w:iCs/>
          <w:sz w:val="24"/>
          <w:szCs w:val="24"/>
          <w:lang w:val="en-US"/>
        </w:rPr>
      </w:pPr>
      <w:r w:rsidRPr="630840AF">
        <w:rPr>
          <w:rFonts w:ascii="Times New Roman" w:hAnsi="Times New Roman" w:cs="Times New Roman"/>
          <w:i/>
          <w:iCs/>
          <w:sz w:val="24"/>
          <w:szCs w:val="24"/>
          <w:lang w:val="en-US" w:eastAsia="ru-RU"/>
        </w:rPr>
        <w:lastRenderedPageBreak/>
        <w:t>Vladivostok</w:t>
      </w:r>
      <w:r w:rsidRPr="630840AF">
        <w:rPr>
          <w:rFonts w:ascii="Times New Roman" w:hAnsi="Times New Roman" w:cs="Times New Roman"/>
          <w:i/>
          <w:iCs/>
          <w:sz w:val="24"/>
          <w:szCs w:val="24"/>
          <w:lang w:val="en-US"/>
        </w:rPr>
        <w:t xml:space="preserve"> State University of Economics and Service</w:t>
      </w:r>
    </w:p>
    <w:p w14:paraId="24B16115" w14:textId="77777777" w:rsidR="00173C65" w:rsidRPr="00AD6080" w:rsidRDefault="630840AF" w:rsidP="630840AF">
      <w:pPr>
        <w:shd w:val="clear" w:color="auto" w:fill="FFFFFF" w:themeFill="background1"/>
        <w:tabs>
          <w:tab w:val="left" w:pos="720"/>
        </w:tabs>
        <w:spacing w:after="0" w:line="240" w:lineRule="auto"/>
        <w:ind w:left="34" w:right="68" w:firstLine="686"/>
        <w:jc w:val="center"/>
        <w:rPr>
          <w:rFonts w:ascii="Times New Roman" w:hAnsi="Times New Roman" w:cs="Times New Roman"/>
          <w:i/>
          <w:iCs/>
          <w:sz w:val="24"/>
          <w:szCs w:val="24"/>
          <w:lang w:val="en-US"/>
        </w:rPr>
      </w:pPr>
      <w:r w:rsidRPr="630840AF">
        <w:rPr>
          <w:rFonts w:ascii="Times New Roman" w:hAnsi="Times New Roman" w:cs="Times New Roman"/>
          <w:i/>
          <w:iCs/>
          <w:sz w:val="24"/>
          <w:szCs w:val="24"/>
          <w:lang w:val="en-US" w:eastAsia="ru-RU"/>
        </w:rPr>
        <w:t>Russia</w:t>
      </w:r>
      <w:r w:rsidRPr="630840AF">
        <w:rPr>
          <w:rFonts w:ascii="Times New Roman" w:hAnsi="Times New Roman" w:cs="Times New Roman"/>
          <w:i/>
          <w:iCs/>
          <w:sz w:val="24"/>
          <w:szCs w:val="24"/>
          <w:lang w:val="en-US"/>
        </w:rPr>
        <w:t>. Vladivostok</w:t>
      </w:r>
    </w:p>
    <w:p w14:paraId="3889A505" w14:textId="77777777" w:rsidR="00173C65" w:rsidRPr="00AD6080" w:rsidRDefault="00173C65" w:rsidP="00173C65">
      <w:pPr>
        <w:shd w:val="clear" w:color="auto" w:fill="FFFFFF"/>
        <w:tabs>
          <w:tab w:val="left" w:pos="720"/>
        </w:tabs>
        <w:spacing w:after="0" w:line="240" w:lineRule="auto"/>
        <w:ind w:left="34" w:right="68" w:firstLine="686"/>
        <w:jc w:val="center"/>
        <w:rPr>
          <w:rFonts w:ascii="Times New Roman" w:hAnsi="Times New Roman" w:cs="Times New Roman"/>
          <w:i/>
          <w:sz w:val="24"/>
          <w:szCs w:val="24"/>
          <w:lang w:val="en-US" w:eastAsia="ru-RU"/>
        </w:rPr>
      </w:pPr>
    </w:p>
    <w:p w14:paraId="53A20EA1" w14:textId="77777777" w:rsidR="00AD6080" w:rsidRPr="007E1ABB" w:rsidRDefault="630840AF" w:rsidP="630840AF">
      <w:pPr>
        <w:shd w:val="clear" w:color="auto" w:fill="FFFFFF" w:themeFill="background1"/>
        <w:tabs>
          <w:tab w:val="left" w:pos="720"/>
        </w:tabs>
        <w:spacing w:after="0" w:line="240" w:lineRule="auto"/>
        <w:ind w:left="34" w:right="68" w:firstLine="686"/>
        <w:jc w:val="both"/>
        <w:rPr>
          <w:rFonts w:ascii="Times New Roman" w:hAnsi="Times New Roman" w:cs="Times New Roman"/>
          <w:i/>
          <w:iCs/>
          <w:sz w:val="24"/>
          <w:szCs w:val="24"/>
          <w:lang w:val="en-US" w:eastAsia="ru-RU"/>
        </w:rPr>
      </w:pPr>
      <w:r w:rsidRPr="630840AF">
        <w:rPr>
          <w:rFonts w:ascii="Times New Roman" w:hAnsi="Times New Roman" w:cs="Times New Roman"/>
          <w:i/>
          <w:iCs/>
          <w:sz w:val="24"/>
          <w:szCs w:val="24"/>
          <w:lang w:val="en-US" w:eastAsia="ru-RU"/>
        </w:rPr>
        <w:t>Accounting and reporting of the partnership of homeowners have their own specifics, determined by the goals and objectives of the organization. This article examines the main features of accounting in partnerships of homeowners and provides recommendations on the compilation of accounts of such organizations.</w:t>
      </w:r>
    </w:p>
    <w:p w14:paraId="46565AFC" w14:textId="77777777" w:rsidR="00173C65" w:rsidRPr="00AD6080" w:rsidRDefault="630840AF" w:rsidP="630840AF">
      <w:pPr>
        <w:shd w:val="clear" w:color="auto" w:fill="FFFFFF" w:themeFill="background1"/>
        <w:tabs>
          <w:tab w:val="left" w:pos="720"/>
        </w:tabs>
        <w:spacing w:after="0" w:line="240" w:lineRule="auto"/>
        <w:ind w:left="34" w:right="68" w:firstLine="686"/>
        <w:jc w:val="both"/>
        <w:rPr>
          <w:rFonts w:ascii="Times New Roman" w:hAnsi="Times New Roman" w:cs="Times New Roman"/>
          <w:i/>
          <w:iCs/>
          <w:sz w:val="24"/>
          <w:szCs w:val="24"/>
          <w:lang w:val="en-US" w:eastAsia="ru-RU"/>
        </w:rPr>
      </w:pPr>
      <w:r w:rsidRPr="630840AF">
        <w:rPr>
          <w:rFonts w:ascii="Times New Roman" w:hAnsi="Times New Roman" w:cs="Times New Roman"/>
          <w:b/>
          <w:bCs/>
          <w:i/>
          <w:iCs/>
          <w:sz w:val="24"/>
          <w:szCs w:val="24"/>
          <w:lang w:val="en-US" w:eastAsia="ru-RU"/>
        </w:rPr>
        <w:t>Keywords:</w:t>
      </w:r>
      <w:r w:rsidRPr="630840AF">
        <w:rPr>
          <w:rFonts w:ascii="Times New Roman" w:hAnsi="Times New Roman" w:cs="Times New Roman"/>
          <w:i/>
          <w:iCs/>
          <w:sz w:val="24"/>
          <w:szCs w:val="24"/>
          <w:lang w:val="en-US" w:eastAsia="ru-RU"/>
        </w:rPr>
        <w:t xml:space="preserve"> homeowners' partnership, accounting, reporting, target financing, balance sheet, statement of purposeful use of funds.</w:t>
      </w:r>
    </w:p>
    <w:p w14:paraId="29079D35" w14:textId="77777777" w:rsidR="00173C65" w:rsidRPr="00AD6080" w:rsidRDefault="00173C65" w:rsidP="00AD6080">
      <w:pPr>
        <w:shd w:val="clear" w:color="auto" w:fill="FFFFFF"/>
        <w:tabs>
          <w:tab w:val="left" w:pos="720"/>
        </w:tabs>
        <w:spacing w:after="0" w:line="240" w:lineRule="auto"/>
        <w:ind w:left="34" w:right="68" w:firstLine="686"/>
        <w:jc w:val="both"/>
        <w:rPr>
          <w:rFonts w:ascii="Times New Roman" w:hAnsi="Times New Roman" w:cs="Times New Roman"/>
          <w:i/>
          <w:sz w:val="24"/>
          <w:szCs w:val="24"/>
          <w:lang w:val="en-US" w:eastAsia="ru-RU"/>
        </w:rPr>
      </w:pPr>
    </w:p>
    <w:p w14:paraId="12D64AC4" w14:textId="77777777" w:rsidR="00173C65" w:rsidRPr="00AD6080" w:rsidRDefault="630840AF" w:rsidP="630840AF">
      <w:pPr>
        <w:shd w:val="clear" w:color="auto" w:fill="FFFFFF" w:themeFill="background1"/>
        <w:tabs>
          <w:tab w:val="left" w:pos="720"/>
        </w:tabs>
        <w:spacing w:after="0" w:line="240" w:lineRule="auto"/>
        <w:ind w:left="34" w:right="67" w:firstLine="686"/>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Товарищество собственников жилья (ТСЖ) - это некоммерческая организация, объединяющая собственников помещений в многоквартирном доме для организации коллективного управления всем недвижимым имуществом, обеспечения его использования, обладания и распоряжения в пределах, определенных нормами законодательства [1].</w:t>
      </w:r>
    </w:p>
    <w:p w14:paraId="34E0FE2F" w14:textId="77777777" w:rsidR="00173C65" w:rsidRPr="00AD6080" w:rsidRDefault="630840AF" w:rsidP="630840AF">
      <w:pPr>
        <w:shd w:val="clear" w:color="auto" w:fill="FFFFFF" w:themeFill="background1"/>
        <w:tabs>
          <w:tab w:val="left" w:pos="720"/>
        </w:tabs>
        <w:spacing w:after="0" w:line="240" w:lineRule="auto"/>
        <w:ind w:left="34" w:right="67" w:firstLine="686"/>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 xml:space="preserve">Законодательство в жилищно-коммунальной сфере претерпевает в последние годы значительные изменения, реформа системы управления жилищно-коммунальным хозяйством позволила собственникам жилья активно включиться в заботы по содержанию жилого фонда. </w:t>
      </w:r>
    </w:p>
    <w:p w14:paraId="6BC7CB78" w14:textId="77777777" w:rsidR="00173C65" w:rsidRPr="00AD6080" w:rsidRDefault="630840AF" w:rsidP="630840AF">
      <w:pPr>
        <w:shd w:val="clear" w:color="auto" w:fill="FFFFFF" w:themeFill="background1"/>
        <w:tabs>
          <w:tab w:val="left" w:pos="720"/>
        </w:tabs>
        <w:spacing w:after="0" w:line="240" w:lineRule="auto"/>
        <w:ind w:left="34" w:right="67" w:firstLine="686"/>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Среди несомненных плюсов ТСЖ – заинтересованность собственников жилья в обеспечении надлежащего качества жилищно-коммунальных услуг, экономии ресурсов, бережном отношении к имуществу, минимизации расходов по эксплуатации дома, и при этом, наличие возможности у каждого члена ТСЖ влиять на решение вопросов, касающихся своего дома.</w:t>
      </w:r>
    </w:p>
    <w:p w14:paraId="2FD6BFC7" w14:textId="77777777" w:rsidR="00173C65" w:rsidRPr="00AD6080" w:rsidRDefault="630840AF" w:rsidP="630840AF">
      <w:pPr>
        <w:shd w:val="clear" w:color="auto" w:fill="FFFFFF" w:themeFill="background1"/>
        <w:tabs>
          <w:tab w:val="left" w:pos="720"/>
        </w:tabs>
        <w:spacing w:after="0" w:line="240" w:lineRule="auto"/>
        <w:ind w:left="34" w:right="67" w:firstLine="686"/>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Но вместе с новыми правами, владельцы жилья получают и новые обязанности, связанные с необходимостью самостоятельно организовать оказание жилищных услуг, в некоторых случаях коммунальных услуг и даже капитального ремонта собственных многоквартирных домов. Актуальность данного исследования состоит в том, что для организации успешного и экономного управления многоквартирным домом нужны в первую очередь компетентные специалисты: управленцы, юристы, бухгалтеры.</w:t>
      </w:r>
    </w:p>
    <w:p w14:paraId="5F3FC7A6" w14:textId="77777777" w:rsidR="00173C65" w:rsidRPr="00AD6080" w:rsidRDefault="630840AF" w:rsidP="630840AF">
      <w:pPr>
        <w:shd w:val="clear" w:color="auto" w:fill="FFFFFF" w:themeFill="background1"/>
        <w:tabs>
          <w:tab w:val="left" w:pos="720"/>
        </w:tabs>
        <w:spacing w:after="0" w:line="240" w:lineRule="auto"/>
        <w:ind w:left="34" w:right="67" w:firstLine="686"/>
        <w:jc w:val="both"/>
        <w:rPr>
          <w:rFonts w:ascii="Times New Roman" w:hAnsi="Times New Roman" w:cs="Times New Roman"/>
          <w:sz w:val="24"/>
          <w:szCs w:val="24"/>
          <w:lang w:eastAsia="ru-RU"/>
        </w:rPr>
      </w:pPr>
      <w:r w:rsidRPr="630840AF">
        <w:rPr>
          <w:rFonts w:ascii="Times New Roman" w:hAnsi="Times New Roman" w:cs="Times New Roman"/>
          <w:sz w:val="24"/>
          <w:szCs w:val="24"/>
          <w:lang w:eastAsia="ru-RU"/>
        </w:rPr>
        <w:t xml:space="preserve">Целью исследования является определение особенностей бухгалтерского учета и формирования отчетности в такой некоммерческой организации, как товарищество собственников жилья, применяющего упрощенную систему налогообложения (УСН) предложение вариантов внесения изменений в формы бухгалтерской отчетности для увеличения ее информативности.  </w:t>
      </w:r>
    </w:p>
    <w:p w14:paraId="3E447B15" w14:textId="77777777" w:rsidR="00173C65" w:rsidRPr="00AD6080" w:rsidRDefault="00173C65" w:rsidP="00AD6080">
      <w:pPr>
        <w:spacing w:after="0" w:line="240" w:lineRule="auto"/>
        <w:ind w:firstLine="72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В соответствии с Гражданским кодексом Российской Федерации и Федеральным законом от 12.01.1996 №7-ФЗ «О некоммерческих организациях» некоммерческие организации обладают специальной правоспособностью, они могут осуществлять деятельность, направленную на достижение целей, ради которых они созданы, и соответствующую этим целям [2]. Перечень видов хозяйственной деятельности ТСЖ является закрытым, согласно статье 152 Жилищного Кодекса РФ в него входят:</w:t>
      </w:r>
    </w:p>
    <w:p w14:paraId="44160BC0" w14:textId="77777777" w:rsidR="00173C65" w:rsidRPr="00AD6080" w:rsidRDefault="00173C65" w:rsidP="00AD6080">
      <w:pPr>
        <w:spacing w:after="0" w:line="240" w:lineRule="auto"/>
        <w:ind w:firstLine="840"/>
        <w:jc w:val="both"/>
        <w:rPr>
          <w:rFonts w:ascii="Times New Roman" w:hAnsi="Times New Roman" w:cs="Times New Roman"/>
          <w:sz w:val="24"/>
          <w:szCs w:val="24"/>
          <w:lang w:eastAsia="ru-RU"/>
        </w:rPr>
      </w:pPr>
      <w:r w:rsidRPr="00AD6080">
        <w:rPr>
          <w:rFonts w:ascii="Times New Roman" w:hAnsi="Times New Roman" w:cs="Times New Roman"/>
          <w:sz w:val="24"/>
          <w:szCs w:val="24"/>
        </w:rPr>
        <w:t xml:space="preserve">- </w:t>
      </w:r>
      <w:r w:rsidRPr="00AD6080">
        <w:rPr>
          <w:rFonts w:ascii="Times New Roman" w:hAnsi="Times New Roman" w:cs="Times New Roman"/>
          <w:sz w:val="24"/>
          <w:szCs w:val="24"/>
          <w:lang w:eastAsia="ru-RU"/>
        </w:rPr>
        <w:t>обслуживание, эксплуатация и ремонт недвижимого имущества в многоквартирном доме;</w:t>
      </w:r>
    </w:p>
    <w:p w14:paraId="35E28927" w14:textId="77777777" w:rsidR="00173C65" w:rsidRPr="00AD6080" w:rsidRDefault="00173C65" w:rsidP="00AD6080">
      <w:pPr>
        <w:spacing w:after="0" w:line="240" w:lineRule="auto"/>
        <w:ind w:firstLine="84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строительством дополнительных помещений и объектов общего имущества в многоквартирном доме;</w:t>
      </w:r>
    </w:p>
    <w:p w14:paraId="105B7E5C" w14:textId="77777777" w:rsidR="00173C65" w:rsidRPr="00AD6080" w:rsidRDefault="00173C65" w:rsidP="00AD6080">
      <w:pPr>
        <w:spacing w:after="0" w:line="240" w:lineRule="auto"/>
        <w:ind w:firstLine="840"/>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сдача в аренду, внаем части общего имущества в многоквартирном доме.</w:t>
      </w:r>
    </w:p>
    <w:p w14:paraId="6DB8468F"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Товарищество собственников жилья - организация, основанная на членстве. По российскому законодательству членами ТСЖ могут быть граждане, юридические лица, публичные образования - собственники как жилых, так и нежилых помещений многоквартирного дома.</w:t>
      </w:r>
    </w:p>
    <w:p w14:paraId="4333817E"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Одна из основных особенностей ведения бухгалтерского учета в ТСЖ связана с тем, что базой для обеспечения основной деятельности товарищества являются взносы участников ТСЖ, а также собственников, не являющихся участниками товарищества, </w:t>
      </w:r>
      <w:r w:rsidRPr="00AD6080">
        <w:rPr>
          <w:rFonts w:ascii="Times New Roman" w:hAnsi="Times New Roman" w:cs="Times New Roman"/>
          <w:sz w:val="24"/>
          <w:szCs w:val="24"/>
          <w:lang w:eastAsia="ru-RU"/>
        </w:rPr>
        <w:lastRenderedPageBreak/>
        <w:t xml:space="preserve">поскольку согласно пункту 1 статьи 39 Жилищного Кодекса РФ обязанность содержать общее имущество возложена на всех собственников жилья вне зависимости от того, входят они в состав членов ТСЖ, управляющего данной жилой недвижимостью, или нет. </w:t>
      </w:r>
    </w:p>
    <w:p w14:paraId="45F864A3"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Такие поступления на выполнение целевой деятельности ТСЖ относится к целевым и не включаются в налогооблагаемые доходы по УСН при условии, что организацией ведется раздельный учет доходов и расходов, произведенных в рамках целевых поступлений (пп. 14 п. 1 ст. 251 Налогового Кодекса РФ). Для того, чтобы проще было разделять суммы, учитываемые при налогообложении и не учитываемые, к счету 86 «Целевое финансирование» открывают субсчета для учета полученных целевых сумм в разрезе источников поступлений, например, «Вступительные, членские взносы в ТСЖ», «Поступления от собственников квартир на содержание и текущий ремонт общего имущества», «Финансирование капитального ремонта собственниками жилья», «Дотации из бюджета на проведение капитального ремонта», «Прочие целевые поступления». </w:t>
      </w:r>
    </w:p>
    <w:p w14:paraId="5BA90125"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Также важно обеспечить раздельный учет расходов средств, полученных в качестве целевых поступлений. Поэтому бухгалтеру ТСЖ следует уделить достаточное внимание составлению сметы расходов и распределения затрат, организации аналитического учета издержек организации. Смета утверждается на общем собрании товарищей и в дальнейшем является основным планово-расчетным документом при ведении бухгалтерского учета ТСЖ.</w:t>
      </w:r>
    </w:p>
    <w:p w14:paraId="67FD7963"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Особенная ответственность возлагается на бухгалтера при отсутствии у товарищества приносящей доход деятельности, в данном случае рекомендуется создание резервных фондов, которые помогут «свести концы с концами» при незапланированном повышении расценок и тарифов поставщиков услуг по содержанию и ремонту жилого фонда, при необходимости проведения непредвиденных (аварийных) работ, при несвоевременной оплате собственниками помещений целевых взносов.</w:t>
      </w:r>
    </w:p>
    <w:p w14:paraId="378B2B06"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Много вопросов у бухгалтеров возникает при организации расчетов собственников жилья за коммунальные платежи с использованием счета ТСЖ. Специалисты Минфина считают, что все суммы жилищно-коммунальных платежей являются доходом ТСЖ на УСН (Письма Минфина России от 05.04.2013 N 03-11-06/2/11195, от 29.10.2012 N 03-11-11/329 и от 19.04.2011 N 03-11-06/2/62). Существует судебная практика, когда судьи в этом вопросе не соглашались с финансистами, признавая, что коммунальные платежи в доходы по УСН включать не нужно, так как деньги в полном объеме тратятся на оплату услуг ресурсоснабжающих компаний (Постановление ФАС Центрального округа от 12.10.2011 по делу N А35-10708/2010, Решение ВАС РФ от 22.12.2010 N ГКПИ10-1401).</w:t>
      </w:r>
    </w:p>
    <w:p w14:paraId="6EB643E8"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Такой же позиции придерживается И.А. Фельдман, кандидат технических наук, профессор, председатель Экспертного совета по методологии бухгалтерского учета в некоммерческих организациях Института профессиональных бухгалтеров и аудиторов России, член Экспертного совета при Комитете Госдумы по жилищной политике и ЖКХ. По его мнению, поступление на расчетный счет ТСЖ коммунальных платежей не связано с увеличением собственных средств организации, не несет никакой экономической выгоды. Поэтому данные поступления не могут признаваться доходом, и, следовательно, при начислении коммунальных платежей не могут использоваться счета 90 и 91. Смысл этих обязательств состоит в том, что поступающие средства должны быть израсходованы организацией строго по их назначению, то есть для оплаты коммунальных услуг в соответствии с их объемом и качеством. Фельдман рассматривает коммунальные платежи как встречные обязательства перед собственниками и рекомендует начисление коммунальных платежей отражать операцией, в которой как по дебету, так и по кредиту используется счет 76 [3].</w:t>
      </w:r>
    </w:p>
    <w:p w14:paraId="30E16C91" w14:textId="77777777" w:rsidR="00173C65" w:rsidRPr="00AD6080" w:rsidRDefault="00173C65" w:rsidP="00AD6080">
      <w:pPr>
        <w:spacing w:after="0" w:line="240" w:lineRule="auto"/>
        <w:ind w:firstLine="709"/>
        <w:jc w:val="both"/>
        <w:rPr>
          <w:rFonts w:ascii="Times New Roman" w:hAnsi="Times New Roman" w:cs="Times New Roman"/>
          <w:sz w:val="24"/>
          <w:szCs w:val="24"/>
          <w:lang w:eastAsia="ru-RU"/>
        </w:rPr>
      </w:pPr>
      <w:r w:rsidRPr="00AD6080">
        <w:rPr>
          <w:rFonts w:ascii="Times New Roman" w:hAnsi="Times New Roman" w:cs="Times New Roman"/>
          <w:sz w:val="24"/>
          <w:szCs w:val="24"/>
          <w:lang w:eastAsia="ru-RU"/>
        </w:rPr>
        <w:t xml:space="preserve">Важной особенностью некоммерческих организаций является то, что они не преследуют извлечение прибыли в качестве цели своей деятельности и не распределяют полученную прибыль между своими членами [2]. Товарищество собственников жилья может осуществлять приносящую доход деятельность, с использованием полученного дохода только на цели, для реализации которых организовано товарищество. Учитываются доходы </w:t>
      </w:r>
      <w:r w:rsidRPr="00AD6080">
        <w:rPr>
          <w:rFonts w:ascii="Times New Roman" w:hAnsi="Times New Roman" w:cs="Times New Roman"/>
          <w:sz w:val="24"/>
          <w:szCs w:val="24"/>
          <w:lang w:eastAsia="ru-RU"/>
        </w:rPr>
        <w:lastRenderedPageBreak/>
        <w:t>на 91 счете «Прочие доходы и расходы» и в полном объеме являются объектом налогообложения.</w:t>
      </w:r>
    </w:p>
    <w:p w14:paraId="4CFAE443" w14:textId="77777777" w:rsidR="00173C65" w:rsidRPr="00AD6080" w:rsidRDefault="00173C65" w:rsidP="00AD6080">
      <w:pPr>
        <w:spacing w:after="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Учет имущества ТСЖ также имеет некоторые особенности, в частности четкое разграничение имущества на относящееся и не относящееся к уставной деятельности. Жилищный фонд и нежилые помещения, принадлежащие собственникам, не отражаются на балансе ТСЖ. По основным средствам и нематериальным активам полностью используемым в основной деятельности, износ и амортизация не начисляются. Учитывается их износ, и учет его ведется на забалансовом счете в пообъектной аналитике.</w:t>
      </w:r>
    </w:p>
    <w:p w14:paraId="114E2B6D" w14:textId="77777777" w:rsidR="00173C65" w:rsidRPr="00AD6080" w:rsidRDefault="00173C65" w:rsidP="00AD6080">
      <w:pPr>
        <w:spacing w:after="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По использованию имущество ТСЖ также делится на применяемое в основной деятельности (например, снегоуборочные машины, газонокосилки, аппаратура для видеонаблюдения) и являющееся результатом деятельности ТСЖ и увеличивающее общедомовое имущество (детские площадки, беседки во дворах, веранды и прочее). Используемое самим ТСЖ имущество учитывается на балансе как объекты основных средств, а вторая группа подлежит учету на забалансовых счетах. При этом затраты на создание общедомового имущества (например, устройство детской площадки) относятся на расходы по уставной деятельности ТСЖ.</w:t>
      </w:r>
    </w:p>
    <w:p w14:paraId="0BB35D7A" w14:textId="77777777" w:rsidR="00173C65" w:rsidRPr="00AD6080" w:rsidRDefault="00173C65" w:rsidP="00AD6080">
      <w:pPr>
        <w:spacing w:after="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ТСЖ на УСН могут применять упрощенные способы ведения бухгалтерского учета, в частности, относить стоимость приобретенных материалов на затраты сразу по их приобретении, а материалы и инвентарь, закупленные, но не сразу израсходованные, учитывать на специальном забалансовом счете по стоимости приобретения, что закрепляется в учетной политике организации.</w:t>
      </w:r>
    </w:p>
    <w:p w14:paraId="5DB8E9C5" w14:textId="77777777" w:rsidR="00173C65" w:rsidRPr="00AD6080" w:rsidRDefault="00173C65" w:rsidP="00AD6080">
      <w:pPr>
        <w:spacing w:after="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Фактические затраты ТСЖ на осуществление основной уставной деятельности правильнее учитывать не на производственных счетах (20, 26), а отражать на счете 96 «Резервы предстоящих расходов», субсчет «Резерв расходов по смете» с возможностью сохранения по данному субсчету как кредитового (экономия по смете), так и дебетового (перерасход по смете) сальдо.</w:t>
      </w:r>
    </w:p>
    <w:p w14:paraId="602B62EF" w14:textId="77777777" w:rsidR="00173C65" w:rsidRPr="00AD6080" w:rsidRDefault="00173C65" w:rsidP="00AD6080">
      <w:pPr>
        <w:spacing w:after="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В большинстве случаев товарищества собственников жилья предпочитают использовать упрощенную систему налогообложения. Дополнительное преимущество применения такого режима для ТСЖ – возможность начисления и уплаты страховых взносов по пониженной ставке (20 процентов).</w:t>
      </w:r>
    </w:p>
    <w:p w14:paraId="56527B6A" w14:textId="77777777" w:rsidR="00173C65" w:rsidRPr="00AD6080" w:rsidRDefault="00173C65" w:rsidP="00AD6080">
      <w:pPr>
        <w:spacing w:after="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Бухгалтерская отчетность ТСЖ на «упрощенном» режиме состоит из «Бухгалтерского баланса», «Отчета о финансовых результатах», «Отчета о целевом использовании средств» и приложений к ним. При чем «Отчет о финансовых результатах» составляется в том случае, если в отчетном году ТСЖ осуществлялась приносящая доход деятельность и полученный доход превысил уровень существенности (обычно составляет 5 процентов от валюты баланса).</w:t>
      </w:r>
    </w:p>
    <w:p w14:paraId="2086D1A2" w14:textId="77777777" w:rsidR="00173C65" w:rsidRPr="00AD6080" w:rsidRDefault="00173C65" w:rsidP="00AD6080">
      <w:pPr>
        <w:spacing w:after="120" w:line="240" w:lineRule="auto"/>
        <w:ind w:firstLine="709"/>
        <w:jc w:val="both"/>
        <w:rPr>
          <w:rFonts w:ascii="Times New Roman" w:hAnsi="Times New Roman" w:cs="Times New Roman"/>
          <w:bCs/>
          <w:sz w:val="24"/>
          <w:szCs w:val="24"/>
          <w:lang w:eastAsia="ru-RU"/>
        </w:rPr>
      </w:pPr>
      <w:r w:rsidRPr="00AD6080">
        <w:rPr>
          <w:rFonts w:ascii="Times New Roman" w:hAnsi="Times New Roman" w:cs="Times New Roman"/>
          <w:bCs/>
          <w:sz w:val="24"/>
          <w:szCs w:val="24"/>
          <w:lang w:eastAsia="ru-RU"/>
        </w:rPr>
        <w:t xml:space="preserve">В структуру бухгалтерского баланса товарищества собственников жилья при его составлении можно рекомендовать внести некоторые изменения (рис.1). Во-первых, если в разделе II «Оборотные активы» выделять из состава дебиторской задолженности задолженность по расчетам с собственниками жилья, и аналогично поступать с кредиторской задолженностью в разделе V «Краткосрочные обязательства», это поможет оценить реальное состояние задолженности организации и снять многие вопросы при проверках. Кроме того, в V разделе следует выделять статью «Экономия (перерасход) по смете», этот показатель наглядно покажет результат уставной деятельности.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8"/>
      </w:tblGrid>
      <w:tr w:rsidR="00173C65" w:rsidRPr="00AD6080" w14:paraId="7B8791E5" w14:textId="77777777" w:rsidTr="00A57174">
        <w:tc>
          <w:tcPr>
            <w:tcW w:w="5068" w:type="dxa"/>
          </w:tcPr>
          <w:p w14:paraId="5D37553A" w14:textId="77777777" w:rsidR="00173C65" w:rsidRPr="00AD6080" w:rsidRDefault="00173C65" w:rsidP="00A57174">
            <w:pPr>
              <w:pStyle w:val="Style24"/>
              <w:spacing w:line="288" w:lineRule="auto"/>
              <w:jc w:val="center"/>
            </w:pPr>
            <w:r w:rsidRPr="00AD6080">
              <w:t>АКТИВ</w:t>
            </w:r>
          </w:p>
        </w:tc>
        <w:tc>
          <w:tcPr>
            <w:tcW w:w="5069" w:type="dxa"/>
          </w:tcPr>
          <w:p w14:paraId="13589EB0" w14:textId="77777777" w:rsidR="00173C65" w:rsidRPr="00AD6080" w:rsidRDefault="00173C65" w:rsidP="00A57174">
            <w:pPr>
              <w:pStyle w:val="Style24"/>
              <w:spacing w:line="288" w:lineRule="auto"/>
              <w:jc w:val="center"/>
            </w:pPr>
            <w:r w:rsidRPr="00AD6080">
              <w:t>ПАССИВ</w:t>
            </w:r>
          </w:p>
        </w:tc>
      </w:tr>
      <w:tr w:rsidR="00173C65" w:rsidRPr="00AD6080" w14:paraId="60F1ED37" w14:textId="77777777" w:rsidTr="00A57174">
        <w:tc>
          <w:tcPr>
            <w:tcW w:w="5068" w:type="dxa"/>
          </w:tcPr>
          <w:p w14:paraId="2D243A7A" w14:textId="77777777" w:rsidR="00173C65" w:rsidRPr="00AD6080" w:rsidRDefault="00173C65" w:rsidP="00A57174">
            <w:pPr>
              <w:pStyle w:val="Style24"/>
              <w:spacing w:line="288" w:lineRule="auto"/>
              <w:jc w:val="both"/>
            </w:pPr>
            <w:r w:rsidRPr="00AD6080">
              <w:t>II «Оборотные активы»</w:t>
            </w:r>
          </w:p>
        </w:tc>
        <w:tc>
          <w:tcPr>
            <w:tcW w:w="5069" w:type="dxa"/>
          </w:tcPr>
          <w:p w14:paraId="13F82282" w14:textId="77777777" w:rsidR="00173C65" w:rsidRPr="00AD6080" w:rsidRDefault="00173C65" w:rsidP="00A57174">
            <w:pPr>
              <w:pStyle w:val="Style24"/>
              <w:spacing w:line="288" w:lineRule="auto"/>
              <w:jc w:val="both"/>
            </w:pPr>
            <w:r w:rsidRPr="00AD6080">
              <w:t>V «Краткосрочные обязательства»</w:t>
            </w:r>
          </w:p>
        </w:tc>
      </w:tr>
      <w:tr w:rsidR="00173C65" w:rsidRPr="00AD6080" w14:paraId="6D1B279D" w14:textId="77777777" w:rsidTr="00A57174">
        <w:tc>
          <w:tcPr>
            <w:tcW w:w="5068" w:type="dxa"/>
          </w:tcPr>
          <w:p w14:paraId="228FEA7A" w14:textId="77777777" w:rsidR="00173C65" w:rsidRPr="00AD6080" w:rsidRDefault="00173C65" w:rsidP="00A57174">
            <w:pPr>
              <w:pStyle w:val="Style24"/>
              <w:spacing w:line="288" w:lineRule="auto"/>
              <w:jc w:val="both"/>
            </w:pPr>
            <w:r w:rsidRPr="00AD6080">
              <w:t>Дебиторская задолженность</w:t>
            </w:r>
          </w:p>
        </w:tc>
        <w:tc>
          <w:tcPr>
            <w:tcW w:w="5069" w:type="dxa"/>
          </w:tcPr>
          <w:p w14:paraId="2A100EDA" w14:textId="77777777" w:rsidR="00173C65" w:rsidRPr="00AD6080" w:rsidRDefault="00173C65" w:rsidP="00A57174">
            <w:pPr>
              <w:pStyle w:val="Style24"/>
              <w:spacing w:line="288" w:lineRule="auto"/>
              <w:jc w:val="both"/>
            </w:pPr>
            <w:r w:rsidRPr="00AD6080">
              <w:t>Кредиторская задолженность</w:t>
            </w:r>
          </w:p>
        </w:tc>
      </w:tr>
      <w:tr w:rsidR="00173C65" w:rsidRPr="00AD6080" w14:paraId="04F20139" w14:textId="77777777" w:rsidTr="00A57174">
        <w:tc>
          <w:tcPr>
            <w:tcW w:w="5068" w:type="dxa"/>
          </w:tcPr>
          <w:p w14:paraId="73C7649B" w14:textId="77777777" w:rsidR="00173C65" w:rsidRPr="00AD6080" w:rsidRDefault="00173C65" w:rsidP="00A57174">
            <w:pPr>
              <w:pStyle w:val="Style24"/>
              <w:spacing w:line="288" w:lineRule="auto"/>
              <w:ind w:firstLine="284"/>
              <w:jc w:val="both"/>
            </w:pPr>
            <w:r w:rsidRPr="00AD6080">
              <w:t xml:space="preserve">в т.ч. по расчетам с собственниками </w:t>
            </w:r>
          </w:p>
        </w:tc>
        <w:tc>
          <w:tcPr>
            <w:tcW w:w="5069" w:type="dxa"/>
          </w:tcPr>
          <w:p w14:paraId="3E70A7B4" w14:textId="77777777" w:rsidR="00173C65" w:rsidRPr="00AD6080" w:rsidRDefault="00173C65" w:rsidP="00A57174">
            <w:pPr>
              <w:pStyle w:val="Style24"/>
              <w:spacing w:line="288" w:lineRule="auto"/>
              <w:ind w:firstLine="318"/>
              <w:jc w:val="both"/>
            </w:pPr>
            <w:r w:rsidRPr="00AD6080">
              <w:t>в т.ч. по расчетам с собственниками</w:t>
            </w:r>
          </w:p>
        </w:tc>
      </w:tr>
      <w:tr w:rsidR="00173C65" w:rsidRPr="00AD6080" w14:paraId="386CF2CD" w14:textId="77777777" w:rsidTr="00A57174">
        <w:tc>
          <w:tcPr>
            <w:tcW w:w="5068" w:type="dxa"/>
          </w:tcPr>
          <w:p w14:paraId="34C82F83" w14:textId="77777777" w:rsidR="00173C65" w:rsidRPr="00AD6080" w:rsidRDefault="00173C65" w:rsidP="00A57174">
            <w:pPr>
              <w:pStyle w:val="Style24"/>
              <w:spacing w:line="288" w:lineRule="auto"/>
              <w:jc w:val="both"/>
            </w:pPr>
            <w:r w:rsidRPr="00AD6080">
              <w:t>Денежные средства</w:t>
            </w:r>
          </w:p>
        </w:tc>
        <w:tc>
          <w:tcPr>
            <w:tcW w:w="5069" w:type="dxa"/>
          </w:tcPr>
          <w:p w14:paraId="2E91549D" w14:textId="77777777" w:rsidR="00173C65" w:rsidRPr="00AD6080" w:rsidRDefault="00173C65" w:rsidP="00A57174">
            <w:pPr>
              <w:pStyle w:val="Style24"/>
              <w:spacing w:line="288" w:lineRule="auto"/>
              <w:jc w:val="both"/>
            </w:pPr>
            <w:r w:rsidRPr="00AD6080">
              <w:t>Экономия (перерасход) по смете</w:t>
            </w:r>
          </w:p>
        </w:tc>
      </w:tr>
    </w:tbl>
    <w:p w14:paraId="05718942" w14:textId="77777777" w:rsidR="00173C65" w:rsidRPr="00AD6080" w:rsidRDefault="00173C65" w:rsidP="00173C65">
      <w:pPr>
        <w:pStyle w:val="Style24"/>
        <w:spacing w:after="120"/>
        <w:ind w:firstLine="709"/>
        <w:jc w:val="center"/>
      </w:pPr>
      <w:r w:rsidRPr="00AD6080">
        <w:t>Рис.1 – Изменения в структуре баланса ТСЖ</w:t>
      </w:r>
    </w:p>
    <w:p w14:paraId="1B70B11A" w14:textId="77777777" w:rsidR="00173C65" w:rsidRPr="00AD6080" w:rsidRDefault="00173C65" w:rsidP="00173C65">
      <w:pPr>
        <w:pStyle w:val="Style24"/>
        <w:ind w:firstLine="709"/>
        <w:jc w:val="both"/>
      </w:pPr>
      <w:r w:rsidRPr="00AD6080">
        <w:lastRenderedPageBreak/>
        <w:t xml:space="preserve"> Как известно, раздел </w:t>
      </w:r>
      <w:r w:rsidRPr="00AD6080">
        <w:rPr>
          <w:lang w:val="en-US"/>
        </w:rPr>
        <w:t>III</w:t>
      </w:r>
      <w:r w:rsidRPr="00AD6080">
        <w:t xml:space="preserve"> Баланса некоммерческой организации называется «Целевое финансирование» и в нем отсутствует статья «Нераспределенная прибыль (непокрытый убыток)». В случае, если товарищество собственников жилья оказывает приносящую доход деятельность, эту статью следует сохранить, ведь согласно части 4 статьи 169 Жилищного Кодекса РФ прибыль ТСЖ может направляться на формирование фонда капитального ремонта, но данную норму закона нельзя использовать, относя нераспределенную прибыль в кредит счета 86 «Целевое финансирование».</w:t>
      </w:r>
    </w:p>
    <w:p w14:paraId="776E630B" w14:textId="77777777" w:rsidR="00173C65" w:rsidRPr="00AD6080" w:rsidRDefault="00173C65" w:rsidP="00173C65">
      <w:pPr>
        <w:pStyle w:val="Style24"/>
        <w:ind w:firstLine="709"/>
        <w:jc w:val="both"/>
      </w:pPr>
      <w:r w:rsidRPr="00AD6080">
        <w:t xml:space="preserve">Отчет о целевом использовании средств – основная форма отчетности некоммерческой организации, которая показывает динамику поступления и расходования средств, полученных на осуществление уставной деятельности. </w:t>
      </w:r>
    </w:p>
    <w:p w14:paraId="139B28EF" w14:textId="77777777" w:rsidR="00173C65" w:rsidRPr="00AD6080" w:rsidRDefault="00173C65" w:rsidP="00173C65">
      <w:pPr>
        <w:pStyle w:val="Style24"/>
        <w:ind w:firstLine="709"/>
        <w:jc w:val="both"/>
      </w:pPr>
      <w:r w:rsidRPr="00AD6080">
        <w:t xml:space="preserve">Применительно к отчетности ТСЖ информацию о поступлении средств рекомендуется заполнять в соответствии с открытыми к счету 86 субсчетами и в обязательном порядке вписывать строку «Финансирование капитального ремонта собственниками жилья», выделяя данные средства из общего объема целевых поступлений. </w:t>
      </w:r>
    </w:p>
    <w:p w14:paraId="3C827BA5" w14:textId="77777777" w:rsidR="00173C65" w:rsidRPr="00AD6080" w:rsidRDefault="00173C65" w:rsidP="00173C65">
      <w:pPr>
        <w:pStyle w:val="Style24"/>
        <w:ind w:firstLine="709"/>
        <w:jc w:val="both"/>
      </w:pPr>
      <w:r w:rsidRPr="00AD6080">
        <w:t>В Разделе «Использование средств» Отчета о целевом использовании средств ТСЖ строку 6320 «Расходы на содержание аппарата управления» следовало бы озаглавить «Расходы на содержание и ремонт общего имущества», строку 6324 «Содержание помещений, зданий, автомобильного транспорта и иного имущества (кроме ремонта)» - «Содержание и текущий ремонт общего имущества», строку 6325 «Ремонт основных средств и иного имущества» - «Капитальный ремонт общего имущества», по крайней мере заполнять данные строки бухгалтеру ТСЖ рекомендуется в соответствии с «новыми» их названиями.</w:t>
      </w:r>
    </w:p>
    <w:p w14:paraId="5DE12DE3" w14:textId="77777777" w:rsidR="00173C65" w:rsidRPr="00AD6080" w:rsidRDefault="00173C65" w:rsidP="00173C65">
      <w:pPr>
        <w:pStyle w:val="Style24"/>
        <w:ind w:firstLine="709"/>
        <w:jc w:val="both"/>
      </w:pPr>
      <w:r w:rsidRPr="00AD6080">
        <w:t>Таким образом, при заполнении отчета о целевом использовании средств в соответствии с данными бухгалтерского учета, детализируя поступления и затраты аналогично смете доходов и расходов ТСЖ, учитывая информацию о дебиторской и кредиторской задолженности, указанную в Балансе, можно получить наглядную информацию о результате хозяйственной деятельности товарищества за отчетный год.</w:t>
      </w:r>
    </w:p>
    <w:p w14:paraId="32F0B53F" w14:textId="77777777" w:rsidR="00173C65" w:rsidRPr="00AD6080" w:rsidRDefault="00173C65" w:rsidP="00173C65">
      <w:pPr>
        <w:pStyle w:val="Style24"/>
        <w:widowControl/>
        <w:spacing w:after="240"/>
      </w:pPr>
      <w:r w:rsidRPr="00AD6080">
        <w:t>________________________________________</w:t>
      </w:r>
    </w:p>
    <w:p w14:paraId="19B110A6" w14:textId="77777777" w:rsidR="00173C65" w:rsidRPr="00AD6080" w:rsidRDefault="00173C65" w:rsidP="00202D58">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Жилищный Кодекс РФ [Электронный ресурс] // ЖК РФ 2018 с комментариями. Новая редакция Жилищного Кодекса с изменениями на 2018 год. – Режим доступа: http://www. jkodeksrf.ru/</w:t>
      </w:r>
    </w:p>
    <w:p w14:paraId="2EAA1DF6" w14:textId="77777777" w:rsidR="00173C65" w:rsidRPr="00AD6080" w:rsidRDefault="00173C65" w:rsidP="00202D58">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 xml:space="preserve">Федеральный закон Российской Федерации от 12.01.1996 N 7-ФЗ (ред. от 31.12.2017) "О некоммерческих организациях" [Электронный ресурс] – Режим доступа:  </w:t>
      </w:r>
      <w:hyperlink r:id="rId46" w:history="1">
        <w:r w:rsidRPr="00AD6080">
          <w:rPr>
            <w:rFonts w:ascii="Times New Roman" w:eastAsia="Times New Roman" w:hAnsi="Times New Roman" w:cs="Times New Roman"/>
            <w:sz w:val="24"/>
            <w:szCs w:val="24"/>
            <w:lang w:eastAsia="ru-RU"/>
          </w:rPr>
          <w:t>http://legalacts.ru/doc/FZ-o-nekommercheskih-organizacijah/</w:t>
        </w:r>
      </w:hyperlink>
    </w:p>
    <w:p w14:paraId="3523AB31" w14:textId="77777777" w:rsidR="00173C65" w:rsidRPr="00AD6080" w:rsidRDefault="00173C65" w:rsidP="00202D58">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И.А. Фельдман Отражение коммунальных платежей в бухгалтерском учете ТСЖ, ЖСК и управляющих организаций Журнал "Управление многоквартирным домом", № 10, 2014</w:t>
      </w:r>
    </w:p>
    <w:p w14:paraId="79825328" w14:textId="77777777" w:rsidR="00173C65" w:rsidRPr="00AD6080" w:rsidRDefault="00173C65" w:rsidP="00202D58">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СПС «КонсультантПлюс» [Электронный ресурс] // Официальный сайт компании «КонсультантПлюс». – Режим доступа: http://www.consultant.ru/</w:t>
      </w:r>
    </w:p>
    <w:p w14:paraId="7DE44C8C" w14:textId="77777777" w:rsidR="00173C65" w:rsidRPr="00AD6080" w:rsidRDefault="00173C65" w:rsidP="00202D58">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AD6080">
        <w:rPr>
          <w:rFonts w:ascii="Times New Roman" w:eastAsia="Times New Roman" w:hAnsi="Times New Roman" w:cs="Times New Roman"/>
          <w:sz w:val="24"/>
          <w:szCs w:val="24"/>
          <w:lang w:eastAsia="ru-RU"/>
        </w:rPr>
        <w:t>Электронная книга «ТСЖ. Организация и эффективное управление» Гассуль Вениамин, Гассуль Вениамин Абрамович [Электронный ресурс]. – Режим доступа: http://detectivebooks.ru/book/28191986/?page=1</w:t>
      </w:r>
    </w:p>
    <w:p w14:paraId="17686DC7" w14:textId="77777777" w:rsidR="00173C65" w:rsidRDefault="00173C65" w:rsidP="00173C65">
      <w:pPr>
        <w:spacing w:after="240"/>
        <w:outlineLvl w:val="0"/>
      </w:pPr>
    </w:p>
    <w:p w14:paraId="7AF7C4A6" w14:textId="77777777" w:rsidR="00376F6E" w:rsidRPr="007E1ABB" w:rsidRDefault="00376F6E" w:rsidP="007E1ABB">
      <w:pPr>
        <w:widowControl w:val="0"/>
        <w:spacing w:before="20" w:line="240" w:lineRule="auto"/>
        <w:ind w:firstLine="709"/>
        <w:jc w:val="both"/>
        <w:rPr>
          <w:rFonts w:ascii="Times New Roman" w:hAnsi="Times New Roman" w:cs="Times New Roman"/>
          <w:b/>
          <w:sz w:val="24"/>
          <w:szCs w:val="24"/>
        </w:rPr>
      </w:pPr>
      <w:r w:rsidRPr="007E1ABB">
        <w:rPr>
          <w:rFonts w:ascii="Times New Roman" w:hAnsi="Times New Roman" w:cs="Times New Roman"/>
          <w:b/>
          <w:color w:val="212121"/>
          <w:sz w:val="24"/>
          <w:szCs w:val="24"/>
          <w:lang w:eastAsia="ru-RU"/>
        </w:rPr>
        <w:t>Рубрика:</w:t>
      </w:r>
      <w:r w:rsidRPr="007E1ABB">
        <w:rPr>
          <w:rFonts w:ascii="Times New Roman" w:hAnsi="Times New Roman" w:cs="Times New Roman"/>
          <w:b/>
          <w:sz w:val="24"/>
          <w:szCs w:val="24"/>
        </w:rPr>
        <w:t xml:space="preserve"> Учёт, анализ, аудит и статистика: исследование тенденций и проблем совершенствования</w:t>
      </w:r>
      <w:r w:rsidR="007E1ABB">
        <w:rPr>
          <w:rFonts w:ascii="Times New Roman" w:hAnsi="Times New Roman" w:cs="Times New Roman"/>
          <w:b/>
          <w:sz w:val="24"/>
          <w:szCs w:val="24"/>
        </w:rPr>
        <w:t>.</w:t>
      </w:r>
    </w:p>
    <w:p w14:paraId="6D05B222" w14:textId="77777777" w:rsidR="007E1ABB" w:rsidRPr="007E1ABB" w:rsidRDefault="00376F6E" w:rsidP="007E1ABB">
      <w:pPr>
        <w:widowControl w:val="0"/>
        <w:spacing w:before="20" w:line="240" w:lineRule="auto"/>
        <w:ind w:firstLine="709"/>
        <w:jc w:val="both"/>
        <w:rPr>
          <w:rFonts w:ascii="Times New Roman" w:hAnsi="Times New Roman" w:cs="Times New Roman"/>
          <w:sz w:val="24"/>
          <w:szCs w:val="24"/>
        </w:rPr>
      </w:pPr>
      <w:r w:rsidRPr="00AD6080">
        <w:rPr>
          <w:rFonts w:ascii="Times New Roman" w:hAnsi="Times New Roman" w:cs="Times New Roman"/>
          <w:color w:val="212121"/>
          <w:sz w:val="24"/>
          <w:szCs w:val="24"/>
          <w:lang w:eastAsia="ru-RU"/>
        </w:rPr>
        <w:t>УДК 657</w:t>
      </w:r>
    </w:p>
    <w:p w14:paraId="00D9DB7D" w14:textId="77777777" w:rsidR="00376F6E" w:rsidRPr="00AD6080" w:rsidRDefault="007E1ABB" w:rsidP="007E1ABB">
      <w:pPr>
        <w:spacing w:before="20" w:after="0" w:line="240" w:lineRule="auto"/>
        <w:ind w:rightChars="13" w:right="29" w:firstLine="709"/>
        <w:jc w:val="center"/>
        <w:rPr>
          <w:rFonts w:ascii="Times New Roman" w:hAnsi="Times New Roman" w:cs="Times New Roman"/>
          <w:b/>
          <w:color w:val="212121"/>
          <w:sz w:val="24"/>
          <w:szCs w:val="24"/>
          <w:lang w:eastAsia="ru-RU"/>
        </w:rPr>
      </w:pPr>
      <w:r w:rsidRPr="00AD6080">
        <w:rPr>
          <w:rFonts w:ascii="Times New Roman" w:hAnsi="Times New Roman" w:cs="Times New Roman"/>
          <w:b/>
          <w:sz w:val="24"/>
          <w:szCs w:val="24"/>
        </w:rPr>
        <w:t>БУХГАЛТЕРСКИЙ УЧЕТ И ОТЧЕТНОСТЬ ТОВАРИЩЕСТВА СОБСТВЕННИКОВ ЖИЛЬЯ, ПРИМЕНЯЮЩЕГО УПРОЩЕННУЮ СИСТЕМУ НАЛОГООБЛОЖЕНИЯ: ОСОБЕННОСТИ И РЕКОМЕНДАЦИИ</w:t>
      </w:r>
    </w:p>
    <w:p w14:paraId="53BD644D" w14:textId="77777777" w:rsidR="007E1ABB" w:rsidRDefault="007E1ABB" w:rsidP="00AD6080">
      <w:pPr>
        <w:spacing w:after="0" w:line="240" w:lineRule="atLeast"/>
        <w:ind w:firstLine="709"/>
        <w:jc w:val="center"/>
        <w:rPr>
          <w:rFonts w:ascii="Times New Roman" w:hAnsi="Times New Roman" w:cs="Times New Roman"/>
          <w:color w:val="212121"/>
          <w:sz w:val="24"/>
          <w:szCs w:val="24"/>
          <w:lang w:eastAsia="ru-RU"/>
        </w:rPr>
      </w:pPr>
    </w:p>
    <w:p w14:paraId="1A3FAC43" w14:textId="77777777" w:rsidR="007E1ABB" w:rsidRDefault="007E1ABB" w:rsidP="00AD6080">
      <w:pPr>
        <w:spacing w:after="0" w:line="240" w:lineRule="atLeast"/>
        <w:ind w:firstLine="709"/>
        <w:jc w:val="center"/>
        <w:rPr>
          <w:rFonts w:ascii="Times New Roman" w:hAnsi="Times New Roman" w:cs="Times New Roman"/>
          <w:color w:val="212121"/>
          <w:sz w:val="24"/>
          <w:szCs w:val="24"/>
          <w:lang w:eastAsia="ru-RU"/>
        </w:rPr>
      </w:pPr>
    </w:p>
    <w:p w14:paraId="38352E77" w14:textId="77777777" w:rsidR="00376F6E" w:rsidRPr="007E1ABB" w:rsidRDefault="00376F6E" w:rsidP="00AD6080">
      <w:pPr>
        <w:spacing w:after="0" w:line="240" w:lineRule="atLeast"/>
        <w:ind w:firstLine="709"/>
        <w:jc w:val="center"/>
        <w:rPr>
          <w:rFonts w:ascii="Times New Roman" w:hAnsi="Times New Roman" w:cs="Times New Roman"/>
          <w:b/>
          <w:color w:val="212121"/>
          <w:sz w:val="24"/>
          <w:szCs w:val="24"/>
          <w:lang w:eastAsia="ru-RU"/>
        </w:rPr>
      </w:pPr>
      <w:r w:rsidRPr="007E1ABB">
        <w:rPr>
          <w:rFonts w:ascii="Times New Roman" w:hAnsi="Times New Roman" w:cs="Times New Roman"/>
          <w:b/>
          <w:color w:val="212121"/>
          <w:sz w:val="24"/>
          <w:szCs w:val="24"/>
          <w:lang w:eastAsia="ru-RU"/>
        </w:rPr>
        <w:t xml:space="preserve">Мордовская Татьяна </w:t>
      </w:r>
      <w:r w:rsidRPr="007E1ABB">
        <w:rPr>
          <w:rFonts w:ascii="Times New Roman" w:hAnsi="Times New Roman" w:cs="Times New Roman"/>
          <w:b/>
          <w:sz w:val="24"/>
          <w:szCs w:val="24"/>
        </w:rPr>
        <w:t>Александровна</w:t>
      </w:r>
    </w:p>
    <w:p w14:paraId="4E85C4BB" w14:textId="77777777" w:rsidR="00376F6E" w:rsidRPr="00AD6080" w:rsidRDefault="00376F6E" w:rsidP="00AD6080">
      <w:pPr>
        <w:spacing w:after="0" w:line="240" w:lineRule="atLeast"/>
        <w:ind w:firstLine="709"/>
        <w:jc w:val="center"/>
        <w:rPr>
          <w:rFonts w:ascii="Times New Roman" w:hAnsi="Times New Roman" w:cs="Times New Roman"/>
          <w:color w:val="212121"/>
          <w:sz w:val="24"/>
          <w:szCs w:val="24"/>
          <w:lang w:eastAsia="ru-RU"/>
        </w:rPr>
      </w:pPr>
      <w:r w:rsidRPr="00AD6080">
        <w:rPr>
          <w:rFonts w:ascii="Times New Roman" w:hAnsi="Times New Roman" w:cs="Times New Roman"/>
          <w:color w:val="212121"/>
          <w:sz w:val="24"/>
          <w:szCs w:val="24"/>
          <w:lang w:eastAsia="ru-RU"/>
        </w:rPr>
        <w:t>Бакалавр, 4 ку</w:t>
      </w:r>
      <w:r w:rsidRPr="00AD6080">
        <w:rPr>
          <w:rFonts w:ascii="Times New Roman" w:hAnsi="Times New Roman" w:cs="Times New Roman"/>
          <w:color w:val="212121"/>
          <w:sz w:val="24"/>
          <w:szCs w:val="24"/>
          <w:lang w:val="en-US" w:eastAsia="ru-RU"/>
        </w:rPr>
        <w:t>p</w:t>
      </w:r>
      <w:r w:rsidRPr="00AD6080">
        <w:rPr>
          <w:rFonts w:ascii="Times New Roman" w:hAnsi="Times New Roman" w:cs="Times New Roman"/>
          <w:color w:val="212121"/>
          <w:sz w:val="24"/>
          <w:szCs w:val="24"/>
          <w:lang w:eastAsia="ru-RU"/>
        </w:rPr>
        <w:t>с</w:t>
      </w:r>
    </w:p>
    <w:p w14:paraId="47E87437" w14:textId="77777777" w:rsidR="00376F6E"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hAnsi="Times New Roman" w:cs="Times New Roman"/>
          <w:color w:val="212121"/>
          <w:sz w:val="24"/>
          <w:szCs w:val="24"/>
          <w:lang w:eastAsia="ru-RU"/>
        </w:rPr>
      </w:pPr>
      <w:r w:rsidRPr="630840AF">
        <w:rPr>
          <w:rFonts w:ascii="Times New Roman" w:hAnsi="Times New Roman" w:cs="Times New Roman"/>
          <w:color w:val="212121"/>
          <w:sz w:val="24"/>
          <w:szCs w:val="24"/>
          <w:lang w:eastAsia="ru-RU"/>
        </w:rPr>
        <w:t>к</w:t>
      </w:r>
      <w:r w:rsidRPr="630840AF">
        <w:rPr>
          <w:rFonts w:ascii="Times New Roman" w:hAnsi="Times New Roman" w:cs="Times New Roman"/>
          <w:color w:val="212121"/>
          <w:sz w:val="24"/>
          <w:szCs w:val="24"/>
          <w:lang w:val="en-US" w:eastAsia="ru-RU"/>
        </w:rPr>
        <w:t>a</w:t>
      </w:r>
      <w:r w:rsidRPr="630840AF">
        <w:rPr>
          <w:rFonts w:ascii="Times New Roman" w:hAnsi="Times New Roman" w:cs="Times New Roman"/>
          <w:color w:val="212121"/>
          <w:sz w:val="24"/>
          <w:szCs w:val="24"/>
          <w:lang w:eastAsia="ru-RU"/>
        </w:rPr>
        <w:t>ф</w:t>
      </w:r>
      <w:r w:rsidRPr="630840AF">
        <w:rPr>
          <w:rFonts w:ascii="Times New Roman" w:hAnsi="Times New Roman" w:cs="Times New Roman"/>
          <w:color w:val="212121"/>
          <w:sz w:val="24"/>
          <w:szCs w:val="24"/>
          <w:lang w:val="en-US" w:eastAsia="ru-RU"/>
        </w:rPr>
        <w:t>e</w:t>
      </w:r>
      <w:r w:rsidRPr="630840AF">
        <w:rPr>
          <w:rFonts w:ascii="Times New Roman" w:hAnsi="Times New Roman" w:cs="Times New Roman"/>
          <w:color w:val="212121"/>
          <w:sz w:val="24"/>
          <w:szCs w:val="24"/>
          <w:lang w:eastAsia="ru-RU"/>
        </w:rPr>
        <w:t>д</w:t>
      </w:r>
      <w:r w:rsidRPr="630840AF">
        <w:rPr>
          <w:rFonts w:ascii="Times New Roman" w:hAnsi="Times New Roman" w:cs="Times New Roman"/>
          <w:color w:val="212121"/>
          <w:sz w:val="24"/>
          <w:szCs w:val="24"/>
          <w:lang w:val="en-US" w:eastAsia="ru-RU"/>
        </w:rPr>
        <w:t>pa</w:t>
      </w:r>
      <w:r w:rsidRPr="630840AF">
        <w:rPr>
          <w:rFonts w:ascii="Times New Roman" w:hAnsi="Times New Roman" w:cs="Times New Roman"/>
          <w:color w:val="212121"/>
          <w:sz w:val="24"/>
          <w:szCs w:val="24"/>
          <w:lang w:eastAsia="ru-RU"/>
        </w:rPr>
        <w:t xml:space="preserve"> экономики</w:t>
      </w:r>
    </w:p>
    <w:p w14:paraId="2BBD94B2" w14:textId="77777777" w:rsidR="007E1ABB" w:rsidRPr="00AD6080" w:rsidRDefault="007E1ABB"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hAnsi="Times New Roman" w:cs="Times New Roman"/>
          <w:color w:val="212121"/>
          <w:sz w:val="24"/>
          <w:szCs w:val="24"/>
          <w:lang w:eastAsia="ru-RU"/>
        </w:rPr>
      </w:pPr>
    </w:p>
    <w:p w14:paraId="0CB8441C" w14:textId="77777777" w:rsidR="00376F6E" w:rsidRPr="007E1ABB" w:rsidRDefault="00376F6E"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hAnsi="Times New Roman" w:cs="Times New Roman"/>
          <w:i/>
          <w:color w:val="212121"/>
          <w:sz w:val="24"/>
          <w:szCs w:val="24"/>
          <w:lang w:eastAsia="ru-RU"/>
        </w:rPr>
      </w:pPr>
      <w:r w:rsidRPr="007E1ABB">
        <w:rPr>
          <w:rFonts w:ascii="Times New Roman" w:hAnsi="Times New Roman" w:cs="Times New Roman"/>
          <w:i/>
          <w:color w:val="212121"/>
          <w:sz w:val="24"/>
          <w:szCs w:val="24"/>
          <w:lang w:eastAsia="ru-RU"/>
        </w:rPr>
        <w:t>Влaдивoстoкский гoсудapствeнный университет экoнoмики и сepвисa</w:t>
      </w:r>
    </w:p>
    <w:p w14:paraId="1CC7A164" w14:textId="77777777" w:rsidR="00376F6E" w:rsidRDefault="00376F6E"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hAnsi="Times New Roman" w:cs="Times New Roman"/>
          <w:i/>
          <w:color w:val="212121"/>
          <w:sz w:val="24"/>
          <w:szCs w:val="24"/>
          <w:lang w:eastAsia="ru-RU"/>
        </w:rPr>
      </w:pPr>
      <w:r w:rsidRPr="007E1ABB">
        <w:rPr>
          <w:rFonts w:ascii="Times New Roman" w:hAnsi="Times New Roman" w:cs="Times New Roman"/>
          <w:i/>
          <w:color w:val="212121"/>
          <w:sz w:val="24"/>
          <w:szCs w:val="24"/>
          <w:lang w:eastAsia="ru-RU"/>
        </w:rPr>
        <w:t>Poссия. Влaдивoстoк</w:t>
      </w:r>
    </w:p>
    <w:p w14:paraId="5854DE7F" w14:textId="77777777" w:rsidR="007E1ABB" w:rsidRPr="007E1ABB" w:rsidRDefault="007E1ABB"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hAnsi="Times New Roman" w:cs="Times New Roman"/>
          <w:i/>
          <w:color w:val="212121"/>
          <w:sz w:val="24"/>
          <w:szCs w:val="24"/>
          <w:lang w:eastAsia="ru-RU"/>
        </w:rPr>
      </w:pPr>
    </w:p>
    <w:p w14:paraId="6C60A72A" w14:textId="77777777" w:rsidR="00376F6E" w:rsidRPr="007E1000" w:rsidRDefault="00376F6E"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eastAsiaTheme="minorEastAsia" w:hAnsi="Times New Roman" w:cs="Times New Roman"/>
          <w:color w:val="212121"/>
          <w:sz w:val="24"/>
          <w:szCs w:val="24"/>
          <w:lang w:eastAsia="zh-CN"/>
        </w:rPr>
      </w:pPr>
      <w:r w:rsidRPr="00AD6080">
        <w:rPr>
          <w:rFonts w:ascii="Times New Roman" w:hAnsi="Times New Roman" w:cs="Times New Roman"/>
          <w:color w:val="212121"/>
          <w:sz w:val="24"/>
          <w:szCs w:val="24"/>
          <w:lang w:val="en-US" w:eastAsia="ru-RU"/>
        </w:rPr>
        <w:t>E</w:t>
      </w:r>
      <w:r w:rsidRPr="007E1000">
        <w:rPr>
          <w:rFonts w:ascii="Times New Roman" w:hAnsi="Times New Roman" w:cs="Times New Roman"/>
          <w:color w:val="212121"/>
          <w:sz w:val="24"/>
          <w:szCs w:val="24"/>
          <w:lang w:eastAsia="ru-RU"/>
        </w:rPr>
        <w:t>-</w:t>
      </w:r>
      <w:r w:rsidRPr="00AD6080">
        <w:rPr>
          <w:rFonts w:ascii="Times New Roman" w:hAnsi="Times New Roman" w:cs="Times New Roman"/>
          <w:color w:val="212121"/>
          <w:sz w:val="24"/>
          <w:szCs w:val="24"/>
          <w:lang w:val="en-US" w:eastAsia="ru-RU"/>
        </w:rPr>
        <w:t>mail</w:t>
      </w:r>
      <w:r w:rsidRPr="007E1000">
        <w:rPr>
          <w:rFonts w:ascii="Times New Roman" w:hAnsi="Times New Roman" w:cs="Times New Roman"/>
          <w:color w:val="212121"/>
          <w:sz w:val="24"/>
          <w:szCs w:val="24"/>
          <w:lang w:eastAsia="ru-RU"/>
        </w:rPr>
        <w:t xml:space="preserve">: </w:t>
      </w:r>
      <w:r w:rsidRPr="00AD6080">
        <w:rPr>
          <w:rFonts w:ascii="Times New Roman" w:hAnsi="Times New Roman" w:cs="Times New Roman"/>
          <w:sz w:val="24"/>
          <w:szCs w:val="24"/>
          <w:lang w:val="en-US"/>
        </w:rPr>
        <w:t>Tatyanka</w:t>
      </w:r>
      <w:r w:rsidRPr="007E1000">
        <w:rPr>
          <w:rFonts w:ascii="Times New Roman" w:hAnsi="Times New Roman" w:cs="Times New Roman"/>
          <w:sz w:val="24"/>
          <w:szCs w:val="24"/>
        </w:rPr>
        <w:t>89</w:t>
      </w:r>
      <w:r w:rsidRPr="00AD6080">
        <w:rPr>
          <w:rFonts w:ascii="Times New Roman" w:hAnsi="Times New Roman" w:cs="Times New Roman"/>
          <w:sz w:val="24"/>
          <w:szCs w:val="24"/>
          <w:lang w:val="en-US"/>
        </w:rPr>
        <w:t>g</w:t>
      </w:r>
      <w:r w:rsidRPr="007E1000">
        <w:rPr>
          <w:rFonts w:ascii="Times New Roman" w:hAnsi="Times New Roman" w:cs="Times New Roman"/>
          <w:sz w:val="24"/>
          <w:szCs w:val="24"/>
        </w:rPr>
        <w:t>@</w:t>
      </w:r>
      <w:r w:rsidRPr="00AD6080">
        <w:rPr>
          <w:rFonts w:ascii="Times New Roman" w:hAnsi="Times New Roman" w:cs="Times New Roman"/>
          <w:sz w:val="24"/>
          <w:szCs w:val="24"/>
          <w:lang w:val="en-US"/>
        </w:rPr>
        <w:t>gmail</w:t>
      </w:r>
      <w:r w:rsidRPr="007E1000">
        <w:rPr>
          <w:rFonts w:ascii="Times New Roman" w:hAnsi="Times New Roman" w:cs="Times New Roman"/>
          <w:sz w:val="24"/>
          <w:szCs w:val="24"/>
        </w:rPr>
        <w:t>.</w:t>
      </w:r>
      <w:r w:rsidRPr="00AD6080">
        <w:rPr>
          <w:rFonts w:ascii="Times New Roman" w:hAnsi="Times New Roman" w:cs="Times New Roman"/>
          <w:sz w:val="24"/>
          <w:szCs w:val="24"/>
          <w:lang w:val="en-US"/>
        </w:rPr>
        <w:t>com</w:t>
      </w:r>
      <w:r w:rsidRPr="007E1000">
        <w:rPr>
          <w:rFonts w:ascii="Times New Roman" w:hAnsi="Times New Roman" w:cs="Times New Roman"/>
          <w:sz w:val="24"/>
          <w:szCs w:val="24"/>
        </w:rPr>
        <w:t>, +79146116114</w:t>
      </w:r>
    </w:p>
    <w:p w14:paraId="04456CA0" w14:textId="77777777" w:rsidR="00376F6E" w:rsidRPr="00AD6080" w:rsidRDefault="00376F6E"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center"/>
        <w:rPr>
          <w:rFonts w:ascii="Times New Roman" w:hAnsi="Times New Roman" w:cs="Times New Roman"/>
          <w:sz w:val="24"/>
          <w:szCs w:val="24"/>
        </w:rPr>
      </w:pPr>
      <w:r w:rsidRPr="00AD6080">
        <w:rPr>
          <w:rFonts w:ascii="Times New Roman" w:hAnsi="Times New Roman" w:cs="Times New Roman"/>
          <w:color w:val="212121"/>
          <w:sz w:val="24"/>
          <w:szCs w:val="24"/>
          <w:lang w:eastAsia="ru-RU"/>
        </w:rPr>
        <w:t>Ул. Г</w:t>
      </w:r>
      <w:r w:rsidRPr="00AD6080">
        <w:rPr>
          <w:rFonts w:ascii="Times New Roman" w:hAnsi="Times New Roman" w:cs="Times New Roman"/>
          <w:color w:val="212121"/>
          <w:sz w:val="24"/>
          <w:szCs w:val="24"/>
          <w:lang w:val="en-US" w:eastAsia="ru-RU"/>
        </w:rPr>
        <w:t>o</w:t>
      </w:r>
      <w:r w:rsidRPr="00AD6080">
        <w:rPr>
          <w:rFonts w:ascii="Times New Roman" w:hAnsi="Times New Roman" w:cs="Times New Roman"/>
          <w:color w:val="212121"/>
          <w:sz w:val="24"/>
          <w:szCs w:val="24"/>
          <w:lang w:eastAsia="ru-RU"/>
        </w:rPr>
        <w:t>г</w:t>
      </w:r>
      <w:r w:rsidRPr="00AD6080">
        <w:rPr>
          <w:rFonts w:ascii="Times New Roman" w:hAnsi="Times New Roman" w:cs="Times New Roman"/>
          <w:color w:val="212121"/>
          <w:sz w:val="24"/>
          <w:szCs w:val="24"/>
          <w:lang w:val="en-US" w:eastAsia="ru-RU"/>
        </w:rPr>
        <w:t>o</w:t>
      </w:r>
      <w:r w:rsidRPr="00AD6080">
        <w:rPr>
          <w:rFonts w:ascii="Times New Roman" w:hAnsi="Times New Roman" w:cs="Times New Roman"/>
          <w:color w:val="212121"/>
          <w:sz w:val="24"/>
          <w:szCs w:val="24"/>
          <w:lang w:eastAsia="ru-RU"/>
        </w:rPr>
        <w:t>ля, 41, г. Вл</w:t>
      </w:r>
      <w:r w:rsidRPr="00AD6080">
        <w:rPr>
          <w:rFonts w:ascii="Times New Roman" w:hAnsi="Times New Roman" w:cs="Times New Roman"/>
          <w:color w:val="212121"/>
          <w:sz w:val="24"/>
          <w:szCs w:val="24"/>
          <w:lang w:val="en-US" w:eastAsia="ru-RU"/>
        </w:rPr>
        <w:t>a</w:t>
      </w:r>
      <w:r w:rsidRPr="00AD6080">
        <w:rPr>
          <w:rFonts w:ascii="Times New Roman" w:hAnsi="Times New Roman" w:cs="Times New Roman"/>
          <w:color w:val="212121"/>
          <w:sz w:val="24"/>
          <w:szCs w:val="24"/>
          <w:lang w:eastAsia="ru-RU"/>
        </w:rPr>
        <w:t>див</w:t>
      </w:r>
      <w:r w:rsidRPr="00AD6080">
        <w:rPr>
          <w:rFonts w:ascii="Times New Roman" w:hAnsi="Times New Roman" w:cs="Times New Roman"/>
          <w:color w:val="212121"/>
          <w:sz w:val="24"/>
          <w:szCs w:val="24"/>
          <w:lang w:val="en-US" w:eastAsia="ru-RU"/>
        </w:rPr>
        <w:t>o</w:t>
      </w:r>
      <w:r w:rsidRPr="00AD6080">
        <w:rPr>
          <w:rFonts w:ascii="Times New Roman" w:hAnsi="Times New Roman" w:cs="Times New Roman"/>
          <w:color w:val="212121"/>
          <w:sz w:val="24"/>
          <w:szCs w:val="24"/>
          <w:lang w:eastAsia="ru-RU"/>
        </w:rPr>
        <w:t>ст</w:t>
      </w:r>
      <w:r w:rsidRPr="00AD6080">
        <w:rPr>
          <w:rFonts w:ascii="Times New Roman" w:hAnsi="Times New Roman" w:cs="Times New Roman"/>
          <w:color w:val="212121"/>
          <w:sz w:val="24"/>
          <w:szCs w:val="24"/>
          <w:lang w:val="en-US" w:eastAsia="ru-RU"/>
        </w:rPr>
        <w:t>o</w:t>
      </w:r>
      <w:r w:rsidRPr="00AD6080">
        <w:rPr>
          <w:rFonts w:ascii="Times New Roman" w:hAnsi="Times New Roman" w:cs="Times New Roman"/>
          <w:color w:val="212121"/>
          <w:sz w:val="24"/>
          <w:szCs w:val="24"/>
          <w:lang w:eastAsia="ru-RU"/>
        </w:rPr>
        <w:t>к, П</w:t>
      </w:r>
      <w:r w:rsidRPr="00AD6080">
        <w:rPr>
          <w:rFonts w:ascii="Times New Roman" w:hAnsi="Times New Roman" w:cs="Times New Roman"/>
          <w:color w:val="212121"/>
          <w:sz w:val="24"/>
          <w:szCs w:val="24"/>
          <w:lang w:val="en-US" w:eastAsia="ru-RU"/>
        </w:rPr>
        <w:t>p</w:t>
      </w:r>
      <w:r w:rsidRPr="00AD6080">
        <w:rPr>
          <w:rFonts w:ascii="Times New Roman" w:hAnsi="Times New Roman" w:cs="Times New Roman"/>
          <w:color w:val="212121"/>
          <w:sz w:val="24"/>
          <w:szCs w:val="24"/>
          <w:lang w:eastAsia="ru-RU"/>
        </w:rPr>
        <w:t>им</w:t>
      </w:r>
      <w:r w:rsidRPr="00AD6080">
        <w:rPr>
          <w:rFonts w:ascii="Times New Roman" w:hAnsi="Times New Roman" w:cs="Times New Roman"/>
          <w:color w:val="212121"/>
          <w:sz w:val="24"/>
          <w:szCs w:val="24"/>
          <w:lang w:val="en-US" w:eastAsia="ru-RU"/>
        </w:rPr>
        <w:t>op</w:t>
      </w:r>
      <w:r w:rsidRPr="00AD6080">
        <w:rPr>
          <w:rFonts w:ascii="Times New Roman" w:hAnsi="Times New Roman" w:cs="Times New Roman"/>
          <w:color w:val="212121"/>
          <w:sz w:val="24"/>
          <w:szCs w:val="24"/>
          <w:lang w:eastAsia="ru-RU"/>
        </w:rPr>
        <w:t>ский к</w:t>
      </w:r>
      <w:r w:rsidRPr="00AD6080">
        <w:rPr>
          <w:rFonts w:ascii="Times New Roman" w:hAnsi="Times New Roman" w:cs="Times New Roman"/>
          <w:color w:val="212121"/>
          <w:sz w:val="24"/>
          <w:szCs w:val="24"/>
          <w:lang w:val="en-US" w:eastAsia="ru-RU"/>
        </w:rPr>
        <w:t>pa</w:t>
      </w:r>
      <w:r w:rsidRPr="00AD6080">
        <w:rPr>
          <w:rFonts w:ascii="Times New Roman" w:hAnsi="Times New Roman" w:cs="Times New Roman"/>
          <w:color w:val="212121"/>
          <w:sz w:val="24"/>
          <w:szCs w:val="24"/>
          <w:lang w:eastAsia="ru-RU"/>
        </w:rPr>
        <w:t>й</w:t>
      </w:r>
      <w:r w:rsidRPr="00AD6080">
        <w:rPr>
          <w:rFonts w:ascii="Times New Roman" w:hAnsi="Times New Roman" w:cs="Times New Roman"/>
          <w:sz w:val="24"/>
          <w:szCs w:val="24"/>
        </w:rPr>
        <w:t xml:space="preserve">, </w:t>
      </w:r>
      <w:r w:rsidRPr="00AD6080">
        <w:rPr>
          <w:rFonts w:ascii="Times New Roman" w:hAnsi="Times New Roman" w:cs="Times New Roman"/>
          <w:sz w:val="24"/>
          <w:szCs w:val="24"/>
          <w:lang w:val="en-US"/>
        </w:rPr>
        <w:t>Po</w:t>
      </w:r>
      <w:r w:rsidRPr="00AD6080">
        <w:rPr>
          <w:rFonts w:ascii="Times New Roman" w:hAnsi="Times New Roman" w:cs="Times New Roman"/>
          <w:sz w:val="24"/>
          <w:szCs w:val="24"/>
        </w:rPr>
        <w:t>ссия, 690014</w:t>
      </w:r>
    </w:p>
    <w:p w14:paraId="2CA7ADD4" w14:textId="77777777" w:rsidR="00376F6E" w:rsidRPr="00AD6080" w:rsidRDefault="00376F6E"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hAnsi="Times New Roman" w:cs="Times New Roman"/>
          <w:sz w:val="24"/>
          <w:szCs w:val="24"/>
        </w:rPr>
      </w:pPr>
    </w:p>
    <w:p w14:paraId="15544707" w14:textId="77777777" w:rsidR="00376F6E" w:rsidRPr="007E1ABB" w:rsidRDefault="00376F6E" w:rsidP="007E1ABB">
      <w:pPr>
        <w:spacing w:after="0" w:line="240" w:lineRule="atLeast"/>
        <w:ind w:firstLine="709"/>
        <w:jc w:val="both"/>
        <w:rPr>
          <w:rFonts w:ascii="Times New Roman" w:hAnsi="Times New Roman" w:cs="Times New Roman"/>
          <w:i/>
          <w:sz w:val="24"/>
          <w:szCs w:val="24"/>
        </w:rPr>
      </w:pPr>
      <w:r w:rsidRPr="00AD6080">
        <w:rPr>
          <w:rFonts w:ascii="Times New Roman" w:hAnsi="Times New Roman" w:cs="Times New Roman"/>
          <w:b/>
          <w:i/>
          <w:sz w:val="24"/>
          <w:szCs w:val="24"/>
        </w:rPr>
        <w:t>Аннотация</w:t>
      </w:r>
      <w:r w:rsidRPr="00AD6080">
        <w:rPr>
          <w:rFonts w:ascii="Times New Roman" w:hAnsi="Times New Roman" w:cs="Times New Roman"/>
          <w:i/>
          <w:sz w:val="24"/>
          <w:szCs w:val="24"/>
        </w:rPr>
        <w:t>: в статье рассмотрено вопросы, относящиеся к бухгалтерскому учёту и отчетности в некоммерческой организации товарищества собственников жилья. Актуальность статьи заключается в практической значимости анализа правовой и бухгалтерской законодательной базы, для повышения эффе</w:t>
      </w:r>
      <w:r w:rsidR="007E1ABB">
        <w:rPr>
          <w:rFonts w:ascii="Times New Roman" w:hAnsi="Times New Roman" w:cs="Times New Roman"/>
          <w:i/>
          <w:sz w:val="24"/>
          <w:szCs w:val="24"/>
        </w:rPr>
        <w:t>ктивности функционирования ТСЖ.</w:t>
      </w:r>
    </w:p>
    <w:p w14:paraId="276C35BE" w14:textId="77777777" w:rsidR="00376F6E" w:rsidRPr="00AD6080" w:rsidRDefault="00376F6E" w:rsidP="00AD6080">
      <w:pPr>
        <w:spacing w:after="0" w:line="240" w:lineRule="atLeast"/>
        <w:ind w:firstLine="709"/>
        <w:jc w:val="both"/>
        <w:rPr>
          <w:rFonts w:ascii="Times New Roman" w:hAnsi="Times New Roman" w:cs="Times New Roman"/>
          <w:i/>
          <w:sz w:val="24"/>
          <w:szCs w:val="24"/>
        </w:rPr>
      </w:pPr>
      <w:r w:rsidRPr="00AD6080">
        <w:rPr>
          <w:rFonts w:ascii="Times New Roman" w:eastAsia="ArialNarrow" w:hAnsi="Times New Roman" w:cs="Times New Roman"/>
          <w:b/>
          <w:bCs/>
          <w:i/>
          <w:sz w:val="24"/>
          <w:szCs w:val="24"/>
          <w:lang w:eastAsia="ru-RU"/>
        </w:rPr>
        <w:t xml:space="preserve">Ключевые слова: </w:t>
      </w:r>
      <w:r w:rsidRPr="00AD6080">
        <w:rPr>
          <w:rFonts w:ascii="Times New Roman" w:eastAsia="ArialNarrow" w:hAnsi="Times New Roman" w:cs="Times New Roman"/>
          <w:bCs/>
          <w:i/>
          <w:sz w:val="24"/>
          <w:szCs w:val="24"/>
          <w:lang w:eastAsia="ru-RU"/>
        </w:rPr>
        <w:t>ЖКХ</w:t>
      </w:r>
      <w:r w:rsidRPr="00AD6080">
        <w:rPr>
          <w:rFonts w:ascii="Times New Roman" w:hAnsi="Times New Roman" w:cs="Times New Roman"/>
          <w:i/>
          <w:sz w:val="24"/>
          <w:szCs w:val="24"/>
        </w:rPr>
        <w:t>, ТСЖ, бухгалтерский учет, налоговый учет, внешний и внутренний контроль.</w:t>
      </w:r>
    </w:p>
    <w:p w14:paraId="314EE24A" w14:textId="77777777" w:rsidR="007E1ABB" w:rsidRPr="007E1000" w:rsidRDefault="007E1ABB" w:rsidP="007E1ABB">
      <w:pPr>
        <w:pStyle w:val="HTML"/>
        <w:shd w:val="clear" w:color="auto" w:fill="FFFFFF"/>
        <w:spacing w:before="20"/>
        <w:ind w:firstLine="709"/>
        <w:jc w:val="center"/>
        <w:rPr>
          <w:rFonts w:ascii="Times New Roman" w:hAnsi="Times New Roman" w:cs="Times New Roman"/>
          <w:color w:val="212121"/>
          <w:sz w:val="24"/>
          <w:szCs w:val="24"/>
        </w:rPr>
      </w:pPr>
    </w:p>
    <w:p w14:paraId="4BACCBA1" w14:textId="77777777" w:rsidR="00376F6E" w:rsidRPr="00AD6080" w:rsidRDefault="007E1ABB" w:rsidP="630840AF">
      <w:pPr>
        <w:pStyle w:val="HTML"/>
        <w:shd w:val="clear" w:color="auto" w:fill="FFFFFF" w:themeFill="background1"/>
        <w:spacing w:before="20"/>
        <w:ind w:firstLine="709"/>
        <w:jc w:val="center"/>
        <w:rPr>
          <w:rFonts w:ascii="Times New Roman" w:hAnsi="Times New Roman" w:cs="Times New Roman"/>
          <w:b/>
          <w:bCs/>
          <w:color w:val="212121"/>
          <w:sz w:val="24"/>
          <w:szCs w:val="24"/>
          <w:lang w:val="en-US"/>
        </w:rPr>
      </w:pPr>
      <w:r w:rsidRPr="630840AF">
        <w:rPr>
          <w:rFonts w:ascii="Times New Roman" w:hAnsi="Times New Roman" w:cs="Times New Roman"/>
          <w:b/>
          <w:bCs/>
          <w:color w:val="212121"/>
          <w:sz w:val="24"/>
          <w:szCs w:val="24"/>
          <w:shd w:val="clear" w:color="auto" w:fill="FFFFFF"/>
          <w:lang w:val="en-US"/>
        </w:rPr>
        <w:t>ACCOUNTING AND REPORTING OF A PARTNERSHIP OF HOMEOWNERS APPLYING A SIMPLIFIED TAXATION SYSTEM: FEATURES AND RECOMMENDATIONS</w:t>
      </w:r>
    </w:p>
    <w:p w14:paraId="76614669" w14:textId="77777777" w:rsidR="007E1ABB" w:rsidRDefault="007E1ABB" w:rsidP="00AD60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hAnsi="Times New Roman" w:cs="Times New Roman"/>
          <w:b/>
          <w:color w:val="000000" w:themeColor="text1"/>
          <w:sz w:val="24"/>
          <w:szCs w:val="24"/>
          <w:lang w:val="en-US" w:eastAsia="ru-RU"/>
        </w:rPr>
      </w:pPr>
    </w:p>
    <w:p w14:paraId="47083DF2" w14:textId="77777777" w:rsidR="00AD6080" w:rsidRPr="007E1ABB"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hAnsi="Times New Roman" w:cs="Times New Roman"/>
          <w:color w:val="212121"/>
          <w:sz w:val="24"/>
          <w:szCs w:val="24"/>
          <w:lang w:val="en-US" w:eastAsia="ru-RU"/>
        </w:rPr>
      </w:pPr>
      <w:r w:rsidRPr="630840AF">
        <w:rPr>
          <w:rFonts w:ascii="Times New Roman" w:hAnsi="Times New Roman" w:cs="Times New Roman"/>
          <w:b/>
          <w:bCs/>
          <w:color w:val="000000" w:themeColor="text1"/>
          <w:sz w:val="24"/>
          <w:szCs w:val="24"/>
          <w:lang w:val="en-US" w:eastAsia="ru-RU"/>
        </w:rPr>
        <w:t>Abstract:</w:t>
      </w:r>
      <w:r w:rsidRPr="630840AF">
        <w:rPr>
          <w:rFonts w:ascii="Times New Roman" w:hAnsi="Times New Roman" w:cs="Times New Roman"/>
          <w:color w:val="212121"/>
          <w:sz w:val="24"/>
          <w:szCs w:val="24"/>
          <w:lang w:val="en-US" w:eastAsia="ru-RU"/>
        </w:rPr>
        <w:t xml:space="preserve"> The article deals with issues related to accounting and reporting in the non-profit organization of the homeowners association. The relevance of the article is the practical significance of the analysis of the legal and accounting legislation, to improve the effectiveness of the HOA.</w:t>
      </w:r>
    </w:p>
    <w:p w14:paraId="2B8636E9" w14:textId="77777777" w:rsidR="00376F6E" w:rsidRPr="00AD6080" w:rsidRDefault="00376F6E" w:rsidP="630840AF">
      <w:pPr>
        <w:pStyle w:val="HTML"/>
        <w:shd w:val="clear" w:color="auto" w:fill="FFFFFF" w:themeFill="background1"/>
        <w:spacing w:line="240" w:lineRule="atLeast"/>
        <w:ind w:firstLine="709"/>
        <w:jc w:val="both"/>
        <w:rPr>
          <w:rFonts w:ascii="Times New Roman" w:hAnsi="Times New Roman" w:cs="Times New Roman"/>
          <w:color w:val="212121"/>
          <w:sz w:val="24"/>
          <w:szCs w:val="24"/>
          <w:lang w:val="en-US"/>
        </w:rPr>
      </w:pPr>
      <w:r w:rsidRPr="630840AF">
        <w:rPr>
          <w:rFonts w:ascii="Times New Roman" w:hAnsi="Times New Roman" w:cs="Times New Roman"/>
          <w:b/>
          <w:bCs/>
          <w:color w:val="212121"/>
          <w:sz w:val="24"/>
          <w:szCs w:val="24"/>
          <w:shd w:val="clear" w:color="auto" w:fill="FFFFFF"/>
          <w:lang w:val="en-US"/>
        </w:rPr>
        <w:t>Keywords:</w:t>
      </w:r>
      <w:r w:rsidRPr="00AD6080">
        <w:rPr>
          <w:rFonts w:ascii="Times New Roman" w:hAnsi="Times New Roman" w:cs="Times New Roman"/>
          <w:color w:val="212121"/>
          <w:sz w:val="24"/>
          <w:szCs w:val="24"/>
          <w:shd w:val="clear" w:color="auto" w:fill="FFFFFF"/>
          <w:lang w:val="en-US"/>
        </w:rPr>
        <w:t xml:space="preserve"> housing and communal services, HOA, accounting, tax accounting, external and internal control.</w:t>
      </w:r>
    </w:p>
    <w:p w14:paraId="57590049" w14:textId="77777777" w:rsidR="00376F6E" w:rsidRPr="00AD6080" w:rsidRDefault="00376F6E" w:rsidP="007E1ABB">
      <w:pPr>
        <w:spacing w:after="0" w:line="240" w:lineRule="atLeast"/>
        <w:jc w:val="both"/>
        <w:rPr>
          <w:rFonts w:ascii="Times New Roman" w:hAnsi="Times New Roman" w:cs="Times New Roman"/>
          <w:b/>
          <w:sz w:val="24"/>
          <w:szCs w:val="24"/>
          <w:lang w:val="en-US"/>
        </w:rPr>
      </w:pPr>
    </w:p>
    <w:p w14:paraId="659E9937" w14:textId="77777777" w:rsidR="00376F6E" w:rsidRPr="00AD6080" w:rsidRDefault="00376F6E" w:rsidP="00AD6080">
      <w:pPr>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b/>
          <w:sz w:val="24"/>
          <w:szCs w:val="24"/>
        </w:rPr>
        <w:t xml:space="preserve">Введение. </w:t>
      </w:r>
      <w:r w:rsidRPr="00AD6080">
        <w:rPr>
          <w:rFonts w:ascii="Times New Roman" w:hAnsi="Times New Roman" w:cs="Times New Roman"/>
          <w:sz w:val="24"/>
          <w:szCs w:val="24"/>
        </w:rPr>
        <w:t>Товарищество собственников жилья (ТСЖ) это некоммерческая организация, созданная в целях управления многоквартирным домом. Членами ТСЖ становятся владелицы квартир, а деятельность организации направлена на решение вопросов по содержанию недвижимого имущества.</w:t>
      </w:r>
    </w:p>
    <w:p w14:paraId="23E9C013" w14:textId="77777777" w:rsidR="00376F6E" w:rsidRPr="00AD6080" w:rsidRDefault="00376F6E" w:rsidP="00AD6080">
      <w:pPr>
        <w:pStyle w:val="Default"/>
        <w:ind w:firstLine="709"/>
        <w:jc w:val="both"/>
      </w:pPr>
      <w:r w:rsidRPr="00AD6080">
        <w:rPr>
          <w:b/>
        </w:rPr>
        <w:t>Основная часть</w:t>
      </w:r>
      <w:r w:rsidRPr="00AD6080">
        <w:t>. Жилищно-коммунальное хозяйство основным видом деятельности, является постоянное, непрерывное обеспечение теплоснабжение, горячее и холодное водоснабжение, водоотведением и электроэнергией, обновление и развитие производственно-технической базы предприятий, экономия энергоресурсов, обеспечение качественного, доступного и надежного уровня жилищно-коммунальных услуг. Сфера ЖКХ в России — это естественная монополия. Как правило, она диктует условия пользователям своих услуг и работ. Но ведь эта отрасль монополист не только в России, но и во всем мире [1, с. 19]. С 2014 г. по поручению Президента России рост тарифов приведен в соответствие с ростом инфляции. Такой механизм расчетов услуг естественных монополий будет актуален в течение 5 лет [2, с. 115].</w:t>
      </w:r>
    </w:p>
    <w:p w14:paraId="161FDD1C" w14:textId="77777777" w:rsidR="00376F6E" w:rsidRPr="00AD6080" w:rsidRDefault="00376F6E" w:rsidP="00AD6080">
      <w:pPr>
        <w:pStyle w:val="Default"/>
        <w:ind w:firstLine="709"/>
        <w:jc w:val="both"/>
      </w:pPr>
      <w:r w:rsidRPr="00AD6080">
        <w:t xml:space="preserve"> Главная черта ЖКХ как сектора экономики выражаются в оказании услуг, под которыми в соответствии с принятыми в РФ методами статистического учета подразумеваются полезные результаты производственной деятельности, удовлетворяющие определенные потребности потребителей, но не имеющие материально-вещественной формы, вследствие чего на них не распространяются права собственности [3, с. 17].</w:t>
      </w:r>
    </w:p>
    <w:p w14:paraId="3BE7CB1B" w14:textId="77777777" w:rsidR="00376F6E" w:rsidRPr="00AD6080" w:rsidRDefault="00376F6E" w:rsidP="00AD6080">
      <w:pPr>
        <w:pStyle w:val="Pa0"/>
        <w:spacing w:line="240" w:lineRule="auto"/>
        <w:ind w:firstLine="709"/>
        <w:jc w:val="both"/>
        <w:rPr>
          <w:color w:val="000000"/>
        </w:rPr>
      </w:pPr>
      <w:r w:rsidRPr="00AD6080">
        <w:rPr>
          <w:color w:val="000000"/>
        </w:rPr>
        <w:t xml:space="preserve">     Работающие организации в области ЖКХ предлагает выбор </w:t>
      </w:r>
      <w:r w:rsidRPr="00AD6080">
        <w:rPr>
          <w:rStyle w:val="A50"/>
          <w:sz w:val="24"/>
        </w:rPr>
        <w:t>вариантов ведения бухгалтерского учета, поскольку ЖКХ:</w:t>
      </w:r>
    </w:p>
    <w:p w14:paraId="39730102" w14:textId="77777777" w:rsidR="00376F6E" w:rsidRPr="00AD6080" w:rsidRDefault="00376F6E" w:rsidP="00AD6080">
      <w:pPr>
        <w:pStyle w:val="Pa0"/>
        <w:spacing w:line="240" w:lineRule="auto"/>
        <w:ind w:firstLine="709"/>
        <w:jc w:val="both"/>
        <w:rPr>
          <w:color w:val="000000"/>
        </w:rPr>
      </w:pPr>
      <w:r w:rsidRPr="00AD6080">
        <w:rPr>
          <w:color w:val="000000"/>
        </w:rPr>
        <w:lastRenderedPageBreak/>
        <w:t>—ограниченность при принятии решений по вопросам ценообразования в предоставлении услуг населению;</w:t>
      </w:r>
    </w:p>
    <w:p w14:paraId="3868F1C5" w14:textId="77777777" w:rsidR="00376F6E" w:rsidRPr="00AD6080" w:rsidRDefault="00376F6E" w:rsidP="00AD6080">
      <w:pPr>
        <w:pStyle w:val="Pa0"/>
        <w:spacing w:line="240" w:lineRule="auto"/>
        <w:ind w:firstLine="709"/>
        <w:jc w:val="both"/>
        <w:rPr>
          <w:color w:val="000000"/>
        </w:rPr>
      </w:pPr>
      <w:r w:rsidRPr="00AD6080">
        <w:rPr>
          <w:color w:val="000000"/>
        </w:rPr>
        <w:t>— ведение бухгалтерского учета осложнен требованиями налоговых органов по ведению раздельного учета имущественных объектов, хозяйственных операций, подлежащих налогообложению и освобождаемых от налогообложения;</w:t>
      </w:r>
    </w:p>
    <w:p w14:paraId="58E780B9" w14:textId="77777777" w:rsidR="00376F6E" w:rsidRPr="00AD6080" w:rsidRDefault="00376F6E" w:rsidP="00AD6080">
      <w:pPr>
        <w:pStyle w:val="Pa0"/>
        <w:spacing w:line="240" w:lineRule="auto"/>
        <w:ind w:firstLine="709"/>
        <w:jc w:val="both"/>
        <w:rPr>
          <w:color w:val="000000"/>
        </w:rPr>
      </w:pPr>
      <w:r w:rsidRPr="00AD6080">
        <w:rPr>
          <w:color w:val="000000"/>
        </w:rPr>
        <w:t>— целевое использование бюджетных средств на покрытие убытков от оказания услуг требует раздельного учета услуг населению и другим потребителям.</w:t>
      </w:r>
    </w:p>
    <w:p w14:paraId="37E11D36" w14:textId="77777777" w:rsidR="00376F6E" w:rsidRPr="00AD6080" w:rsidRDefault="00376F6E" w:rsidP="00AD6080">
      <w:pPr>
        <w:pStyle w:val="Pa0"/>
        <w:spacing w:line="240" w:lineRule="auto"/>
        <w:ind w:firstLine="709"/>
        <w:jc w:val="both"/>
        <w:rPr>
          <w:color w:val="000000"/>
        </w:rPr>
      </w:pPr>
      <w:r w:rsidRPr="00AD6080">
        <w:rPr>
          <w:color w:val="000000"/>
        </w:rPr>
        <w:t xml:space="preserve">   ТСЖ являются посредником между коммунальными организация и множеством собственников. Отличительной чертой товариществ является то, что основными источниками поступления денежных средств являются целевые поступления. В соответствии с п. 2 ст. 151 Жилищного кодекса Российской Федерации ТСЖ могут получать целевые средства в виде:</w:t>
      </w:r>
    </w:p>
    <w:p w14:paraId="283692C8" w14:textId="77777777" w:rsidR="00376F6E" w:rsidRPr="00AD6080" w:rsidRDefault="00376F6E" w:rsidP="00AD6080">
      <w:pPr>
        <w:pStyle w:val="Pa0"/>
        <w:spacing w:line="240" w:lineRule="auto"/>
        <w:ind w:firstLine="709"/>
        <w:jc w:val="both"/>
        <w:rPr>
          <w:color w:val="000000"/>
        </w:rPr>
      </w:pPr>
      <w:r w:rsidRPr="00AD6080">
        <w:rPr>
          <w:color w:val="000000"/>
        </w:rPr>
        <w:t>— обязательных платежей;</w:t>
      </w:r>
    </w:p>
    <w:p w14:paraId="11EF0BF7" w14:textId="77777777" w:rsidR="00376F6E" w:rsidRPr="00AD6080" w:rsidRDefault="00376F6E" w:rsidP="00AD6080">
      <w:pPr>
        <w:pStyle w:val="Pa0"/>
        <w:spacing w:line="240" w:lineRule="auto"/>
        <w:ind w:firstLine="709"/>
        <w:jc w:val="both"/>
        <w:rPr>
          <w:color w:val="000000"/>
        </w:rPr>
      </w:pPr>
      <w:r w:rsidRPr="00AD6080">
        <w:rPr>
          <w:color w:val="000000"/>
        </w:rPr>
        <w:t>— вступительных взносов;</w:t>
      </w:r>
    </w:p>
    <w:p w14:paraId="38F6B793" w14:textId="77777777" w:rsidR="00376F6E" w:rsidRPr="00AD6080" w:rsidRDefault="00376F6E" w:rsidP="00AD6080">
      <w:pPr>
        <w:pStyle w:val="Pa0"/>
        <w:spacing w:line="240" w:lineRule="auto"/>
        <w:ind w:firstLine="709"/>
        <w:jc w:val="both"/>
        <w:rPr>
          <w:color w:val="000000"/>
        </w:rPr>
      </w:pPr>
      <w:r w:rsidRPr="00AD6080">
        <w:rPr>
          <w:color w:val="000000"/>
        </w:rPr>
        <w:t>— иных взносов членов ТСЖ;</w:t>
      </w:r>
    </w:p>
    <w:p w14:paraId="304FD6EA" w14:textId="77777777" w:rsidR="00376F6E" w:rsidRPr="00AD6080" w:rsidRDefault="00376F6E" w:rsidP="00AD6080">
      <w:pPr>
        <w:pStyle w:val="Pa0"/>
        <w:spacing w:line="240" w:lineRule="auto"/>
        <w:ind w:firstLine="709"/>
        <w:jc w:val="both"/>
        <w:rPr>
          <w:color w:val="000000"/>
        </w:rPr>
      </w:pPr>
      <w:r w:rsidRPr="00AD6080">
        <w:rPr>
          <w:color w:val="000000"/>
        </w:rPr>
        <w:t>—субсидий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14:paraId="1DB5BE50" w14:textId="77777777" w:rsidR="00376F6E" w:rsidRPr="00AD6080" w:rsidRDefault="00376F6E" w:rsidP="00AD6080">
      <w:pPr>
        <w:pStyle w:val="Pa0"/>
        <w:spacing w:line="240" w:lineRule="auto"/>
        <w:ind w:firstLine="709"/>
        <w:jc w:val="both"/>
        <w:rPr>
          <w:color w:val="000000"/>
        </w:rPr>
      </w:pPr>
      <w:r w:rsidRPr="00AD6080">
        <w:rPr>
          <w:color w:val="000000"/>
        </w:rPr>
        <w:t>В соответствии с Планом счетов бухгалтерского учета, финансово-хозяйственной деятельности организаций и Инструкции по его применению (далее — Инструкция) для обобщения информации о движении целевых средств предназначен счет 86 «Целевое финансирование». Средства целевого назначения, полученные в качестве источников финансирования содержания, текущего и капитального ремонта общего имущества в многоквартирном доме, отражаются по кредиту счет 86 «Целевое финансирование».  Для достоверного ведения хозяйственных операция, необходимо четко разделять все расходы по содержанию многоквартирного дома на две составляющие: это расходы на содержание общего имущества, включая расходы на модернизацию и капитальный ремонт (целевые расходы) и расходы на содержание ТСЖ.</w:t>
      </w:r>
    </w:p>
    <w:p w14:paraId="23A1269A"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 xml:space="preserve">Правовой основой денежных расчетов служат обязательства (договора), которые заключены с коммунальными организациями и с обслуживающими организациями на содержание и ремонт многоквартирного дома. </w:t>
      </w:r>
    </w:p>
    <w:p w14:paraId="3DBC5BA5"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Рассмотрим еще одну проблему, возникающую при ведении бухгалтерского учета в ТСЖ. Речь идет об организации расчетов с собственниками жилья. Когда создается ТСЖ не все собственники помещений могут стать членами товарищества. Для правильной и достоверной организации учетного процесса нужно расчеты с членами и не членами ТСЖ вести обособленно. Можно выделить два направления. Первый вариант предлагает вести все расчеты с собственниками (независимо от того, члены или не члены ТСЖ) на счете 76 «Расчеты с разными дебиторами и кредиторами» субсчете 5 «Расчеты с собственниками помещений». Однако существует и противоположное мнение, согласно которому «все денежные поступления от владельцев помещений в ТСЖ необходимо разделить на два источника:</w:t>
      </w:r>
    </w:p>
    <w:p w14:paraId="498FA808" w14:textId="77777777" w:rsidR="00376F6E" w:rsidRPr="00AD6080" w:rsidRDefault="00376F6E" w:rsidP="00AD6080">
      <w:pPr>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 от владельцев помещений — членов ТСЖ</w:t>
      </w:r>
    </w:p>
    <w:p w14:paraId="5966430B" w14:textId="77777777" w:rsidR="00376F6E" w:rsidRPr="00AD6080" w:rsidRDefault="00376F6E" w:rsidP="00AD6080">
      <w:pPr>
        <w:pStyle w:val="Pa0"/>
        <w:spacing w:line="240" w:lineRule="auto"/>
        <w:ind w:firstLine="709"/>
        <w:jc w:val="both"/>
        <w:rPr>
          <w:color w:val="000000"/>
        </w:rPr>
      </w:pPr>
      <w:r w:rsidRPr="00AD6080">
        <w:rPr>
          <w:color w:val="000000"/>
        </w:rPr>
        <w:t>— от собственников помещений, не являющихся членами ТСЖ.</w:t>
      </w:r>
    </w:p>
    <w:p w14:paraId="6D38DB8E" w14:textId="77777777" w:rsidR="00376F6E" w:rsidRPr="00AD6080" w:rsidRDefault="00376F6E" w:rsidP="00AD6080">
      <w:pPr>
        <w:pStyle w:val="Pa0"/>
        <w:spacing w:line="240" w:lineRule="auto"/>
        <w:ind w:firstLine="709"/>
        <w:jc w:val="both"/>
        <w:rPr>
          <w:color w:val="000000"/>
        </w:rPr>
      </w:pPr>
      <w:r w:rsidRPr="00AD6080">
        <w:rPr>
          <w:color w:val="000000"/>
        </w:rPr>
        <w:t>Денежные поступления от собственников — членов товарищества в бухгалтерском учете ТСЖ должны быть отражены следующим образом: Д-т счета 51 «Расчетные счета» К-т счета76.5 «Расчеты с собственниками помещений».</w:t>
      </w:r>
    </w:p>
    <w:p w14:paraId="41256B40" w14:textId="77777777" w:rsidR="00376F6E" w:rsidRPr="00AD6080" w:rsidRDefault="00376F6E" w:rsidP="00AD6080">
      <w:pPr>
        <w:pStyle w:val="Pa0"/>
        <w:spacing w:line="240" w:lineRule="auto"/>
        <w:ind w:firstLine="709"/>
        <w:jc w:val="both"/>
        <w:rPr>
          <w:color w:val="FF0000"/>
        </w:rPr>
      </w:pPr>
      <w:r w:rsidRPr="00AD6080">
        <w:t>Денежные поступления от собственников, не являющихся членами товарищества, отражаются следующей проводкой: Д-т счета 51 «Расчетные счета» К-т счета 62 «Расчеты с покупателями и заказчиками» нужно согласиться с данным вариантом организации бухгалтерского учета расчетов и при этом, заключать договоры на оказание услуг владельцами, не членами ТСЖ. Та</w:t>
      </w:r>
      <w:r w:rsidRPr="00AD6080">
        <w:rPr>
          <w:color w:val="000000"/>
        </w:rPr>
        <w:t xml:space="preserve">к, предлагается заключить с каждым собственником помещений агентский договор, при котором ТСЖ будет посредником между владельцами </w:t>
      </w:r>
      <w:r w:rsidRPr="00AD6080">
        <w:rPr>
          <w:color w:val="000000"/>
        </w:rPr>
        <w:lastRenderedPageBreak/>
        <w:t>жилья и коммунальными организациями, обслуживающими организациями. Для подтверждения его реальности целесообразно установить символическую сумму агентского вознаграждения [4].</w:t>
      </w:r>
    </w:p>
    <w:p w14:paraId="3B077345" w14:textId="77777777" w:rsidR="00376F6E" w:rsidRPr="00AD6080" w:rsidRDefault="00376F6E" w:rsidP="00AD6080">
      <w:pPr>
        <w:pStyle w:val="Pa0"/>
        <w:spacing w:line="240" w:lineRule="auto"/>
        <w:ind w:firstLine="709"/>
        <w:jc w:val="both"/>
        <w:rPr>
          <w:color w:val="000000"/>
        </w:rPr>
      </w:pPr>
      <w:r w:rsidRPr="00AD6080">
        <w:rPr>
          <w:color w:val="000000"/>
        </w:rPr>
        <w:t>Для представления информации о состоянии расчетов с собственниками имущества предлагается вести аналитический учет на указанных ранее счетах следующим образом:</w:t>
      </w:r>
    </w:p>
    <w:p w14:paraId="1AF23155" w14:textId="77777777" w:rsidR="00376F6E" w:rsidRPr="00AD6080" w:rsidRDefault="00376F6E" w:rsidP="00AD6080">
      <w:pPr>
        <w:pStyle w:val="Pa0"/>
        <w:spacing w:line="240" w:lineRule="auto"/>
        <w:ind w:firstLine="709"/>
        <w:jc w:val="both"/>
        <w:rPr>
          <w:color w:val="000000"/>
        </w:rPr>
      </w:pPr>
      <w:r w:rsidRPr="00AD6080">
        <w:rPr>
          <w:color w:val="000000"/>
        </w:rPr>
        <w:t>1) по собственникам имущества;</w:t>
      </w:r>
    </w:p>
    <w:p w14:paraId="7BBEEE45" w14:textId="77777777" w:rsidR="00376F6E" w:rsidRPr="00AD6080" w:rsidRDefault="00376F6E" w:rsidP="00AD6080">
      <w:pPr>
        <w:pStyle w:val="Pa0"/>
        <w:spacing w:line="240" w:lineRule="auto"/>
        <w:ind w:firstLine="709"/>
        <w:jc w:val="both"/>
        <w:rPr>
          <w:color w:val="000000"/>
        </w:rPr>
      </w:pPr>
      <w:r w:rsidRPr="00AD6080">
        <w:rPr>
          <w:color w:val="000000"/>
        </w:rPr>
        <w:t>2) по видам услуг (например, вывоз ТБО, обслуживание лифтов, содержание жилья, отопление, водоотведение, электроэнергия и пр.).</w:t>
      </w:r>
    </w:p>
    <w:p w14:paraId="4071E319"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 xml:space="preserve">             Смета является основным финансовым документом товарищества собственников, которая ежегодно утверждается на общем собрании членов ТСЖ. В смете раскрываются доходы и расходы товарищества.</w:t>
      </w:r>
    </w:p>
    <w:p w14:paraId="60FBC2F2"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iCs/>
          <w:color w:val="000000"/>
          <w:sz w:val="24"/>
          <w:szCs w:val="24"/>
        </w:rPr>
        <w:t xml:space="preserve">К расходам товарищества собственников жилья относятся: </w:t>
      </w:r>
    </w:p>
    <w:p w14:paraId="157618AD"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 xml:space="preserve">1. Затраты на обслуживание и ремонт общего имущества </w:t>
      </w:r>
    </w:p>
    <w:p w14:paraId="565A3753"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 xml:space="preserve">2. Затраты на капитальный ремонт многоквартирного дома. </w:t>
      </w:r>
    </w:p>
    <w:p w14:paraId="0E0536B1" w14:textId="77777777" w:rsidR="00376F6E" w:rsidRPr="00AD6080" w:rsidRDefault="00376F6E" w:rsidP="00AD6080">
      <w:pPr>
        <w:pStyle w:val="Pa0"/>
        <w:spacing w:line="240" w:lineRule="auto"/>
        <w:ind w:firstLine="709"/>
        <w:jc w:val="both"/>
        <w:rPr>
          <w:color w:val="000000"/>
        </w:rPr>
      </w:pPr>
      <w:r w:rsidRPr="00AD6080">
        <w:rPr>
          <w:color w:val="000000"/>
        </w:rPr>
        <w:t xml:space="preserve">3. Взносы и отчисления в резервный фонд. </w:t>
      </w:r>
    </w:p>
    <w:p w14:paraId="5996837F" w14:textId="77777777" w:rsidR="00376F6E" w:rsidRPr="00AD6080" w:rsidRDefault="00376F6E" w:rsidP="00AD6080">
      <w:pPr>
        <w:pStyle w:val="Pa0"/>
        <w:spacing w:line="240" w:lineRule="auto"/>
        <w:ind w:firstLine="709"/>
        <w:jc w:val="both"/>
        <w:rPr>
          <w:color w:val="000000"/>
        </w:rPr>
      </w:pPr>
      <w:r w:rsidRPr="00AD6080">
        <w:rPr>
          <w:color w:val="000000"/>
        </w:rPr>
        <w:t>4. Затраты иные цели в рамках законом и уставом ТСЖ.</w:t>
      </w:r>
    </w:p>
    <w:p w14:paraId="0D05C7F8" w14:textId="77777777" w:rsidR="00376F6E" w:rsidRPr="00AD6080" w:rsidRDefault="00376F6E" w:rsidP="00AD6080">
      <w:pPr>
        <w:pStyle w:val="Pa0"/>
        <w:spacing w:line="240" w:lineRule="auto"/>
        <w:ind w:firstLine="709"/>
        <w:jc w:val="both"/>
        <w:rPr>
          <w:color w:val="000000"/>
        </w:rPr>
      </w:pPr>
      <w:r w:rsidRPr="00AD6080">
        <w:rPr>
          <w:iCs/>
          <w:color w:val="000000"/>
        </w:rPr>
        <w:t xml:space="preserve">К доходам товарищества (кооператива) относятся: </w:t>
      </w:r>
    </w:p>
    <w:p w14:paraId="7762C05A" w14:textId="77777777" w:rsidR="00376F6E" w:rsidRPr="00AD6080" w:rsidRDefault="00376F6E" w:rsidP="00AD6080">
      <w:pPr>
        <w:pStyle w:val="Pa0"/>
        <w:spacing w:line="240" w:lineRule="auto"/>
        <w:ind w:firstLine="709"/>
        <w:jc w:val="both"/>
        <w:rPr>
          <w:color w:val="000000"/>
        </w:rPr>
      </w:pPr>
      <w:r w:rsidRPr="00AD6080">
        <w:rPr>
          <w:color w:val="000000"/>
        </w:rPr>
        <w:t xml:space="preserve">1. Взносы собственников помещений многоквартирного дома на эксплуатационные расходы. </w:t>
      </w:r>
    </w:p>
    <w:p w14:paraId="06A7CD24" w14:textId="77777777" w:rsidR="00376F6E" w:rsidRPr="00AD6080" w:rsidRDefault="00376F6E" w:rsidP="00AD6080">
      <w:pPr>
        <w:pStyle w:val="Pa0"/>
        <w:spacing w:line="240" w:lineRule="auto"/>
        <w:ind w:firstLine="709"/>
        <w:jc w:val="both"/>
        <w:rPr>
          <w:color w:val="000000"/>
        </w:rPr>
      </w:pPr>
      <w:r w:rsidRPr="00AD6080">
        <w:rPr>
          <w:color w:val="000000"/>
        </w:rPr>
        <w:t xml:space="preserve">2. Бюджетные финансирование (субсидии на оплату жилья, компенсация льгот по оплате жилья). </w:t>
      </w:r>
    </w:p>
    <w:p w14:paraId="2D2E1840" w14:textId="77777777" w:rsidR="00376F6E" w:rsidRPr="00AD6080" w:rsidRDefault="00376F6E" w:rsidP="00AD6080">
      <w:pPr>
        <w:pStyle w:val="Pa0"/>
        <w:spacing w:line="240" w:lineRule="auto"/>
        <w:ind w:firstLine="709"/>
        <w:jc w:val="both"/>
        <w:rPr>
          <w:color w:val="000000"/>
        </w:rPr>
      </w:pPr>
      <w:r w:rsidRPr="00AD6080">
        <w:rPr>
          <w:color w:val="000000"/>
        </w:rPr>
        <w:t>3. Иные целевые поступления.</w:t>
      </w:r>
    </w:p>
    <w:p w14:paraId="10EA43DF" w14:textId="77777777" w:rsidR="00376F6E" w:rsidRPr="00AD6080" w:rsidRDefault="00376F6E" w:rsidP="00AD6080">
      <w:pPr>
        <w:pStyle w:val="Pa0"/>
        <w:spacing w:line="240" w:lineRule="auto"/>
        <w:ind w:firstLine="709"/>
        <w:jc w:val="both"/>
        <w:rPr>
          <w:color w:val="000000"/>
        </w:rPr>
      </w:pPr>
      <w:r w:rsidRPr="00AD6080">
        <w:rPr>
          <w:color w:val="000000"/>
        </w:rPr>
        <w:t>4. Доходы от предпринимательской деятельности.</w:t>
      </w:r>
    </w:p>
    <w:p w14:paraId="6A8174FD" w14:textId="77777777" w:rsidR="00376F6E" w:rsidRPr="00AD6080" w:rsidRDefault="00376F6E" w:rsidP="00AD6080">
      <w:pPr>
        <w:pStyle w:val="Default"/>
        <w:ind w:firstLine="709"/>
        <w:jc w:val="both"/>
      </w:pPr>
      <w:r w:rsidRPr="00AD6080">
        <w:t xml:space="preserve">            ТСЖ заключает договоры с подрядчиками, принимает решения по организации взаимоотношений с владельцами, распоряжается общим имуществом дома, получая при этом дополнительные доходы от его эксплуатации, которые являются доходами собственников [5, с. 13].</w:t>
      </w:r>
    </w:p>
    <w:p w14:paraId="1EF1F6D1" w14:textId="77777777" w:rsidR="00376F6E" w:rsidRPr="00AD6080" w:rsidRDefault="00376F6E" w:rsidP="00AD6080">
      <w:pPr>
        <w:pStyle w:val="Pa19"/>
        <w:spacing w:line="240" w:lineRule="auto"/>
        <w:ind w:firstLine="709"/>
        <w:jc w:val="both"/>
        <w:rPr>
          <w:color w:val="000000"/>
        </w:rPr>
      </w:pPr>
      <w:r w:rsidRPr="00AD6080">
        <w:rPr>
          <w:color w:val="000000"/>
        </w:rPr>
        <w:t>Прибыль так же может служить источником финансирования расходов по смете, наравне с целевыми поступлениями, получаемая ТСЖ от ведения предпринимательской деятельности (например, аренда общего имущества: реклама, установка телекоммуникационной аппаратуры и средств связи и пр.). ТСЖ может занимается предпринимательской деятельностью, но только в рамках достижения основных целей, ради которых создано ТСЖ. Значит, прибыль, получаемая ТСЖ от предпринимательской деятельности, должна направляться на финансирование основной деятельности. Расходы по основной деятельности ТСЖ — это расходование целевых средств, а, следовательно, уменьшением активов организации. С 01.09.2014 некоммерческие организации могут осуществлять приносящую доход деятельность, если это предусмотрено их уставом, поскольку это служит достижению целей, ради которых они созданы, и соответствует таким целям (п. 4 ст. 50 ГК РФ). При этом, согласно п.5 ст.50 ГК РФ, НКО, которой предусмотрено для ООО. Таким образом, ТСЖ, которые осуществляют не только основную деятельность по управлению МКД, но и иную приносящею доход, по состоянию на 01.01.2015 должны иметь имущество на не мене 10 000 руб. [6].</w:t>
      </w:r>
    </w:p>
    <w:p w14:paraId="6172B606"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ТСЖ имеет право  самостоятельно формировать смету доходов и расходов на год, на необходимые расходы, а именно содержание и ремонт общего имущества в МКД, затраты на капитальный ремонт и реконструкцию МКД, взносы и отчисления в резервный фонд, а также расходы на иные цели, закрепленные в уставе; устанавливать размеры платежей и взносов на основе принятой сметы доходов и расходов на год товарищества для каждого владельца помещения в МКД в соответствии с его долей в праве общей собственности на общее имущество в МКД.</w:t>
      </w:r>
    </w:p>
    <w:p w14:paraId="797CF750" w14:textId="77777777" w:rsidR="00376F6E" w:rsidRPr="00AD6080" w:rsidRDefault="00376F6E" w:rsidP="00AD6080">
      <w:pPr>
        <w:pStyle w:val="Pa0"/>
        <w:spacing w:line="240" w:lineRule="auto"/>
        <w:ind w:firstLine="709"/>
        <w:jc w:val="both"/>
        <w:rPr>
          <w:color w:val="000000"/>
        </w:rPr>
      </w:pPr>
      <w:r w:rsidRPr="00AD6080">
        <w:rPr>
          <w:color w:val="000000"/>
        </w:rPr>
        <w:t xml:space="preserve">Учет расчетов в товариществе собственников жилья необходимо обобщать и сопоставлять расходы начисленных по смете и фактически израсходованных сумм, и как результат, необходимости отражения в учете данных операций. Есть несколько </w:t>
      </w:r>
      <w:r w:rsidRPr="00AD6080">
        <w:rPr>
          <w:color w:val="000000"/>
        </w:rPr>
        <w:lastRenderedPageBreak/>
        <w:t>противоположных вариантов. Многие экономисты ставят под сомнение целесообразность применения счета 20 и 26. Счет 20 «Основное производство» противоречит основной деятельностью ТСЖ, ведь никакого производства у организации нет. Наименование счета 26 «Общехозяйственные расходы, не совершенно отражает полноту хозяйственных операций, так как кроме общехозяйственных, у ТСЖ имеются иные виды расходов. По правилам бухгалтерского учета, 26 счет ежемесячно нужно закрывать, что не всегда оправданно в хозяйственной деятельности ТСЖ. С данными доводами нельзя не согласиться. Некоторые авторы предлагают вести данные хозяйственные операции целесообразно вести на синтетическом счете 96 «Резервы предстоящих расходов». Как и счет 86 «Целевое финансирование», счет является пассивным, и отражение на нем расходов по основной деятельности будет представляться не в увеличении активов, а в дебетовании источника. По мнению Фадейкиной Н.В., данный поход упрощает бухгалтерский учет в ТСЖ. Но, идя в данном направлении, главное не забывать о цели бухгалтерского учета - обеспечение полной достоверной адекватной информацией о деятельности ТСЖ, и для контроля за правильностью хозяйственных операций, наличием и движением обязательств [7].  Ежемесячно счет 96 «Резервы предстоящих расходов» кредитуется на величину предполагаемых расходов согласно смете, а это значит, что по кредиту счета 96 создастся резерв будущих расходов за счет целевых поступлений из бюджета или от членов ТСЖ: Д-т счета 86 «Целевое финансирование» К-т счета 96 «Резервы будущих расходов». Суммы фактических затрат отражаются по дебету счета 96«Резервы будущих расходов» и кредиту разных счетов учета расчетов и материальных ценностей: Д-т счета 96 К-т счета 10, 60, 69, 70 и др.</w:t>
      </w:r>
    </w:p>
    <w:p w14:paraId="43AAE4D0" w14:textId="77777777" w:rsidR="00376F6E" w:rsidRPr="00AD6080" w:rsidRDefault="00376F6E" w:rsidP="00AD6080">
      <w:pPr>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Счет 96 — пассивный, таким образом, по кредиту отражается формирование резерва согласно смете, а по дебету — его расход. Возникает сложность в отражении начисления фактических расходов для контрагентов — не членов ТСЖ.</w:t>
      </w:r>
    </w:p>
    <w:p w14:paraId="6458094C"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Формирование резерва по смете отражается по дебету счета 20, субсчет 2 и кредиту счета 96, а фактические затраты в момент их возникновения отражаются по дебету счета 96 в корреспонденции со счетами учета материальных ценностей и расчетов, что для контрагентов — не членов ТСЖ выполнение услуг носит договорный характер и должно отражаться на счете 90 «Продажи»). Но в Инструкции данная корреспонденция счетов отсутствует. Кроме того, стоимость ремонта основных средств, суммы оплаты труда работникам за время отпуска и др. — это оценочные обязательства, учитываемые по правилам Положения по бухгалтерскому учету «Оценочные обязательства, условные обязательства и условные активы» (ПБУ 8/2010), но данный стандарт не распространяется на социально ориентированные некоммерческие организации. ТСЖ, как и все остальные организации, должно отражать оценочные обязательства на счете учета резервов предстоящих расходов, значит, учитывать обычные расходы на нем нельзя.</w:t>
      </w:r>
    </w:p>
    <w:p w14:paraId="266968E2" w14:textId="77777777" w:rsidR="00376F6E" w:rsidRPr="00AD6080" w:rsidRDefault="00376F6E" w:rsidP="00AD6080">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Оба способа, имеет право на существование несмотря на недостатки, так как нормативно разработанного обоснованного подхода по организации ведения бухгалтерского учета на сегодняшний день нет. Авторы приходят к выводу о необходимости контроля за расходами в соответствии со сметой обособленно на отдельном счете. Для этого возможно открыть забалансовый счет (например, 012) и назвать его «Сметные расходы», аналитический учет на котором вести по статьям. Значит, аналитический учет на забалансовом счете 012 «Сметные расходы» целесообразно организовать в разрезе статей сметы. Анализируя дебетовый и кредитовый обороты по данному счету ежемесячно, можно определять экономию или перерасход по каждой статье сметы. Вести учет на данном счете имеет еще одно значение, а именно: сумма кредитовых оборотов по счету 86 и 90.1 в корреспонденции со счета 76 и 62 должны соответствовать кредитовому обороту счета 012, а кредитовый оборот по счету 20 должен соответствовать дебетовому обороту счета 012. Такой метод ведения бухгалтерского учета даёт возможность оперативно формировать отчет о целевом использовании средств ТСЖ.</w:t>
      </w:r>
    </w:p>
    <w:p w14:paraId="7CBAB2A3" w14:textId="77777777" w:rsidR="00376F6E" w:rsidRPr="00AD6080" w:rsidRDefault="00376F6E" w:rsidP="00AD6080">
      <w:pPr>
        <w:pStyle w:val="Pa0"/>
        <w:spacing w:line="240" w:lineRule="auto"/>
        <w:ind w:firstLine="709"/>
        <w:jc w:val="both"/>
        <w:rPr>
          <w:color w:val="000000"/>
        </w:rPr>
      </w:pPr>
      <w:r w:rsidRPr="00AD6080">
        <w:rPr>
          <w:color w:val="000000"/>
        </w:rPr>
        <w:lastRenderedPageBreak/>
        <w:t>Одна из главных направлений осуществляемый в концепции реформы в области ЖКХ становится улучшение внутреннего контроля в деятельности ТСЖ. В учетной политике должна быть прописана методика организации внутреннего контроля за деятельностью некоммерческой организации, поскольку является важным направлением для повышения финансовой устойчивости организации и эффективности использования ресурсов.</w:t>
      </w:r>
    </w:p>
    <w:p w14:paraId="454D88F3" w14:textId="77777777" w:rsidR="00376F6E" w:rsidRPr="00AD6080" w:rsidRDefault="00376F6E" w:rsidP="00AD6080">
      <w:pPr>
        <w:pStyle w:val="Pa21"/>
        <w:spacing w:line="240" w:lineRule="auto"/>
        <w:ind w:firstLine="709"/>
        <w:jc w:val="both"/>
        <w:rPr>
          <w:color w:val="000000"/>
        </w:rPr>
      </w:pPr>
      <w:r w:rsidRPr="00AD6080">
        <w:rPr>
          <w:color w:val="000000"/>
        </w:rPr>
        <w:t>Большинство экспертов в сфере аудита замечают, что система внутреннего контроля включает три основных элемента: среду контроля, учетную систему и контрольные процедуры. Л.В. Егорова в своей монографии предлагает систему внутреннего контроля применительно к некоммерческим организациям: надлежащая система бухгалтерского учета, контрольная среда и отдельные контрольные процедуры [8,с. 482]. Внутренний контроль — это непрерывный процесс, состоящий из набора процедур и мер, организованных в ТСЖ и направленных на повышение качества и достоверности бухгалтерского учета, для исключения возможных нарушения законодательства РФ и влияет на результат управления. Состав элементов внутреннего контроля для некоммерческих организаций нормативно не определен. Для внутреннего контроля характерны следующие элементы:</w:t>
      </w:r>
    </w:p>
    <w:p w14:paraId="2EE414E2" w14:textId="77777777" w:rsidR="00376F6E" w:rsidRPr="00AD6080" w:rsidRDefault="00376F6E" w:rsidP="00AD6080">
      <w:pPr>
        <w:pStyle w:val="Pa0"/>
        <w:spacing w:line="240" w:lineRule="auto"/>
        <w:ind w:firstLine="709"/>
        <w:jc w:val="both"/>
        <w:rPr>
          <w:color w:val="000000"/>
        </w:rPr>
      </w:pPr>
      <w:r w:rsidRPr="00AD6080">
        <w:rPr>
          <w:color w:val="000000"/>
        </w:rPr>
        <w:t>— метод планирования управленческого контроля, например, периодическое сопоставление фактических результатов в деятельности организации с плановыми показателями;</w:t>
      </w:r>
    </w:p>
    <w:p w14:paraId="1F66BFBF" w14:textId="77777777" w:rsidR="00376F6E" w:rsidRPr="00AD6080" w:rsidRDefault="00376F6E" w:rsidP="00AD6080">
      <w:pPr>
        <w:pStyle w:val="Pa0"/>
        <w:spacing w:line="240" w:lineRule="auto"/>
        <w:ind w:firstLine="709"/>
        <w:jc w:val="both"/>
        <w:rPr>
          <w:color w:val="000000"/>
        </w:rPr>
      </w:pPr>
      <w:r w:rsidRPr="00AD6080">
        <w:rPr>
          <w:color w:val="000000"/>
        </w:rPr>
        <w:t>— обязательная системы внутреннего аудита. В некоммерческих организациях система внутреннего аудита крайне редко, но встречается.</w:t>
      </w:r>
    </w:p>
    <w:p w14:paraId="3DCDE0EA" w14:textId="77777777" w:rsidR="00376F6E" w:rsidRPr="00AD6080" w:rsidRDefault="00376F6E" w:rsidP="00AD6080">
      <w:pPr>
        <w:pStyle w:val="Pa0"/>
        <w:spacing w:line="240" w:lineRule="auto"/>
        <w:ind w:firstLine="709"/>
        <w:jc w:val="both"/>
        <w:rPr>
          <w:color w:val="000000"/>
        </w:rPr>
      </w:pPr>
      <w:r w:rsidRPr="00AD6080">
        <w:rPr>
          <w:color w:val="000000"/>
        </w:rPr>
        <w:t xml:space="preserve">Внутренний контроль некоммерческой организации — это, прежде всего, обязанность представлять в определенные сроки, в установленном объеме и по предписанным требованиям отчетность по проектам договоров, которые финансируют те или проекты и программы.  Внедрение системы внутреннего контроля для руководителей хозяйствующих субъектов ЖКХ — дело непростое, так как сопровождается большими организационными и структурными изменениями. Однако отсутствие систем контроля означает высокий риск недостоверности финансовой отчетности и неэффективности деятельности субъекта [9, с. 119]. По мнению Л.В. Гусаровой, внутреннеий контролю в некоммерческих организациях возрастает, так как речь идет не только о деятельности самой организации как таковой, но и о контроле за реализацией проектов и программ за счет средств полученного бюджетного финансирования [10, с. 100]. Важную роль в построении эффективной системы контроля отводится руководству ТСЖ. Набор элементов в первую очередь должен отвечать требованиям и принципам действующего законодательства.  Для контроля за финансово-хозяйственной деятельностью товариществ собственников жилья и жилищных кооперативов ст. 117 и 145 Жилищного кодекса предусмотрено создание органа, который наделяется данными полномочиями. Данным органом является ревизионная комиссия (ревизор). Согласно ст. 120 Жилищного кодекса, избрание ревизионной комиссии (ревизора) производится на общем собрании жилищно-строительного кооператива на срок не более 3 лет, а в соответствии со ст. 150 Жилищного кодекса, для товарищества собственников жилья — на срок не более 2 лет. Срок полномочий ревизионной комиссии (ревизора) исчисляется с момента ее (его) избрания и до следующего избрания ревизионной комиссии (ревизора). Жилищный кодекс РФ не обусловливает случаев и не предусматривает оснований досрочного прекращения полномочий ревизионной комиссии (ревизора). Отличительной чертой функционирования ревизионной комиссии в ТСЖ является ее безвозмездный характер, значит, нет необходимости определять источники ее финансирования. Результативность работы ревизионной комиссии оценивается на общем собрание владельцев жилья. В состав комиссии не могут входить лица, входящие в состав руководящих органов. Комиссия из своего состава избирает председателя комиссии. Количество членов комиссии определяется уставом ТСЖ. В соответствии с законодательством ревизионные комиссии обязаны проводить плановые проверки финансовой деятельности не реже одного раза в год, давать заключение о выполнение сметы дохода и расхода за прошлый год. На основание результатов проверки формируется отчет, который зачитывается на общем собрании. </w:t>
      </w:r>
      <w:r w:rsidRPr="00AD6080">
        <w:rPr>
          <w:color w:val="000000"/>
        </w:rPr>
        <w:lastRenderedPageBreak/>
        <w:t>Ревизионная комиссия проверяет исполнение сметы доходов и расходов товарищества, установленные размеры обязательных платежей и взносов. В обязанности ревизионной комиссии не входит составление сметы доходов и расходов. Полномочия ревизионной комиссии входит проверка:</w:t>
      </w:r>
    </w:p>
    <w:p w14:paraId="5DAE977A" w14:textId="77777777" w:rsidR="00376F6E" w:rsidRPr="00AD6080" w:rsidRDefault="00376F6E" w:rsidP="00AD6080">
      <w:pPr>
        <w:pStyle w:val="Pa0"/>
        <w:spacing w:line="240" w:lineRule="auto"/>
        <w:ind w:firstLine="709"/>
        <w:jc w:val="both"/>
        <w:rPr>
          <w:color w:val="000000"/>
        </w:rPr>
      </w:pPr>
      <w:r w:rsidRPr="00AD6080">
        <w:rPr>
          <w:color w:val="000000"/>
        </w:rPr>
        <w:t>— наличия утвержденных смет доходов и расходов;</w:t>
      </w:r>
    </w:p>
    <w:p w14:paraId="2CCFC003" w14:textId="77777777" w:rsidR="00376F6E" w:rsidRPr="00AD6080" w:rsidRDefault="00376F6E" w:rsidP="00AD6080">
      <w:pPr>
        <w:pStyle w:val="Pa0"/>
        <w:spacing w:line="240" w:lineRule="auto"/>
        <w:ind w:firstLine="709"/>
        <w:jc w:val="both"/>
        <w:rPr>
          <w:color w:val="000000"/>
        </w:rPr>
      </w:pPr>
      <w:r w:rsidRPr="00AD6080">
        <w:rPr>
          <w:color w:val="000000"/>
        </w:rPr>
        <w:t>— правильности составления сметы доходов и расходов, обоснованности расчетов по конкретным видам доходов и расходов;</w:t>
      </w:r>
    </w:p>
    <w:p w14:paraId="2ECBB32A" w14:textId="77777777" w:rsidR="00376F6E" w:rsidRPr="00AD6080" w:rsidRDefault="00376F6E" w:rsidP="00AD6080">
      <w:pPr>
        <w:pStyle w:val="Pa0"/>
        <w:spacing w:line="240" w:lineRule="auto"/>
        <w:ind w:firstLine="709"/>
        <w:jc w:val="both"/>
        <w:rPr>
          <w:color w:val="000000"/>
        </w:rPr>
      </w:pPr>
      <w:r w:rsidRPr="00AD6080">
        <w:rPr>
          <w:color w:val="000000"/>
        </w:rPr>
        <w:t>— своевременности представления сметы доходов и расходов собственникам помещений, которые;</w:t>
      </w:r>
    </w:p>
    <w:p w14:paraId="0991A51F" w14:textId="77777777" w:rsidR="00376F6E" w:rsidRPr="00AD6080" w:rsidRDefault="00376F6E" w:rsidP="00AD6080">
      <w:pPr>
        <w:pStyle w:val="Pa0"/>
        <w:spacing w:line="240" w:lineRule="auto"/>
        <w:ind w:firstLine="709"/>
        <w:jc w:val="both"/>
        <w:rPr>
          <w:color w:val="000000"/>
        </w:rPr>
      </w:pPr>
      <w:r w:rsidRPr="00AD6080">
        <w:rPr>
          <w:color w:val="000000"/>
        </w:rPr>
        <w:t xml:space="preserve">— достоверности составления отчетности по исполнению сметы доходов и расходов. </w:t>
      </w:r>
    </w:p>
    <w:p w14:paraId="2CEE3334" w14:textId="77777777" w:rsidR="00376F6E" w:rsidRPr="00AD6080" w:rsidRDefault="00376F6E" w:rsidP="00AD6080">
      <w:pPr>
        <w:pStyle w:val="Pa0"/>
        <w:spacing w:line="240" w:lineRule="auto"/>
        <w:ind w:firstLine="709"/>
        <w:jc w:val="both"/>
        <w:rPr>
          <w:color w:val="000000"/>
        </w:rPr>
      </w:pPr>
      <w:r w:rsidRPr="00AD6080">
        <w:rPr>
          <w:color w:val="000000"/>
        </w:rPr>
        <w:t xml:space="preserve">Комиссия проверяет правильность начисления тарифов для оплаты услуг ЖКХ, распределении экономии. На основании первичных документов (банковских выписок, отчетов по кассе, авансовых отчетов) комиссия проверяет поступление денежных средств, и их расходование. Ревизия кассовых операций нужна для проверки полноты и достоверности отражения денежных средств, полученных в банке, в кассу при осуществлении хозяйственных операций. Ревизия операций по расчетному счету предусматривает: </w:t>
      </w:r>
    </w:p>
    <w:p w14:paraId="486F9017" w14:textId="77777777" w:rsidR="00376F6E" w:rsidRPr="00AD6080" w:rsidRDefault="00376F6E" w:rsidP="00AD6080">
      <w:pPr>
        <w:pStyle w:val="Pa0"/>
        <w:spacing w:line="240" w:lineRule="auto"/>
        <w:ind w:firstLine="709"/>
        <w:jc w:val="both"/>
        <w:rPr>
          <w:color w:val="000000"/>
        </w:rPr>
      </w:pPr>
      <w:r w:rsidRPr="00AD6080">
        <w:rPr>
          <w:color w:val="000000"/>
        </w:rPr>
        <w:t>— проверку законности и достоверности проведенных по расчетному счету операций;</w:t>
      </w:r>
    </w:p>
    <w:p w14:paraId="1E007C8C" w14:textId="77777777" w:rsidR="00376F6E" w:rsidRPr="00AD6080" w:rsidRDefault="00376F6E" w:rsidP="00AD6080">
      <w:pPr>
        <w:spacing w:after="0" w:line="240" w:lineRule="auto"/>
        <w:ind w:firstLine="709"/>
        <w:jc w:val="both"/>
        <w:rPr>
          <w:rFonts w:ascii="Times New Roman" w:hAnsi="Times New Roman" w:cs="Times New Roman"/>
          <w:color w:val="000000"/>
          <w:sz w:val="24"/>
          <w:szCs w:val="24"/>
        </w:rPr>
      </w:pPr>
      <w:r w:rsidRPr="00AD6080">
        <w:rPr>
          <w:rFonts w:ascii="Times New Roman" w:hAnsi="Times New Roman" w:cs="Times New Roman"/>
          <w:color w:val="000000"/>
          <w:sz w:val="24"/>
          <w:szCs w:val="24"/>
        </w:rPr>
        <w:t>— проверку обоснованности произведенных хозяйственных операций и их отражение на счетах в банке.</w:t>
      </w:r>
    </w:p>
    <w:p w14:paraId="73D0C84E" w14:textId="77777777" w:rsidR="00376F6E" w:rsidRPr="00AD6080" w:rsidRDefault="00376F6E" w:rsidP="00AD6080">
      <w:pPr>
        <w:pStyle w:val="Pa0"/>
        <w:spacing w:line="240" w:lineRule="auto"/>
        <w:ind w:firstLine="709"/>
        <w:jc w:val="both"/>
        <w:rPr>
          <w:color w:val="000000"/>
        </w:rPr>
      </w:pPr>
      <w:r w:rsidRPr="00AD6080">
        <w:rPr>
          <w:color w:val="000000"/>
        </w:rPr>
        <w:t xml:space="preserve">Проверка расчетного счета: по банковским выпискам с приложенными к ним документами, оборотные сальдовые ведомости по счету 51 «Расчетный счет», и данным главной книги. На основании первичных документов по кассе и по расчетному счету и ведомостей начисления оплаты за квартиру осуществляется анализ оплаты за услуги ЖКХ. Надо уделить внимание особенностям финансирования деятельности ТСЖ. При проверки отчетной документации нужно обратить внимание на увязку данных «Отчета о целевом использовании полученных средств» с другими формами отчетности и данным первичного учета. Особенно требуется проверка налоговой отчетности некоммерческих организаций. ТСЖ применяют УСН и при определении налогооблагаемой базы не учитывают вступительных и членских взносов, пожертвований, отчислений на формирование резерва на проведение всех видов ремонтов. Налоговый учет других платежей, поступающих в ТСЖ от его членов, в составе доходов будет зависеть от договорных отношений ТСЖ и его членов. Платежи квартиросъемщиков за обслуживание лифтового хозяйства, системы пожарной безопасности и вывоз твердых бытовых отходов, поступающие на счет ТСЖ и перечисляемые в дальнейшем другим контрагентам, оказывающим эти услуги, в состав доходов не включаются, поскольку ТСЖ не является стороной, которая может оказывать данные услуги. Таким образом, результатами организации ревизионной комиссии будут являться: повышение прозрачности деятельности ТСЖ в части расчетов между коммунальными организациями, населением и ТСЖ, а также повышение удовлетворенности граждан качеством предоставляемых услуг. </w:t>
      </w:r>
    </w:p>
    <w:p w14:paraId="1BB866ED" w14:textId="77777777" w:rsidR="00AD6080" w:rsidRDefault="00376F6E" w:rsidP="00163E4B">
      <w:pPr>
        <w:spacing w:after="0" w:line="240" w:lineRule="auto"/>
        <w:ind w:firstLine="709"/>
        <w:jc w:val="both"/>
        <w:rPr>
          <w:rFonts w:ascii="Times New Roman" w:hAnsi="Times New Roman" w:cs="Times New Roman"/>
          <w:sz w:val="24"/>
          <w:szCs w:val="24"/>
        </w:rPr>
      </w:pPr>
      <w:r w:rsidRPr="00AD6080">
        <w:rPr>
          <w:rFonts w:ascii="Times New Roman" w:hAnsi="Times New Roman" w:cs="Times New Roman"/>
          <w:b/>
          <w:sz w:val="24"/>
          <w:szCs w:val="24"/>
        </w:rPr>
        <w:t>Заключение.</w:t>
      </w:r>
      <w:r w:rsidR="000D55E4">
        <w:rPr>
          <w:rFonts w:ascii="Times New Roman" w:hAnsi="Times New Roman" w:cs="Times New Roman"/>
          <w:sz w:val="24"/>
          <w:szCs w:val="24"/>
        </w:rPr>
        <w:t xml:space="preserve"> Н</w:t>
      </w:r>
      <w:r w:rsidRPr="00AD6080">
        <w:rPr>
          <w:rFonts w:ascii="Times New Roman" w:hAnsi="Times New Roman" w:cs="Times New Roman"/>
          <w:sz w:val="24"/>
          <w:szCs w:val="24"/>
        </w:rPr>
        <w:t xml:space="preserve">ужно отметить, что основы построения бухгалтерского учета и внутреннего контроля системы ЖКХ требуют дальнейших исследований и глубокой проработки. Как показывает проведенное исследование, существует ряд проблем бухгалтерского учета в некоммерческих организация в области ЖКХ, требующих решения как на законодательном уровне, так и уровне субъектов хозяйствования. Отсутствие единого подхода в учетной методологии ведет к ошибкам в бухгалтерском учете и, как результат, к снижению полноты и достоверности сформированной на его основе бухгалтерской отчетности. Учетная политика организаций часто разрабатывается формально и не способствует повышению эффективности управления. Несмотря на то, что ТСЖ относятся к субъектам малого предпринимательства, учетный процесс в их среде требует высокого уровня организации аналитического учета. Контроль за деятельностью ТСЖ осуществляется как на законодательном уровне, так и на уровне экономического субъекта, что повышает роль системы внутреннего контроля. Внедрение системы внутреннего контроля является </w:t>
      </w:r>
      <w:r w:rsidRPr="00AD6080">
        <w:rPr>
          <w:rFonts w:ascii="Times New Roman" w:hAnsi="Times New Roman" w:cs="Times New Roman"/>
          <w:sz w:val="24"/>
          <w:szCs w:val="24"/>
        </w:rPr>
        <w:lastRenderedPageBreak/>
        <w:t>необходимым и обязательным условием эффективного функционирования таких некоммерческих организаций. Основным звеном системы внутреннего контроля является создание ревизионной комиссии, которая обязана осуществлять контроль за финансово-хозяйственные деятельности. Таким образом, предложенные в статье методологические подходы к бухгалтерскому учету расчетов за жилищно-коммунальные услуги, системе внутреннего контроля обеспечат заинтересованных пользователей достоверной информацией о расчетах ТСЖ, повысят уровень контроля за целевым использованием средств и качество предоставляемых жилищно-ком</w:t>
      </w:r>
      <w:r w:rsidR="00163E4B">
        <w:rPr>
          <w:rFonts w:ascii="Times New Roman" w:hAnsi="Times New Roman" w:cs="Times New Roman"/>
          <w:sz w:val="24"/>
          <w:szCs w:val="24"/>
        </w:rPr>
        <w:t>мунальных услуг.</w:t>
      </w:r>
    </w:p>
    <w:p w14:paraId="0C5B615A" w14:textId="77777777" w:rsidR="00AD6080" w:rsidRPr="00AD6080" w:rsidRDefault="00AD6080" w:rsidP="00AD6080">
      <w:pPr>
        <w:spacing w:after="0" w:line="240" w:lineRule="atLeast"/>
        <w:ind w:firstLine="709"/>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9571"/>
      </w:tblGrid>
      <w:tr w:rsidR="00376F6E" w:rsidRPr="00B2207B" w14:paraId="792F1AA2" w14:textId="77777777" w:rsidTr="007E1183">
        <w:tc>
          <w:tcPr>
            <w:tcW w:w="9571" w:type="dxa"/>
            <w:tcBorders>
              <w:left w:val="nil"/>
              <w:bottom w:val="nil"/>
              <w:right w:val="nil"/>
            </w:tcBorders>
          </w:tcPr>
          <w:p w14:paraId="1A499DFC" w14:textId="77777777" w:rsidR="00376F6E" w:rsidRPr="00B2207B" w:rsidRDefault="00376F6E" w:rsidP="00AD6080">
            <w:pPr>
              <w:spacing w:line="240" w:lineRule="atLeast"/>
              <w:ind w:firstLine="709"/>
              <w:jc w:val="both"/>
              <w:rPr>
                <w:rFonts w:ascii="Times New Roman CYR" w:hAnsi="Times New Roman CYR"/>
                <w:sz w:val="24"/>
                <w:szCs w:val="24"/>
              </w:rPr>
            </w:pPr>
          </w:p>
        </w:tc>
      </w:tr>
    </w:tbl>
    <w:p w14:paraId="4F1AFA20" w14:textId="77777777" w:rsidR="00376F6E" w:rsidRPr="003119C0" w:rsidRDefault="00376F6E" w:rsidP="00AD6080">
      <w:pPr>
        <w:spacing w:after="0" w:line="240" w:lineRule="atLeast"/>
        <w:ind w:firstLine="709"/>
        <w:jc w:val="both"/>
        <w:rPr>
          <w:rFonts w:ascii="Times New Roman CYR" w:hAnsi="Times New Roman CYR"/>
          <w:iCs/>
          <w:color w:val="000000"/>
          <w:sz w:val="24"/>
          <w:szCs w:val="24"/>
        </w:rPr>
      </w:pPr>
      <w:r w:rsidRPr="003119C0">
        <w:rPr>
          <w:rFonts w:ascii="Times New Roman CYR" w:hAnsi="Times New Roman CYR"/>
          <w:sz w:val="24"/>
          <w:szCs w:val="24"/>
        </w:rPr>
        <w:t xml:space="preserve">1 </w:t>
      </w:r>
      <w:r w:rsidRPr="003119C0">
        <w:rPr>
          <w:rFonts w:ascii="Times New Roman CYR" w:hAnsi="Times New Roman CYR"/>
          <w:iCs/>
          <w:color w:val="000000"/>
          <w:sz w:val="24"/>
          <w:szCs w:val="24"/>
        </w:rPr>
        <w:t>Кожинова Т.В., Колобанова Ю.С. Особенности налогообложения товариществ собственников жилья // Международный  бухгалтерский учет. 2014. № 25. С. 16.</w:t>
      </w:r>
    </w:p>
    <w:p w14:paraId="3E21A2F5" w14:textId="77777777" w:rsidR="00376F6E" w:rsidRPr="00E41BCC" w:rsidRDefault="00376F6E" w:rsidP="00AD6080">
      <w:pPr>
        <w:spacing w:after="0" w:line="240" w:lineRule="atLeast"/>
        <w:ind w:firstLine="709"/>
        <w:jc w:val="both"/>
        <w:rPr>
          <w:sz w:val="24"/>
          <w:szCs w:val="24"/>
        </w:rPr>
      </w:pPr>
      <w:r w:rsidRPr="003119C0">
        <w:rPr>
          <w:rFonts w:ascii="Times New Roman CYR" w:hAnsi="Times New Roman CYR"/>
          <w:color w:val="000000"/>
          <w:sz w:val="24"/>
          <w:szCs w:val="24"/>
        </w:rPr>
        <w:t xml:space="preserve"> 2 </w:t>
      </w:r>
      <w:r w:rsidRPr="003119C0">
        <w:rPr>
          <w:rFonts w:ascii="Times New Roman CYR" w:hAnsi="Times New Roman CYR"/>
          <w:sz w:val="24"/>
          <w:szCs w:val="24"/>
        </w:rPr>
        <w:t>Жилищный кодекс Российской Федерации от 29.04.2004 № 188-ФЗ (ред. от 13.07.2015). URL: http://base.consultant.ru/ (дата обращения: 25.04.2018.</w:t>
      </w:r>
    </w:p>
    <w:p w14:paraId="42AC93D6"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sz w:val="24"/>
          <w:szCs w:val="24"/>
        </w:rPr>
        <w:t xml:space="preserve"> 3 </w:t>
      </w:r>
      <w:r w:rsidRPr="003119C0">
        <w:rPr>
          <w:rFonts w:ascii="Times New Roman CYR" w:hAnsi="Times New Roman CYR"/>
          <w:iCs/>
          <w:color w:val="000000"/>
          <w:sz w:val="24"/>
          <w:szCs w:val="24"/>
        </w:rPr>
        <w:t>Парасоцкая Н.Н</w:t>
      </w:r>
      <w:r w:rsidRPr="003119C0">
        <w:rPr>
          <w:rFonts w:ascii="Times New Roman CYR" w:hAnsi="Times New Roman CYR"/>
          <w:color w:val="000000"/>
          <w:sz w:val="24"/>
          <w:szCs w:val="24"/>
        </w:rPr>
        <w:t xml:space="preserve">. Товарищества собственников жилья: проблемы учета и налогообложения // Бухгалтерский учет в бюджетных и некоммерческих организациях. 2014. № 18. С. 21. </w:t>
      </w:r>
    </w:p>
    <w:p w14:paraId="0B1E67FF"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 xml:space="preserve"> 4 О Фонде содействия реформированию жилищно-коммунального хозяйства: Федеральный закон от 21.07.2007 № 185- ФЗ (в ред. от 29.06.2015). </w:t>
      </w:r>
    </w:p>
    <w:p w14:paraId="7AD4AD13" w14:textId="77777777" w:rsidR="00376F6E" w:rsidRPr="00E41BCC"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 xml:space="preserve"> 5.</w:t>
      </w:r>
      <w:r w:rsidRPr="003119C0">
        <w:rPr>
          <w:rFonts w:ascii="Times New Roman CYR" w:hAnsi="Times New Roman CYR"/>
          <w:iCs/>
          <w:color w:val="000000"/>
          <w:sz w:val="24"/>
          <w:szCs w:val="24"/>
        </w:rPr>
        <w:t xml:space="preserve"> Кудашкин А.В</w:t>
      </w:r>
      <w:r w:rsidRPr="003119C0">
        <w:rPr>
          <w:rFonts w:ascii="Times New Roman CYR" w:hAnsi="Times New Roman CYR"/>
          <w:color w:val="000000"/>
          <w:sz w:val="24"/>
          <w:szCs w:val="24"/>
        </w:rPr>
        <w:t>. Жилищное право: учеб. пособие. М.: ИЦ РИОР: НИЦ ИНФРА-М, 2013. С. 111.</w:t>
      </w:r>
    </w:p>
    <w:p w14:paraId="4673A76F"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6.</w:t>
      </w:r>
      <w:r w:rsidRPr="003119C0">
        <w:rPr>
          <w:rFonts w:ascii="Times New Roman CYR" w:hAnsi="Times New Roman CYR"/>
        </w:rPr>
        <w:t xml:space="preserve"> </w:t>
      </w:r>
      <w:r w:rsidRPr="003119C0">
        <w:rPr>
          <w:rFonts w:ascii="Times New Roman CYR" w:hAnsi="Times New Roman CYR"/>
          <w:color w:val="000000"/>
          <w:sz w:val="24"/>
          <w:szCs w:val="24"/>
        </w:rPr>
        <w:t xml:space="preserve">Шоломова Е.В. Новые требования к ТСЖ, осуществляющим приносящую доход деятельность // </w:t>
      </w:r>
    </w:p>
    <w:p w14:paraId="6711E075"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Жилищно-коммунальное хозяйство: бухгалтерский учет и налогообложение. 2014. № 12. С. 24–29.</w:t>
      </w:r>
    </w:p>
    <w:p w14:paraId="02254E22"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7.Фадейкина Н.В. Влияние институциональных основ на реализацию учетных процессов в жилищно-коммунальном хозяйстве // Сибирская финансовая школа. 2010. № 1. С. 88–91.</w:t>
      </w:r>
    </w:p>
    <w:p w14:paraId="483B7615"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 xml:space="preserve">8.Егорова Л.В. Учет и аудит в некоммерческих организациях: монография. Новочеркасск: Оникс+, </w:t>
      </w:r>
    </w:p>
    <w:p w14:paraId="7E211E22"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2008. 467 с.</w:t>
      </w:r>
    </w:p>
    <w:p w14:paraId="658141D2"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9.   Кибирева Е.А., Городкова С.А. Система внутреннего контроля затрат субъекта жилищно-коммунального хозяйства // Сибирская финансовая школа.2014. № 2. С. 117–121.</w:t>
      </w:r>
    </w:p>
    <w:p w14:paraId="17F5F4F4" w14:textId="77777777" w:rsidR="00376F6E" w:rsidRPr="003119C0" w:rsidRDefault="00376F6E" w:rsidP="00AD6080">
      <w:pPr>
        <w:spacing w:after="0" w:line="240" w:lineRule="atLeast"/>
        <w:ind w:firstLine="709"/>
        <w:jc w:val="both"/>
        <w:rPr>
          <w:rFonts w:ascii="Times New Roman CYR" w:hAnsi="Times New Roman CYR"/>
          <w:color w:val="000000"/>
          <w:sz w:val="24"/>
          <w:szCs w:val="24"/>
        </w:rPr>
      </w:pPr>
      <w:r w:rsidRPr="003119C0">
        <w:rPr>
          <w:rFonts w:ascii="Times New Roman CYR" w:hAnsi="Times New Roman CYR"/>
          <w:color w:val="000000"/>
          <w:sz w:val="24"/>
          <w:szCs w:val="24"/>
        </w:rPr>
        <w:t>10.Гусарова Л.В. Концепция бухгалтерского учета, аудита и анализа в некоммерческих организациях: монография. Казань: Познание, 2009. 262 с.</w:t>
      </w:r>
    </w:p>
    <w:p w14:paraId="5E7E3C41" w14:textId="77777777" w:rsidR="000D55E4" w:rsidRDefault="000D55E4" w:rsidP="004E48F7">
      <w:pPr>
        <w:widowControl w:val="0"/>
        <w:spacing w:after="0" w:line="240" w:lineRule="auto"/>
        <w:rPr>
          <w:rFonts w:ascii="Times New Roman" w:hAnsi="Times New Roman"/>
          <w:sz w:val="24"/>
          <w:szCs w:val="24"/>
        </w:rPr>
      </w:pPr>
    </w:p>
    <w:p w14:paraId="03F828E4" w14:textId="77777777" w:rsidR="00163E4B" w:rsidRDefault="00163E4B" w:rsidP="00163E4B">
      <w:pPr>
        <w:widowControl w:val="0"/>
        <w:spacing w:line="240" w:lineRule="auto"/>
        <w:rPr>
          <w:rFonts w:ascii="Times New Roman" w:hAnsi="Times New Roman" w:cs="Times New Roman"/>
          <w:b/>
          <w:sz w:val="24"/>
          <w:szCs w:val="24"/>
        </w:rPr>
      </w:pPr>
    </w:p>
    <w:p w14:paraId="309A9F43" w14:textId="77777777" w:rsidR="004E48F7" w:rsidRPr="00163E4B" w:rsidRDefault="004E48F7" w:rsidP="00163E4B">
      <w:pPr>
        <w:widowControl w:val="0"/>
        <w:spacing w:line="240" w:lineRule="auto"/>
        <w:rPr>
          <w:rFonts w:ascii="Times New Roman" w:hAnsi="Times New Roman" w:cs="Times New Roman"/>
          <w:b/>
          <w:sz w:val="24"/>
          <w:szCs w:val="24"/>
        </w:rPr>
      </w:pPr>
      <w:r w:rsidRPr="00163E4B">
        <w:rPr>
          <w:rFonts w:ascii="Times New Roman" w:hAnsi="Times New Roman" w:cs="Times New Roman"/>
          <w:b/>
          <w:sz w:val="24"/>
          <w:szCs w:val="24"/>
        </w:rPr>
        <w:t>Рубрика: Учёт, анализ, аудит и статистика: исследование тенден</w:t>
      </w:r>
      <w:r w:rsidR="00163E4B">
        <w:rPr>
          <w:rFonts w:ascii="Times New Roman" w:hAnsi="Times New Roman" w:cs="Times New Roman"/>
          <w:b/>
          <w:sz w:val="24"/>
          <w:szCs w:val="24"/>
        </w:rPr>
        <w:t>ций и проблем совершенствования</w:t>
      </w:r>
    </w:p>
    <w:p w14:paraId="75FD7F4F" w14:textId="77777777" w:rsidR="004E48F7" w:rsidRPr="000D55E4" w:rsidRDefault="004E48F7" w:rsidP="00163E4B">
      <w:pPr>
        <w:widowControl w:val="0"/>
        <w:spacing w:line="240" w:lineRule="auto"/>
        <w:rPr>
          <w:rFonts w:ascii="Times New Roman" w:hAnsi="Times New Roman" w:cs="Times New Roman"/>
          <w:sz w:val="24"/>
          <w:szCs w:val="24"/>
        </w:rPr>
      </w:pPr>
      <w:r w:rsidRPr="000D55E4">
        <w:rPr>
          <w:rFonts w:ascii="Times New Roman" w:hAnsi="Times New Roman" w:cs="Times New Roman"/>
          <w:sz w:val="24"/>
          <w:szCs w:val="24"/>
        </w:rPr>
        <w:t>УДК 657.6</w:t>
      </w:r>
    </w:p>
    <w:p w14:paraId="2AC57CB0" w14:textId="77777777" w:rsidR="00163E4B" w:rsidRDefault="00163E4B" w:rsidP="004E48F7">
      <w:pPr>
        <w:spacing w:after="0" w:line="240" w:lineRule="auto"/>
        <w:ind w:firstLine="709"/>
        <w:jc w:val="center"/>
        <w:rPr>
          <w:rFonts w:ascii="Times New Roman" w:hAnsi="Times New Roman" w:cs="Times New Roman"/>
          <w:b/>
          <w:sz w:val="24"/>
          <w:szCs w:val="24"/>
        </w:rPr>
      </w:pPr>
    </w:p>
    <w:p w14:paraId="5641D618" w14:textId="77777777" w:rsidR="004E48F7" w:rsidRPr="000D55E4" w:rsidRDefault="00163E4B" w:rsidP="004E48F7">
      <w:pPr>
        <w:spacing w:after="0" w:line="240" w:lineRule="auto"/>
        <w:ind w:firstLine="709"/>
        <w:jc w:val="center"/>
        <w:rPr>
          <w:rFonts w:ascii="Times New Roman" w:hAnsi="Times New Roman" w:cs="Times New Roman"/>
          <w:b/>
          <w:sz w:val="24"/>
          <w:szCs w:val="24"/>
        </w:rPr>
      </w:pPr>
      <w:r w:rsidRPr="000D55E4">
        <w:rPr>
          <w:rFonts w:ascii="Times New Roman" w:hAnsi="Times New Roman" w:cs="Times New Roman"/>
          <w:b/>
          <w:sz w:val="24"/>
          <w:szCs w:val="24"/>
        </w:rPr>
        <w:t>НАЛОГОВЫЙ АУДИТ КАК САМОСТОЯТЕЛЬНОЕ НАПРА</w:t>
      </w:r>
      <w:r>
        <w:rPr>
          <w:rFonts w:ascii="Times New Roman" w:hAnsi="Times New Roman" w:cs="Times New Roman"/>
          <w:b/>
          <w:sz w:val="24"/>
          <w:szCs w:val="24"/>
        </w:rPr>
        <w:t>ВЛЕНИЕ АУДИТОРСКОЙ ДЕЯТЕЛЬНОСТИ</w:t>
      </w:r>
    </w:p>
    <w:p w14:paraId="5186B13D" w14:textId="77777777" w:rsidR="00163E4B" w:rsidRDefault="00163E4B" w:rsidP="004E48F7">
      <w:pPr>
        <w:spacing w:after="0" w:line="240" w:lineRule="auto"/>
        <w:ind w:rightChars="13" w:right="29"/>
        <w:jc w:val="center"/>
        <w:rPr>
          <w:rFonts w:ascii="Times New Roman" w:hAnsi="Times New Roman" w:cs="Times New Roman"/>
          <w:color w:val="212121"/>
          <w:sz w:val="24"/>
          <w:szCs w:val="24"/>
          <w:lang w:eastAsia="ru-RU"/>
        </w:rPr>
      </w:pPr>
    </w:p>
    <w:p w14:paraId="2AE6C8B8" w14:textId="77777777" w:rsidR="004E48F7" w:rsidRPr="00163E4B" w:rsidRDefault="004E48F7" w:rsidP="004E48F7">
      <w:pPr>
        <w:spacing w:after="0" w:line="240" w:lineRule="auto"/>
        <w:ind w:rightChars="13" w:right="29"/>
        <w:jc w:val="center"/>
        <w:rPr>
          <w:rFonts w:ascii="Times New Roman" w:hAnsi="Times New Roman" w:cs="Times New Roman"/>
          <w:b/>
          <w:color w:val="212121"/>
          <w:sz w:val="24"/>
          <w:szCs w:val="24"/>
          <w:lang w:eastAsia="ru-RU"/>
        </w:rPr>
      </w:pPr>
      <w:r w:rsidRPr="00163E4B">
        <w:rPr>
          <w:rFonts w:ascii="Times New Roman" w:hAnsi="Times New Roman" w:cs="Times New Roman"/>
          <w:b/>
          <w:color w:val="212121"/>
          <w:sz w:val="24"/>
          <w:szCs w:val="24"/>
          <w:lang w:eastAsia="ru-RU"/>
        </w:rPr>
        <w:t>Низамова Анна Андреевна</w:t>
      </w:r>
    </w:p>
    <w:p w14:paraId="1183E08F" w14:textId="77777777" w:rsidR="004E48F7" w:rsidRPr="000D55E4" w:rsidRDefault="004E48F7" w:rsidP="004E48F7">
      <w:pPr>
        <w:spacing w:after="0" w:line="240" w:lineRule="auto"/>
        <w:ind w:rightChars="13" w:right="29"/>
        <w:jc w:val="center"/>
        <w:rPr>
          <w:rFonts w:ascii="Times New Roman" w:hAnsi="Times New Roman" w:cs="Times New Roman"/>
          <w:color w:val="212121"/>
          <w:sz w:val="24"/>
          <w:szCs w:val="24"/>
          <w:lang w:eastAsia="ru-RU"/>
        </w:rPr>
      </w:pPr>
      <w:r w:rsidRPr="000D55E4">
        <w:rPr>
          <w:rFonts w:ascii="Times New Roman" w:hAnsi="Times New Roman" w:cs="Times New Roman"/>
          <w:color w:val="212121"/>
          <w:sz w:val="24"/>
          <w:szCs w:val="24"/>
          <w:lang w:eastAsia="ru-RU"/>
        </w:rPr>
        <w:t>Магистрант 2 ку</w:t>
      </w:r>
      <w:r w:rsidRPr="000D55E4">
        <w:rPr>
          <w:rFonts w:ascii="Times New Roman" w:hAnsi="Times New Roman" w:cs="Times New Roman"/>
          <w:color w:val="212121"/>
          <w:sz w:val="24"/>
          <w:szCs w:val="24"/>
          <w:lang w:val="en-US" w:eastAsia="ru-RU"/>
        </w:rPr>
        <w:t>p</w:t>
      </w:r>
      <w:r w:rsidRPr="000D55E4">
        <w:rPr>
          <w:rFonts w:ascii="Times New Roman" w:hAnsi="Times New Roman" w:cs="Times New Roman"/>
          <w:color w:val="212121"/>
          <w:sz w:val="24"/>
          <w:szCs w:val="24"/>
          <w:lang w:eastAsia="ru-RU"/>
        </w:rPr>
        <w:t>с</w:t>
      </w:r>
      <w:r w:rsidRPr="000D55E4">
        <w:rPr>
          <w:rFonts w:ascii="Times New Roman" w:hAnsi="Times New Roman" w:cs="Times New Roman"/>
          <w:color w:val="212121"/>
          <w:sz w:val="24"/>
          <w:szCs w:val="24"/>
          <w:lang w:val="en-US" w:eastAsia="ru-RU"/>
        </w:rPr>
        <w:t>a</w:t>
      </w:r>
      <w:r w:rsidRPr="000D55E4">
        <w:rPr>
          <w:rFonts w:ascii="Times New Roman" w:hAnsi="Times New Roman" w:cs="Times New Roman"/>
          <w:color w:val="212121"/>
          <w:sz w:val="24"/>
          <w:szCs w:val="24"/>
          <w:lang w:eastAsia="ru-RU"/>
        </w:rPr>
        <w:t>, г</w:t>
      </w:r>
      <w:r w:rsidRPr="000D55E4">
        <w:rPr>
          <w:rFonts w:ascii="Times New Roman" w:hAnsi="Times New Roman" w:cs="Times New Roman"/>
          <w:color w:val="212121"/>
          <w:sz w:val="24"/>
          <w:szCs w:val="24"/>
          <w:lang w:val="en-US" w:eastAsia="ru-RU"/>
        </w:rPr>
        <w:t>p</w:t>
      </w:r>
      <w:r w:rsidRPr="000D55E4">
        <w:rPr>
          <w:rFonts w:ascii="Times New Roman" w:hAnsi="Times New Roman" w:cs="Times New Roman"/>
          <w:color w:val="212121"/>
          <w:sz w:val="24"/>
          <w:szCs w:val="24"/>
          <w:lang w:eastAsia="ru-RU"/>
        </w:rPr>
        <w:t>упп</w:t>
      </w:r>
      <w:r w:rsidRPr="000D55E4">
        <w:rPr>
          <w:rFonts w:ascii="Times New Roman" w:hAnsi="Times New Roman" w:cs="Times New Roman"/>
          <w:color w:val="212121"/>
          <w:sz w:val="24"/>
          <w:szCs w:val="24"/>
          <w:lang w:val="en-US" w:eastAsia="ru-RU"/>
        </w:rPr>
        <w:t>a</w:t>
      </w:r>
      <w:r w:rsidRPr="000D55E4">
        <w:rPr>
          <w:rFonts w:ascii="Times New Roman" w:hAnsi="Times New Roman" w:cs="Times New Roman"/>
          <w:color w:val="212121"/>
          <w:sz w:val="24"/>
          <w:szCs w:val="24"/>
          <w:lang w:eastAsia="ru-RU"/>
        </w:rPr>
        <w:t xml:space="preserve"> </w:t>
      </w:r>
      <w:r w:rsidRPr="000D55E4">
        <w:rPr>
          <w:rFonts w:ascii="Times New Roman" w:hAnsi="Times New Roman" w:cs="Times New Roman"/>
          <w:color w:val="000000"/>
          <w:sz w:val="24"/>
          <w:szCs w:val="24"/>
        </w:rPr>
        <w:t>ЗМЭУ-16-УА</w:t>
      </w:r>
      <w:r w:rsidRPr="000D55E4">
        <w:rPr>
          <w:rFonts w:ascii="Times New Roman" w:hAnsi="Times New Roman" w:cs="Times New Roman"/>
          <w:color w:val="212121"/>
          <w:sz w:val="24"/>
          <w:szCs w:val="24"/>
          <w:lang w:eastAsia="ru-RU"/>
        </w:rPr>
        <w:t xml:space="preserve">, </w:t>
      </w:r>
    </w:p>
    <w:p w14:paraId="761C4B67" w14:textId="77777777" w:rsidR="004E48F7" w:rsidRPr="000D55E4"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lang w:eastAsia="ru-RU"/>
        </w:rPr>
      </w:pPr>
      <w:r w:rsidRPr="630840AF">
        <w:rPr>
          <w:rFonts w:ascii="Times New Roman" w:hAnsi="Times New Roman" w:cs="Times New Roman"/>
          <w:color w:val="212121"/>
          <w:sz w:val="24"/>
          <w:szCs w:val="24"/>
          <w:lang w:eastAsia="ru-RU"/>
        </w:rPr>
        <w:t>к</w:t>
      </w:r>
      <w:r w:rsidRPr="630840AF">
        <w:rPr>
          <w:rFonts w:ascii="Times New Roman" w:hAnsi="Times New Roman" w:cs="Times New Roman"/>
          <w:color w:val="212121"/>
          <w:sz w:val="24"/>
          <w:szCs w:val="24"/>
          <w:lang w:val="en-US" w:eastAsia="ru-RU"/>
        </w:rPr>
        <w:t>a</w:t>
      </w:r>
      <w:r w:rsidRPr="630840AF">
        <w:rPr>
          <w:rFonts w:ascii="Times New Roman" w:hAnsi="Times New Roman" w:cs="Times New Roman"/>
          <w:color w:val="212121"/>
          <w:sz w:val="24"/>
          <w:szCs w:val="24"/>
          <w:lang w:eastAsia="ru-RU"/>
        </w:rPr>
        <w:t>ф</w:t>
      </w:r>
      <w:r w:rsidRPr="630840AF">
        <w:rPr>
          <w:rFonts w:ascii="Times New Roman" w:hAnsi="Times New Roman" w:cs="Times New Roman"/>
          <w:color w:val="212121"/>
          <w:sz w:val="24"/>
          <w:szCs w:val="24"/>
          <w:lang w:val="en-US" w:eastAsia="ru-RU"/>
        </w:rPr>
        <w:t>e</w:t>
      </w:r>
      <w:r w:rsidRPr="630840AF">
        <w:rPr>
          <w:rFonts w:ascii="Times New Roman" w:hAnsi="Times New Roman" w:cs="Times New Roman"/>
          <w:color w:val="212121"/>
          <w:sz w:val="24"/>
          <w:szCs w:val="24"/>
          <w:lang w:eastAsia="ru-RU"/>
        </w:rPr>
        <w:t>д</w:t>
      </w:r>
      <w:r w:rsidRPr="630840AF">
        <w:rPr>
          <w:rFonts w:ascii="Times New Roman" w:hAnsi="Times New Roman" w:cs="Times New Roman"/>
          <w:color w:val="212121"/>
          <w:sz w:val="24"/>
          <w:szCs w:val="24"/>
          <w:lang w:val="en-US" w:eastAsia="ru-RU"/>
        </w:rPr>
        <w:t>pa</w:t>
      </w:r>
      <w:r w:rsidRPr="630840AF">
        <w:rPr>
          <w:rFonts w:ascii="Times New Roman" w:hAnsi="Times New Roman" w:cs="Times New Roman"/>
          <w:color w:val="212121"/>
          <w:sz w:val="24"/>
          <w:szCs w:val="24"/>
          <w:lang w:eastAsia="ru-RU"/>
        </w:rPr>
        <w:t xml:space="preserve"> экономики</w:t>
      </w:r>
    </w:p>
    <w:p w14:paraId="6C57C439" w14:textId="77777777" w:rsidR="00163E4B" w:rsidRDefault="00163E4B"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lang w:eastAsia="ru-RU"/>
        </w:rPr>
      </w:pPr>
    </w:p>
    <w:p w14:paraId="2D49712E" w14:textId="77777777" w:rsidR="004E48F7" w:rsidRPr="00163E4B"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lang w:eastAsia="ru-RU"/>
        </w:rPr>
      </w:pPr>
      <w:r w:rsidRPr="00163E4B">
        <w:rPr>
          <w:rFonts w:ascii="Times New Roman" w:hAnsi="Times New Roman" w:cs="Times New Roman"/>
          <w:i/>
          <w:color w:val="212121"/>
          <w:sz w:val="24"/>
          <w:szCs w:val="24"/>
          <w:lang w:eastAsia="ru-RU"/>
        </w:rPr>
        <w:t>Влaдивoстoкский гoсудapствeнный институт экoнoмики и сepвисa</w:t>
      </w:r>
    </w:p>
    <w:p w14:paraId="1A0DF3D3" w14:textId="77777777" w:rsidR="004E48F7" w:rsidRPr="00163E4B"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lang w:eastAsia="ru-RU"/>
        </w:rPr>
      </w:pPr>
      <w:r w:rsidRPr="00163E4B">
        <w:rPr>
          <w:rFonts w:ascii="Times New Roman" w:hAnsi="Times New Roman" w:cs="Times New Roman"/>
          <w:i/>
          <w:color w:val="212121"/>
          <w:sz w:val="24"/>
          <w:szCs w:val="24"/>
          <w:lang w:eastAsia="ru-RU"/>
        </w:rPr>
        <w:t>Poссия. Влaдивoстoк</w:t>
      </w:r>
    </w:p>
    <w:p w14:paraId="3D404BC9" w14:textId="77777777" w:rsidR="00163E4B" w:rsidRPr="007E1000" w:rsidRDefault="00163E4B"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lang w:eastAsia="ru-RU"/>
        </w:rPr>
      </w:pPr>
    </w:p>
    <w:p w14:paraId="00BD7EB3" w14:textId="77777777" w:rsidR="004E48F7" w:rsidRPr="007E1000"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color w:val="212121"/>
          <w:sz w:val="24"/>
          <w:szCs w:val="24"/>
          <w:lang w:eastAsia="zh-CN"/>
        </w:rPr>
      </w:pPr>
      <w:r w:rsidRPr="000D55E4">
        <w:rPr>
          <w:rFonts w:ascii="Times New Roman" w:hAnsi="Times New Roman" w:cs="Times New Roman"/>
          <w:color w:val="212121"/>
          <w:sz w:val="24"/>
          <w:szCs w:val="24"/>
          <w:lang w:val="en-US" w:eastAsia="ru-RU"/>
        </w:rPr>
        <w:t>E</w:t>
      </w:r>
      <w:r w:rsidRPr="007E1000">
        <w:rPr>
          <w:rFonts w:ascii="Times New Roman" w:hAnsi="Times New Roman" w:cs="Times New Roman"/>
          <w:color w:val="212121"/>
          <w:sz w:val="24"/>
          <w:szCs w:val="24"/>
          <w:lang w:eastAsia="ru-RU"/>
        </w:rPr>
        <w:t>-</w:t>
      </w:r>
      <w:r w:rsidRPr="000D55E4">
        <w:rPr>
          <w:rFonts w:ascii="Times New Roman" w:hAnsi="Times New Roman" w:cs="Times New Roman"/>
          <w:color w:val="212121"/>
          <w:sz w:val="24"/>
          <w:szCs w:val="24"/>
          <w:lang w:val="en-US" w:eastAsia="ru-RU"/>
        </w:rPr>
        <w:t>mail</w:t>
      </w:r>
      <w:r w:rsidRPr="007E1000">
        <w:rPr>
          <w:rFonts w:ascii="Times New Roman" w:hAnsi="Times New Roman" w:cs="Times New Roman"/>
          <w:color w:val="212121"/>
          <w:sz w:val="24"/>
          <w:szCs w:val="24"/>
          <w:lang w:eastAsia="ru-RU"/>
        </w:rPr>
        <w:t xml:space="preserve">: </w:t>
      </w:r>
      <w:r w:rsidRPr="000D55E4">
        <w:rPr>
          <w:rFonts w:ascii="Times New Roman" w:hAnsi="Times New Roman" w:cs="Times New Roman"/>
          <w:sz w:val="24"/>
          <w:szCs w:val="24"/>
          <w:lang w:val="en-US"/>
        </w:rPr>
        <w:t>anya</w:t>
      </w:r>
      <w:r w:rsidRPr="007E1000">
        <w:rPr>
          <w:rFonts w:ascii="Times New Roman" w:hAnsi="Times New Roman" w:cs="Times New Roman"/>
          <w:sz w:val="24"/>
          <w:szCs w:val="24"/>
        </w:rPr>
        <w:t>2403@</w:t>
      </w:r>
      <w:r w:rsidRPr="000D55E4">
        <w:rPr>
          <w:rFonts w:ascii="Times New Roman" w:hAnsi="Times New Roman" w:cs="Times New Roman"/>
          <w:sz w:val="24"/>
          <w:szCs w:val="24"/>
          <w:lang w:val="en-US"/>
        </w:rPr>
        <w:t>mail</w:t>
      </w:r>
      <w:r w:rsidRPr="007E1000">
        <w:rPr>
          <w:rFonts w:ascii="Times New Roman" w:hAnsi="Times New Roman" w:cs="Times New Roman"/>
          <w:sz w:val="24"/>
          <w:szCs w:val="24"/>
        </w:rPr>
        <w:t>.</w:t>
      </w:r>
      <w:r w:rsidRPr="000D55E4">
        <w:rPr>
          <w:rFonts w:ascii="Times New Roman" w:hAnsi="Times New Roman" w:cs="Times New Roman"/>
          <w:sz w:val="24"/>
          <w:szCs w:val="24"/>
          <w:lang w:val="en-US"/>
        </w:rPr>
        <w:t>ru</w:t>
      </w:r>
      <w:r w:rsidRPr="007E1000">
        <w:rPr>
          <w:rFonts w:ascii="Times New Roman" w:hAnsi="Times New Roman" w:cs="Times New Roman"/>
          <w:sz w:val="24"/>
          <w:szCs w:val="24"/>
        </w:rPr>
        <w:t>, +79147124575</w:t>
      </w:r>
    </w:p>
    <w:p w14:paraId="66ED4F7C" w14:textId="77777777" w:rsidR="004E48F7" w:rsidRPr="000D55E4"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0D55E4">
        <w:rPr>
          <w:rFonts w:ascii="Times New Roman" w:hAnsi="Times New Roman" w:cs="Times New Roman"/>
          <w:color w:val="212121"/>
          <w:sz w:val="24"/>
          <w:szCs w:val="24"/>
          <w:lang w:eastAsia="ru-RU"/>
        </w:rPr>
        <w:t>Ул. Г</w:t>
      </w:r>
      <w:r w:rsidRPr="000D55E4">
        <w:rPr>
          <w:rFonts w:ascii="Times New Roman" w:hAnsi="Times New Roman" w:cs="Times New Roman"/>
          <w:color w:val="212121"/>
          <w:sz w:val="24"/>
          <w:szCs w:val="24"/>
          <w:lang w:val="en-US" w:eastAsia="ru-RU"/>
        </w:rPr>
        <w:t>o</w:t>
      </w:r>
      <w:r w:rsidRPr="000D55E4">
        <w:rPr>
          <w:rFonts w:ascii="Times New Roman" w:hAnsi="Times New Roman" w:cs="Times New Roman"/>
          <w:color w:val="212121"/>
          <w:sz w:val="24"/>
          <w:szCs w:val="24"/>
          <w:lang w:eastAsia="ru-RU"/>
        </w:rPr>
        <w:t>г</w:t>
      </w:r>
      <w:r w:rsidRPr="000D55E4">
        <w:rPr>
          <w:rFonts w:ascii="Times New Roman" w:hAnsi="Times New Roman" w:cs="Times New Roman"/>
          <w:color w:val="212121"/>
          <w:sz w:val="24"/>
          <w:szCs w:val="24"/>
          <w:lang w:val="en-US" w:eastAsia="ru-RU"/>
        </w:rPr>
        <w:t>o</w:t>
      </w:r>
      <w:r w:rsidRPr="000D55E4">
        <w:rPr>
          <w:rFonts w:ascii="Times New Roman" w:hAnsi="Times New Roman" w:cs="Times New Roman"/>
          <w:color w:val="212121"/>
          <w:sz w:val="24"/>
          <w:szCs w:val="24"/>
          <w:lang w:eastAsia="ru-RU"/>
        </w:rPr>
        <w:t>ля, 41, г. Вл</w:t>
      </w:r>
      <w:r w:rsidRPr="000D55E4">
        <w:rPr>
          <w:rFonts w:ascii="Times New Roman" w:hAnsi="Times New Roman" w:cs="Times New Roman"/>
          <w:color w:val="212121"/>
          <w:sz w:val="24"/>
          <w:szCs w:val="24"/>
          <w:lang w:val="en-US" w:eastAsia="ru-RU"/>
        </w:rPr>
        <w:t>a</w:t>
      </w:r>
      <w:r w:rsidRPr="000D55E4">
        <w:rPr>
          <w:rFonts w:ascii="Times New Roman" w:hAnsi="Times New Roman" w:cs="Times New Roman"/>
          <w:color w:val="212121"/>
          <w:sz w:val="24"/>
          <w:szCs w:val="24"/>
          <w:lang w:eastAsia="ru-RU"/>
        </w:rPr>
        <w:t>див</w:t>
      </w:r>
      <w:r w:rsidRPr="000D55E4">
        <w:rPr>
          <w:rFonts w:ascii="Times New Roman" w:hAnsi="Times New Roman" w:cs="Times New Roman"/>
          <w:color w:val="212121"/>
          <w:sz w:val="24"/>
          <w:szCs w:val="24"/>
          <w:lang w:val="en-US" w:eastAsia="ru-RU"/>
        </w:rPr>
        <w:t>o</w:t>
      </w:r>
      <w:r w:rsidRPr="000D55E4">
        <w:rPr>
          <w:rFonts w:ascii="Times New Roman" w:hAnsi="Times New Roman" w:cs="Times New Roman"/>
          <w:color w:val="212121"/>
          <w:sz w:val="24"/>
          <w:szCs w:val="24"/>
          <w:lang w:eastAsia="ru-RU"/>
        </w:rPr>
        <w:t>ст</w:t>
      </w:r>
      <w:r w:rsidRPr="000D55E4">
        <w:rPr>
          <w:rFonts w:ascii="Times New Roman" w:hAnsi="Times New Roman" w:cs="Times New Roman"/>
          <w:color w:val="212121"/>
          <w:sz w:val="24"/>
          <w:szCs w:val="24"/>
          <w:lang w:val="en-US" w:eastAsia="ru-RU"/>
        </w:rPr>
        <w:t>o</w:t>
      </w:r>
      <w:r w:rsidRPr="000D55E4">
        <w:rPr>
          <w:rFonts w:ascii="Times New Roman" w:hAnsi="Times New Roman" w:cs="Times New Roman"/>
          <w:color w:val="212121"/>
          <w:sz w:val="24"/>
          <w:szCs w:val="24"/>
          <w:lang w:eastAsia="ru-RU"/>
        </w:rPr>
        <w:t>к, П</w:t>
      </w:r>
      <w:r w:rsidRPr="000D55E4">
        <w:rPr>
          <w:rFonts w:ascii="Times New Roman" w:hAnsi="Times New Roman" w:cs="Times New Roman"/>
          <w:color w:val="212121"/>
          <w:sz w:val="24"/>
          <w:szCs w:val="24"/>
          <w:lang w:val="en-US" w:eastAsia="ru-RU"/>
        </w:rPr>
        <w:t>p</w:t>
      </w:r>
      <w:r w:rsidRPr="000D55E4">
        <w:rPr>
          <w:rFonts w:ascii="Times New Roman" w:hAnsi="Times New Roman" w:cs="Times New Roman"/>
          <w:color w:val="212121"/>
          <w:sz w:val="24"/>
          <w:szCs w:val="24"/>
          <w:lang w:eastAsia="ru-RU"/>
        </w:rPr>
        <w:t>им</w:t>
      </w:r>
      <w:r w:rsidRPr="000D55E4">
        <w:rPr>
          <w:rFonts w:ascii="Times New Roman" w:hAnsi="Times New Roman" w:cs="Times New Roman"/>
          <w:color w:val="212121"/>
          <w:sz w:val="24"/>
          <w:szCs w:val="24"/>
          <w:lang w:val="en-US" w:eastAsia="ru-RU"/>
        </w:rPr>
        <w:t>op</w:t>
      </w:r>
      <w:r w:rsidRPr="000D55E4">
        <w:rPr>
          <w:rFonts w:ascii="Times New Roman" w:hAnsi="Times New Roman" w:cs="Times New Roman"/>
          <w:color w:val="212121"/>
          <w:sz w:val="24"/>
          <w:szCs w:val="24"/>
          <w:lang w:eastAsia="ru-RU"/>
        </w:rPr>
        <w:t>ский к</w:t>
      </w:r>
      <w:r w:rsidRPr="000D55E4">
        <w:rPr>
          <w:rFonts w:ascii="Times New Roman" w:hAnsi="Times New Roman" w:cs="Times New Roman"/>
          <w:color w:val="212121"/>
          <w:sz w:val="24"/>
          <w:szCs w:val="24"/>
          <w:lang w:val="en-US" w:eastAsia="ru-RU"/>
        </w:rPr>
        <w:t>pa</w:t>
      </w:r>
      <w:r w:rsidRPr="000D55E4">
        <w:rPr>
          <w:rFonts w:ascii="Times New Roman" w:hAnsi="Times New Roman" w:cs="Times New Roman"/>
          <w:color w:val="212121"/>
          <w:sz w:val="24"/>
          <w:szCs w:val="24"/>
          <w:lang w:eastAsia="ru-RU"/>
        </w:rPr>
        <w:t>й</w:t>
      </w:r>
      <w:r w:rsidRPr="000D55E4">
        <w:rPr>
          <w:rFonts w:ascii="Times New Roman" w:hAnsi="Times New Roman" w:cs="Times New Roman"/>
          <w:sz w:val="24"/>
          <w:szCs w:val="24"/>
        </w:rPr>
        <w:t xml:space="preserve">, </w:t>
      </w:r>
      <w:r w:rsidRPr="000D55E4">
        <w:rPr>
          <w:rFonts w:ascii="Times New Roman" w:hAnsi="Times New Roman" w:cs="Times New Roman"/>
          <w:sz w:val="24"/>
          <w:szCs w:val="24"/>
          <w:lang w:val="en-US"/>
        </w:rPr>
        <w:t>Po</w:t>
      </w:r>
      <w:r w:rsidRPr="000D55E4">
        <w:rPr>
          <w:rFonts w:ascii="Times New Roman" w:hAnsi="Times New Roman" w:cs="Times New Roman"/>
          <w:sz w:val="24"/>
          <w:szCs w:val="24"/>
        </w:rPr>
        <w:t>ссия, 690014</w:t>
      </w:r>
    </w:p>
    <w:p w14:paraId="61319B8A" w14:textId="77777777" w:rsidR="004E48F7" w:rsidRPr="000D55E4"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p>
    <w:p w14:paraId="6990A42F" w14:textId="77777777" w:rsidR="004E48F7" w:rsidRPr="000D55E4" w:rsidRDefault="004E48F7" w:rsidP="004E48F7">
      <w:pPr>
        <w:autoSpaceDE w:val="0"/>
        <w:autoSpaceDN w:val="0"/>
        <w:adjustRightInd w:val="0"/>
        <w:spacing w:after="0" w:line="240" w:lineRule="auto"/>
        <w:ind w:firstLine="709"/>
        <w:jc w:val="both"/>
        <w:rPr>
          <w:rFonts w:ascii="Times New Roman" w:hAnsi="Times New Roman" w:cs="Times New Roman"/>
          <w:i/>
          <w:iCs/>
          <w:sz w:val="24"/>
          <w:szCs w:val="24"/>
        </w:rPr>
      </w:pPr>
      <w:r w:rsidRPr="000D55E4">
        <w:rPr>
          <w:rFonts w:ascii="Times New Roman" w:hAnsi="Times New Roman" w:cs="Times New Roman"/>
          <w:b/>
          <w:i/>
          <w:sz w:val="24"/>
          <w:szCs w:val="24"/>
        </w:rPr>
        <w:t>Аннотация</w:t>
      </w:r>
      <w:r w:rsidRPr="000D55E4">
        <w:rPr>
          <w:rFonts w:ascii="Times New Roman" w:hAnsi="Times New Roman" w:cs="Times New Roman"/>
          <w:i/>
          <w:sz w:val="24"/>
          <w:szCs w:val="24"/>
        </w:rPr>
        <w:t xml:space="preserve">: </w:t>
      </w:r>
      <w:r w:rsidRPr="000D55E4">
        <w:rPr>
          <w:rFonts w:ascii="Times New Roman" w:hAnsi="Times New Roman" w:cs="Times New Roman"/>
          <w:i/>
          <w:iCs/>
          <w:sz w:val="24"/>
          <w:szCs w:val="24"/>
        </w:rPr>
        <w:t>В статье аргументирована рациональность выделения налогового аудита в самостоятельное направление аудиторской деятельности, определена идея налогового аудита, а также его роль в системе контроля вообще и в сегодняшней системе российского аудита в частности, дано определение налогового аудита как науки и практики, сформулированы его предмет, метод, функции, а также раскрыта связь налогового аудита с оценкой эффективности хозяйственной деятельности.</w:t>
      </w:r>
    </w:p>
    <w:p w14:paraId="32C7C8B3" w14:textId="77777777" w:rsidR="004E48F7" w:rsidRDefault="004E48F7" w:rsidP="00163E4B">
      <w:pPr>
        <w:pStyle w:val="Default"/>
        <w:ind w:firstLine="709"/>
        <w:jc w:val="both"/>
        <w:rPr>
          <w:i/>
          <w:iCs/>
        </w:rPr>
      </w:pPr>
      <w:r w:rsidRPr="000D55E4">
        <w:rPr>
          <w:rFonts w:eastAsia="ArialNarrow"/>
          <w:b/>
          <w:bCs/>
          <w:i/>
          <w:iCs/>
          <w:lang w:eastAsia="ru-RU"/>
        </w:rPr>
        <w:t>Ключевые слова</w:t>
      </w:r>
      <w:r w:rsidR="00163E4B">
        <w:rPr>
          <w:rFonts w:eastAsia="ArialNarrow"/>
          <w:b/>
          <w:bCs/>
          <w:i/>
          <w:lang w:eastAsia="ru-RU"/>
        </w:rPr>
        <w:t xml:space="preserve">: </w:t>
      </w:r>
      <w:r w:rsidRPr="000D55E4">
        <w:rPr>
          <w:i/>
          <w:iCs/>
        </w:rPr>
        <w:t>налоговый аудит; сущность; практика; метод; функции; эффективность; налоговая отчетность; аудиторская деятельность</w:t>
      </w:r>
      <w:r w:rsidR="00163E4B">
        <w:rPr>
          <w:i/>
          <w:iCs/>
        </w:rPr>
        <w:t>.</w:t>
      </w:r>
    </w:p>
    <w:p w14:paraId="31A560F4" w14:textId="77777777" w:rsidR="00163E4B" w:rsidRPr="000D55E4" w:rsidRDefault="00163E4B" w:rsidP="00163E4B">
      <w:pPr>
        <w:pStyle w:val="Default"/>
        <w:ind w:firstLine="709"/>
        <w:jc w:val="both"/>
        <w:rPr>
          <w:i/>
        </w:rPr>
      </w:pPr>
    </w:p>
    <w:p w14:paraId="0A2271BD" w14:textId="77777777" w:rsidR="00163E4B"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i/>
          <w:iCs/>
          <w:sz w:val="24"/>
          <w:szCs w:val="24"/>
          <w:lang w:val="en-US"/>
        </w:rPr>
      </w:pPr>
      <w:r w:rsidRPr="630840AF">
        <w:rPr>
          <w:rFonts w:ascii="Times New Roman" w:hAnsi="Times New Roman" w:cs="Times New Roman"/>
          <w:b/>
          <w:bCs/>
          <w:sz w:val="24"/>
          <w:szCs w:val="24"/>
          <w:lang w:val="en-US"/>
        </w:rPr>
        <w:t>TAX AUDIT AS AN INDEPENDENT DIRECTION OF AUDIT ACTIVITY</w:t>
      </w:r>
      <w:r w:rsidR="00163E4B" w:rsidRPr="009C350E">
        <w:rPr>
          <w:lang w:val="en-US"/>
        </w:rPr>
        <w:br/>
      </w:r>
      <w:r w:rsidRPr="630840AF">
        <w:rPr>
          <w:rFonts w:ascii="Times New Roman" w:hAnsi="Times New Roman" w:cs="Times New Roman"/>
          <w:b/>
          <w:bCs/>
          <w:i/>
          <w:iCs/>
          <w:sz w:val="24"/>
          <w:szCs w:val="24"/>
          <w:lang w:val="en-US"/>
        </w:rPr>
        <w:t xml:space="preserve">        </w:t>
      </w:r>
    </w:p>
    <w:p w14:paraId="1FE83E79" w14:textId="77777777" w:rsidR="004E48F7" w:rsidRPr="000D55E4"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i/>
          <w:iCs/>
          <w:sz w:val="24"/>
          <w:szCs w:val="24"/>
          <w:lang w:val="en-US"/>
        </w:rPr>
      </w:pPr>
      <w:r w:rsidRPr="630840AF">
        <w:rPr>
          <w:rFonts w:ascii="Times New Roman" w:hAnsi="Times New Roman" w:cs="Times New Roman"/>
          <w:b/>
          <w:bCs/>
          <w:i/>
          <w:iCs/>
          <w:sz w:val="24"/>
          <w:szCs w:val="24"/>
          <w:lang w:val="en-US"/>
        </w:rPr>
        <w:t xml:space="preserve">          Abstract:</w:t>
      </w:r>
      <w:r w:rsidRPr="630840AF">
        <w:rPr>
          <w:rFonts w:ascii="Times New Roman" w:hAnsi="Times New Roman" w:cs="Times New Roman"/>
          <w:i/>
          <w:iCs/>
          <w:sz w:val="24"/>
          <w:szCs w:val="24"/>
          <w:lang w:val="en-US"/>
        </w:rPr>
        <w:t xml:space="preserve"> The article substantiates the expediency of allocation of tax audit in the independent direction of audit activity, reveals the essence of tax audit, determines its place in the control system in General and in the modern system of Russian audit in particular, defines tax audit as a science and practice, formulates its subject, method, functions, and determines the relationship of tax audit with the assessment of the efficiency of economic activity.</w:t>
      </w:r>
      <w:r w:rsidR="00163E4B" w:rsidRPr="009C350E">
        <w:rPr>
          <w:lang w:val="en-US"/>
        </w:rPr>
        <w:br/>
      </w:r>
      <w:r w:rsidRPr="630840AF">
        <w:rPr>
          <w:rFonts w:ascii="Times New Roman" w:hAnsi="Times New Roman" w:cs="Times New Roman"/>
          <w:b/>
          <w:bCs/>
          <w:i/>
          <w:iCs/>
          <w:sz w:val="24"/>
          <w:szCs w:val="24"/>
          <w:lang w:val="en-US"/>
        </w:rPr>
        <w:t xml:space="preserve">          Keywords:</w:t>
      </w:r>
      <w:r w:rsidRPr="630840AF">
        <w:rPr>
          <w:rFonts w:ascii="Times New Roman" w:hAnsi="Times New Roman" w:cs="Times New Roman"/>
          <w:i/>
          <w:iCs/>
          <w:sz w:val="24"/>
          <w:szCs w:val="24"/>
          <w:lang w:val="en-US"/>
        </w:rPr>
        <w:t xml:space="preserve"> tax audit; essence; practice; method; functions; efficiency; tax reporting; audit activity.</w:t>
      </w:r>
    </w:p>
    <w:p w14:paraId="70DF735C" w14:textId="77777777" w:rsidR="004E48F7" w:rsidRPr="000D55E4" w:rsidRDefault="004E48F7" w:rsidP="004E48F7">
      <w:pPr>
        <w:spacing w:after="0" w:line="240" w:lineRule="auto"/>
        <w:ind w:firstLine="709"/>
        <w:jc w:val="both"/>
        <w:rPr>
          <w:rFonts w:ascii="Times New Roman" w:hAnsi="Times New Roman" w:cs="Times New Roman"/>
          <w:sz w:val="24"/>
          <w:szCs w:val="24"/>
          <w:lang w:val="en-US"/>
        </w:rPr>
      </w:pPr>
    </w:p>
    <w:p w14:paraId="45D2E25A"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Большую часть структуры обязательств любой коммерческой организации занимают налоги. Нарушение сроков уплаты, а также неверное исчисление суммы налогов является основанием для применения налоговыми органами штрафных санкций и пеней, что неизбежно влечет ухудшение финансового состояния компании, а неумелое использование механизмов оптимизации налогообложения может привести к уголовной ответственности не только главных бухгалтеров и руководителей компании, но и их собственников» [1, с. 63].</w:t>
      </w:r>
    </w:p>
    <w:p w14:paraId="099ECCFC"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В настоящее время возрастает необходимость совершенствования методов управления экономических субъектов. В связи с чем, разрабатываются мероприятия, способствующие улучшению системы внутреннего контроля организаций. Для решения данных проблем компании вынуждены, как правило, прибегнуть к помощи аудиторских организаций, которые оказывают аудиторские услуги, дают консультации в области бухгалтерского учета, налогообложения, аудита, финансов и права, Для пользователей отчетности важным является мнение аудитора не только о правильности составления налоговых деклараций и отражении в бухгалтерской (финансовой) отчетности обязательств перед бюджетом по налогам и сборам, но и аудиторская оценка влияния налоговых обязательств на способность организации сохранять финансовую устойчивость.</w:t>
      </w:r>
    </w:p>
    <w:p w14:paraId="7E07CC71"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«Предприятие не может по своему усмотрению изменять налоговое, бухгалтерское или какое-либо иное законодательство. Иными словами, у него отсутствует возможность управлять внешними источниками возникновения налоговых рисков. Однако необходимо своевременно отслеживать изменения этих факторов и принимать соответствующие меры по их учету при осуществлении деятельности, проводить мониторинг состояния расчетов с бюджетом по налогам и т.д.</w:t>
      </w:r>
    </w:p>
    <w:p w14:paraId="11A6FF56"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Прежде чем проводить мероприятия по управлению налоговыми рисками, нужно оценить потенциальные риски по величине, степени вероятности и возможным последствиям.</w:t>
      </w:r>
    </w:p>
    <w:p w14:paraId="6D0B82EC"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Налоговый аудит важен именно для оценки налоговых рисков компании» [1, с. 25].</w:t>
      </w:r>
    </w:p>
    <w:p w14:paraId="482DC44F"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Говоря о налоговом аудите мы подразумеваем его классическую трактовку в соответствии с п. 2.1 Методики аудиторской деятельности «Налоговый аудит и другие сопутствующие услуги по налоговым вопросам. Общение с налоговыми органами». Аудит </w:t>
      </w:r>
      <w:r w:rsidRPr="000D55E4">
        <w:rPr>
          <w:rFonts w:ascii="Times New Roman" w:hAnsi="Times New Roman" w:cs="Times New Roman"/>
          <w:sz w:val="24"/>
          <w:szCs w:val="24"/>
        </w:rPr>
        <w:lastRenderedPageBreak/>
        <w:t>как отрасль научных и специальных знаний подразумевает наличие теории, как системы мыслей, дающих единое представление об исследуемой области. Теоретические же вопросы организации и методики оказания аудиторских услуг в области налогообложения, понятие и экономическая сущность аудиторской проверки налоговой отчетности, а также область ее применения исследуются с использованием общетеоретических основ аудита.</w:t>
      </w:r>
    </w:p>
    <w:p w14:paraId="653A9FFF"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 Несмотря на то, услуги по налоговому аудиту оказывается  аудиторскими организациями и индивидуальными аудиторы уже продолжительное время, понятие «налоговый аудит» до сих пор не имеет единственно точного и научно доказанного толкования. Анализ специальной литературы по данному вопросу (табл. 1) позволил установить следующее: </w:t>
      </w:r>
    </w:p>
    <w:p w14:paraId="1D3DCC3A"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 многообразие различающихся друг от друга понятий, описывающих взаимоотношения экономических субъектов, которые возникают в процессе проверки налоговой отчетности: «налоговый аудит», «аудит налогообложения», «аудит расчетов с бюджетом и внебюджетными фондами», «аудит системы налогообложения предприятия» и др.; </w:t>
      </w:r>
    </w:p>
    <w:p w14:paraId="146C8D98"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 сравнение в большинстве случаев таких понятий, как «аудит налогообложения» и «налоговый аудит»; </w:t>
      </w:r>
    </w:p>
    <w:p w14:paraId="6E8162AA"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 значительные отличия в формулировках понятия «налоговый аудит»; </w:t>
      </w:r>
    </w:p>
    <w:p w14:paraId="193376AE"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 избежание авторами в ряде случаев собственных толкований понятия «налоговый аудит», внимание концентрируется исключительно на разработке вопросов его организации и методологии проведения; </w:t>
      </w:r>
    </w:p>
    <w:p w14:paraId="7A1AC0E6" w14:textId="77777777" w:rsidR="000D55E4" w:rsidRPr="00163E4B" w:rsidRDefault="004E48F7" w:rsidP="00163E4B">
      <w:pPr>
        <w:spacing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существенное различие мнений отдельных исследователей по вопросу определения места налогового аудита в структуре аудиторских услуг («налоговый аудит как самостоятельное направление аудиторской деятельности»; «налоговый аудит как специальное а</w:t>
      </w:r>
      <w:r w:rsidR="00163E4B">
        <w:rPr>
          <w:rFonts w:ascii="Times New Roman" w:hAnsi="Times New Roman" w:cs="Times New Roman"/>
          <w:sz w:val="24"/>
          <w:szCs w:val="24"/>
        </w:rPr>
        <w:t>удиторское задание») [2, С. 6].</w:t>
      </w:r>
    </w:p>
    <w:p w14:paraId="3A413BF6" w14:textId="77777777" w:rsidR="00163E4B" w:rsidRDefault="00163E4B" w:rsidP="00163E4B">
      <w:pPr>
        <w:spacing w:line="240" w:lineRule="auto"/>
        <w:ind w:firstLine="708"/>
        <w:jc w:val="right"/>
        <w:rPr>
          <w:rFonts w:ascii="Times New Roman" w:hAnsi="Times New Roman" w:cs="Times New Roman"/>
          <w:i/>
          <w:sz w:val="24"/>
          <w:szCs w:val="24"/>
        </w:rPr>
      </w:pPr>
    </w:p>
    <w:p w14:paraId="33D28B4B" w14:textId="77777777" w:rsidR="00163E4B" w:rsidRDefault="00163E4B" w:rsidP="00163E4B">
      <w:pPr>
        <w:spacing w:line="240" w:lineRule="auto"/>
        <w:ind w:firstLine="708"/>
        <w:jc w:val="right"/>
        <w:rPr>
          <w:rFonts w:ascii="Times New Roman" w:hAnsi="Times New Roman" w:cs="Times New Roman"/>
          <w:i/>
          <w:sz w:val="24"/>
          <w:szCs w:val="24"/>
        </w:rPr>
      </w:pPr>
    </w:p>
    <w:p w14:paraId="37EFA3E3" w14:textId="77777777" w:rsidR="00163E4B" w:rsidRDefault="00163E4B" w:rsidP="00163E4B">
      <w:pPr>
        <w:spacing w:line="240" w:lineRule="auto"/>
        <w:ind w:firstLine="708"/>
        <w:jc w:val="right"/>
        <w:rPr>
          <w:rFonts w:ascii="Times New Roman" w:hAnsi="Times New Roman" w:cs="Times New Roman"/>
          <w:i/>
          <w:sz w:val="24"/>
          <w:szCs w:val="24"/>
        </w:rPr>
      </w:pPr>
    </w:p>
    <w:p w14:paraId="41C6AC2A" w14:textId="77777777" w:rsidR="00163E4B" w:rsidRDefault="00163E4B" w:rsidP="00163E4B">
      <w:pPr>
        <w:spacing w:line="240" w:lineRule="auto"/>
        <w:ind w:firstLine="708"/>
        <w:jc w:val="right"/>
        <w:rPr>
          <w:rFonts w:ascii="Times New Roman" w:hAnsi="Times New Roman" w:cs="Times New Roman"/>
          <w:i/>
          <w:sz w:val="24"/>
          <w:szCs w:val="24"/>
        </w:rPr>
      </w:pPr>
    </w:p>
    <w:p w14:paraId="2DC44586" w14:textId="77777777" w:rsidR="00163E4B" w:rsidRDefault="00163E4B" w:rsidP="00163E4B">
      <w:pPr>
        <w:spacing w:line="240" w:lineRule="auto"/>
        <w:ind w:firstLine="708"/>
        <w:jc w:val="right"/>
        <w:rPr>
          <w:rFonts w:ascii="Times New Roman" w:hAnsi="Times New Roman" w:cs="Times New Roman"/>
          <w:i/>
          <w:sz w:val="24"/>
          <w:szCs w:val="24"/>
        </w:rPr>
      </w:pPr>
    </w:p>
    <w:p w14:paraId="4FFCBC07" w14:textId="77777777" w:rsidR="00163E4B" w:rsidRDefault="00163E4B" w:rsidP="00163E4B">
      <w:pPr>
        <w:spacing w:line="240" w:lineRule="auto"/>
        <w:ind w:firstLine="708"/>
        <w:jc w:val="right"/>
        <w:rPr>
          <w:rFonts w:ascii="Times New Roman" w:hAnsi="Times New Roman" w:cs="Times New Roman"/>
          <w:i/>
          <w:sz w:val="24"/>
          <w:szCs w:val="24"/>
        </w:rPr>
      </w:pPr>
    </w:p>
    <w:p w14:paraId="1728B4D0" w14:textId="77777777" w:rsidR="00163E4B" w:rsidRDefault="00163E4B" w:rsidP="00163E4B">
      <w:pPr>
        <w:spacing w:line="240" w:lineRule="auto"/>
        <w:ind w:firstLine="708"/>
        <w:jc w:val="right"/>
        <w:rPr>
          <w:rFonts w:ascii="Times New Roman" w:hAnsi="Times New Roman" w:cs="Times New Roman"/>
          <w:i/>
          <w:sz w:val="24"/>
          <w:szCs w:val="24"/>
        </w:rPr>
      </w:pPr>
    </w:p>
    <w:p w14:paraId="34959D4B" w14:textId="77777777" w:rsidR="00163E4B" w:rsidRDefault="00163E4B" w:rsidP="00163E4B">
      <w:pPr>
        <w:spacing w:line="240" w:lineRule="auto"/>
        <w:ind w:firstLine="708"/>
        <w:jc w:val="right"/>
        <w:rPr>
          <w:rFonts w:ascii="Times New Roman" w:hAnsi="Times New Roman" w:cs="Times New Roman"/>
          <w:i/>
          <w:sz w:val="24"/>
          <w:szCs w:val="24"/>
        </w:rPr>
      </w:pPr>
    </w:p>
    <w:p w14:paraId="7BD58BA2" w14:textId="77777777" w:rsidR="00163E4B" w:rsidRDefault="00163E4B" w:rsidP="00163E4B">
      <w:pPr>
        <w:spacing w:line="240" w:lineRule="auto"/>
        <w:ind w:firstLine="708"/>
        <w:jc w:val="right"/>
        <w:rPr>
          <w:rFonts w:ascii="Times New Roman" w:hAnsi="Times New Roman" w:cs="Times New Roman"/>
          <w:i/>
          <w:sz w:val="24"/>
          <w:szCs w:val="24"/>
        </w:rPr>
      </w:pPr>
    </w:p>
    <w:p w14:paraId="4357A966" w14:textId="77777777" w:rsidR="00163E4B" w:rsidRDefault="00163E4B" w:rsidP="00163E4B">
      <w:pPr>
        <w:spacing w:line="240" w:lineRule="auto"/>
        <w:ind w:firstLine="708"/>
        <w:jc w:val="right"/>
        <w:rPr>
          <w:rFonts w:ascii="Times New Roman" w:hAnsi="Times New Roman" w:cs="Times New Roman"/>
          <w:i/>
          <w:sz w:val="24"/>
          <w:szCs w:val="24"/>
        </w:rPr>
      </w:pPr>
    </w:p>
    <w:p w14:paraId="44690661" w14:textId="77777777" w:rsidR="00163E4B" w:rsidRDefault="00163E4B" w:rsidP="00163E4B">
      <w:pPr>
        <w:spacing w:line="240" w:lineRule="auto"/>
        <w:ind w:firstLine="708"/>
        <w:jc w:val="right"/>
        <w:rPr>
          <w:rFonts w:ascii="Times New Roman" w:hAnsi="Times New Roman" w:cs="Times New Roman"/>
          <w:i/>
          <w:sz w:val="24"/>
          <w:szCs w:val="24"/>
        </w:rPr>
      </w:pPr>
    </w:p>
    <w:p w14:paraId="74539910" w14:textId="77777777" w:rsidR="00163E4B" w:rsidRDefault="00163E4B" w:rsidP="00163E4B">
      <w:pPr>
        <w:spacing w:line="240" w:lineRule="auto"/>
        <w:ind w:firstLine="708"/>
        <w:jc w:val="right"/>
        <w:rPr>
          <w:rFonts w:ascii="Times New Roman" w:hAnsi="Times New Roman" w:cs="Times New Roman"/>
          <w:i/>
          <w:sz w:val="24"/>
          <w:szCs w:val="24"/>
        </w:rPr>
      </w:pPr>
    </w:p>
    <w:p w14:paraId="5A7E0CF2" w14:textId="77777777" w:rsidR="00163E4B" w:rsidRDefault="00163E4B" w:rsidP="00163E4B">
      <w:pPr>
        <w:spacing w:line="240" w:lineRule="auto"/>
        <w:ind w:firstLine="708"/>
        <w:jc w:val="right"/>
        <w:rPr>
          <w:rFonts w:ascii="Times New Roman" w:hAnsi="Times New Roman" w:cs="Times New Roman"/>
          <w:i/>
          <w:sz w:val="24"/>
          <w:szCs w:val="24"/>
        </w:rPr>
      </w:pPr>
    </w:p>
    <w:p w14:paraId="60FA6563" w14:textId="77777777" w:rsidR="00163E4B" w:rsidRDefault="00163E4B" w:rsidP="00163E4B">
      <w:pPr>
        <w:spacing w:line="240" w:lineRule="auto"/>
        <w:ind w:firstLine="708"/>
        <w:jc w:val="right"/>
        <w:rPr>
          <w:rFonts w:ascii="Times New Roman" w:hAnsi="Times New Roman" w:cs="Times New Roman"/>
          <w:i/>
          <w:sz w:val="24"/>
          <w:szCs w:val="24"/>
        </w:rPr>
      </w:pPr>
    </w:p>
    <w:p w14:paraId="1AC5CDBE" w14:textId="77777777" w:rsidR="00163E4B" w:rsidRDefault="00163E4B" w:rsidP="00163E4B">
      <w:pPr>
        <w:spacing w:line="240" w:lineRule="auto"/>
        <w:ind w:firstLine="708"/>
        <w:jc w:val="right"/>
        <w:rPr>
          <w:rFonts w:ascii="Times New Roman" w:hAnsi="Times New Roman" w:cs="Times New Roman"/>
          <w:i/>
          <w:sz w:val="24"/>
          <w:szCs w:val="24"/>
        </w:rPr>
      </w:pPr>
    </w:p>
    <w:p w14:paraId="75B14480" w14:textId="77777777" w:rsidR="004E48F7" w:rsidRPr="000D55E4" w:rsidRDefault="004E48F7" w:rsidP="00163E4B">
      <w:pPr>
        <w:spacing w:line="240" w:lineRule="auto"/>
        <w:ind w:firstLine="708"/>
        <w:jc w:val="right"/>
        <w:rPr>
          <w:rFonts w:ascii="Times New Roman" w:hAnsi="Times New Roman" w:cs="Times New Roman"/>
          <w:b/>
          <w:sz w:val="24"/>
          <w:szCs w:val="24"/>
        </w:rPr>
      </w:pPr>
      <w:r w:rsidRPr="000D55E4">
        <w:rPr>
          <w:rFonts w:ascii="Times New Roman" w:hAnsi="Times New Roman" w:cs="Times New Roman"/>
          <w:i/>
          <w:sz w:val="24"/>
          <w:szCs w:val="24"/>
        </w:rPr>
        <w:t xml:space="preserve">Таблица 1. </w:t>
      </w:r>
      <w:r w:rsidRPr="000D55E4">
        <w:rPr>
          <w:rFonts w:ascii="Times New Roman" w:hAnsi="Times New Roman" w:cs="Times New Roman"/>
          <w:b/>
          <w:sz w:val="24"/>
          <w:szCs w:val="24"/>
        </w:rPr>
        <w:t>Многообразие понятий «налоговый аудит»</w:t>
      </w:r>
    </w:p>
    <w:p w14:paraId="39A17059" w14:textId="77777777" w:rsidR="004E48F7" w:rsidRPr="000D55E4" w:rsidRDefault="007014C7" w:rsidP="004E48F7">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ru-RU"/>
        </w:rPr>
        <w:lastRenderedPageBreak/>
        <w:pict w14:anchorId="04287037">
          <v:group id="Группа 36" o:spid="_x0000_s1195" style="position:absolute;left:0;text-align:left;margin-left:32pt;margin-top:6.5pt;width:453.8pt;height:767.7pt;z-index:251737088;mso-width-relative:margin;mso-height-relative:margin" coordsize="56007,96583">
            <v:group id="Группа 31" o:spid="_x0000_s1196" style="position:absolute;width:56007;height:69342" coordsize="56007,71818">
              <v:group id="Группа 23" o:spid="_x0000_s1197" style="position:absolute;width:56007;height:52482" coordsize="56007,52482">
                <v:group id="Группа 9" o:spid="_x0000_s1198" style="position:absolute;width:56007;height:16002" coordsize="56007,16002">
                  <v:group id="Группа 4" o:spid="_x0000_s1199" style="position:absolute;width:56007;height:3810" coordsize="56007,3810">
                    <v:shapetype id="_x0000_t202" coordsize="21600,21600" o:spt="202" path="m,l,21600r21600,l21600,xe">
                      <v:stroke joinstyle="miter"/>
                      <v:path gradientshapeok="t" o:connecttype="rect"/>
                    </v:shapetype>
                    <v:shape id="Поле 1" o:spid="_x0000_s1200" type="#_x0000_t202" style="position:absolute;width:18669;height:3810;visibility:visible" fillcolor="window" strokeweight=".5pt">
                      <v:textbox style="mso-next-textbox:#Поле 1">
                        <w:txbxContent>
                          <w:p w14:paraId="342D4C27" w14:textId="77777777" w:rsidR="007014C7" w:rsidRDefault="007014C7" w:rsidP="000D55E4"/>
                        </w:txbxContent>
                      </v:textbox>
                    </v:shape>
                    <v:shape id="Поле 2" o:spid="_x0000_s1201" type="#_x0000_t202" style="position:absolute;left:18669;width:18669;height:3810;visibility:visible" fillcolor="window" strokeweight=".5pt">
                      <v:textbox style="mso-next-textbox:#Поле 2">
                        <w:txbxContent>
                          <w:p w14:paraId="4ACB9154" w14:textId="77777777" w:rsidR="007014C7" w:rsidRPr="00901671" w:rsidRDefault="007014C7" w:rsidP="000D55E4">
                            <w:pPr>
                              <w:jc w:val="center"/>
                              <w:rPr>
                                <w:rFonts w:ascii="Times New Roman" w:hAnsi="Times New Roman"/>
                              </w:rPr>
                            </w:pPr>
                            <w:r w:rsidRPr="00901671">
                              <w:rPr>
                                <w:rFonts w:ascii="Times New Roman" w:hAnsi="Times New Roman"/>
                              </w:rPr>
                              <w:t>Употребляемые понятия</w:t>
                            </w:r>
                          </w:p>
                          <w:p w14:paraId="7D130465" w14:textId="77777777" w:rsidR="007014C7" w:rsidRDefault="007014C7" w:rsidP="000D55E4">
                            <w:r>
                              <w:t>понятия</w:t>
                            </w:r>
                          </w:p>
                        </w:txbxContent>
                      </v:textbox>
                    </v:shape>
                    <v:shape id="Поле 3" o:spid="_x0000_s1202" type="#_x0000_t202" style="position:absolute;left:37338;width:18669;height:3810;visibility:visible" fillcolor="window" strokeweight=".5pt">
                      <v:textbox style="mso-next-textbox:#Поле 3">
                        <w:txbxContent>
                          <w:p w14:paraId="11D3F8B5" w14:textId="77777777" w:rsidR="007014C7" w:rsidRPr="00901671" w:rsidRDefault="007014C7" w:rsidP="000D55E4">
                            <w:pPr>
                              <w:jc w:val="center"/>
                              <w:rPr>
                                <w:rFonts w:ascii="Times New Roman" w:hAnsi="Times New Roman"/>
                              </w:rPr>
                            </w:pPr>
                            <w:r w:rsidRPr="00901671">
                              <w:rPr>
                                <w:rFonts w:ascii="Times New Roman" w:hAnsi="Times New Roman"/>
                              </w:rPr>
                              <w:t>Содержание понятий</w:t>
                            </w:r>
                          </w:p>
                        </w:txbxContent>
                      </v:textbox>
                    </v:shape>
                  </v:group>
                  <v:group id="Группа 5" o:spid="_x0000_s1203" style="position:absolute;top:3810;width:56007;height:12192" coordsize="56007,3810">
                    <v:shape id="Поле 6" o:spid="_x0000_s1204" type="#_x0000_t202" style="position:absolute;width:18669;height:3810;visibility:visible" fillcolor="window" strokeweight=".5pt">
                      <v:textbox style="mso-next-textbox:#Поле 6">
                        <w:txbxContent>
                          <w:p w14:paraId="29B86B61" w14:textId="77777777" w:rsidR="007014C7" w:rsidRPr="00135E1F" w:rsidRDefault="007014C7" w:rsidP="000D55E4">
                            <w:pPr>
                              <w:pStyle w:val="Default"/>
                              <w:jc w:val="both"/>
                              <w:rPr>
                                <w:sz w:val="20"/>
                                <w:szCs w:val="20"/>
                              </w:rPr>
                            </w:pPr>
                            <w:r w:rsidRPr="00135E1F">
                              <w:rPr>
                                <w:sz w:val="20"/>
                                <w:szCs w:val="20"/>
                              </w:rPr>
                              <w:t xml:space="preserve">Ж.А. Морозова </w:t>
                            </w:r>
                          </w:p>
                          <w:p w14:paraId="3572E399" w14:textId="77777777" w:rsidR="007014C7" w:rsidRDefault="007014C7" w:rsidP="000D55E4"/>
                        </w:txbxContent>
                      </v:textbox>
                    </v:shape>
                    <v:shape id="Поле 7" o:spid="_x0000_s1205" type="#_x0000_t202" style="position:absolute;left:18669;width:18669;height:3810;visibility:visible" fillcolor="window" strokeweight=".5pt">
                      <v:textbox style="mso-next-textbox:#Поле 7">
                        <w:txbxContent>
                          <w:tbl>
                            <w:tblPr>
                              <w:tblW w:w="0" w:type="auto"/>
                              <w:tblLook w:val="0000" w:firstRow="0" w:lastRow="0" w:firstColumn="0" w:lastColumn="0" w:noHBand="0" w:noVBand="0"/>
                            </w:tblPr>
                            <w:tblGrid>
                              <w:gridCol w:w="1702"/>
                              <w:gridCol w:w="222"/>
                            </w:tblGrid>
                            <w:tr w:rsidR="007014C7" w:rsidRPr="00135E1F" w14:paraId="2AD7173A" w14:textId="77777777" w:rsidTr="007E1183">
                              <w:trPr>
                                <w:trHeight w:val="578"/>
                              </w:trPr>
                              <w:tc>
                                <w:tcPr>
                                  <w:tcW w:w="0" w:type="auto"/>
                                </w:tcPr>
                                <w:p w14:paraId="7958261E" w14:textId="77777777" w:rsidR="007014C7" w:rsidRPr="00135E1F" w:rsidRDefault="007014C7" w:rsidP="007E1183">
                                  <w:pPr>
                                    <w:pStyle w:val="Default"/>
                                    <w:jc w:val="both"/>
                                    <w:rPr>
                                      <w:sz w:val="20"/>
                                      <w:szCs w:val="20"/>
                                    </w:rPr>
                                  </w:pPr>
                                  <w:r w:rsidRPr="00135E1F">
                                    <w:rPr>
                                      <w:sz w:val="20"/>
                                      <w:szCs w:val="20"/>
                                    </w:rPr>
                                    <w:t xml:space="preserve">Налоговый аудит </w:t>
                                  </w:r>
                                </w:p>
                              </w:tc>
                              <w:tc>
                                <w:tcPr>
                                  <w:tcW w:w="0" w:type="auto"/>
                                </w:tcPr>
                                <w:p w14:paraId="6CEB15CE" w14:textId="77777777" w:rsidR="007014C7" w:rsidRPr="00135E1F" w:rsidRDefault="007014C7" w:rsidP="007E1183">
                                  <w:pPr>
                                    <w:pStyle w:val="Default"/>
                                    <w:jc w:val="both"/>
                                    <w:rPr>
                                      <w:sz w:val="20"/>
                                      <w:szCs w:val="20"/>
                                    </w:rPr>
                                  </w:pPr>
                                </w:p>
                              </w:tc>
                            </w:tr>
                          </w:tbl>
                          <w:p w14:paraId="66518E39" w14:textId="77777777" w:rsidR="007014C7" w:rsidRDefault="007014C7" w:rsidP="000D55E4"/>
                        </w:txbxContent>
                      </v:textbox>
                    </v:shape>
                    <v:shape id="Поле 8" o:spid="_x0000_s1206" type="#_x0000_t202" style="position:absolute;left:37338;width:18669;height:3810;visibility:visible" fillcolor="window" strokeweight=".5pt">
                      <v:textbox style="mso-next-textbox:#Поле 8">
                        <w:txbxContent>
                          <w:p w14:paraId="5225F311" w14:textId="77777777" w:rsidR="007014C7" w:rsidRPr="00901671" w:rsidRDefault="007014C7" w:rsidP="000D55E4">
                            <w:pPr>
                              <w:pStyle w:val="Default"/>
                              <w:jc w:val="both"/>
                              <w:rPr>
                                <w:sz w:val="20"/>
                                <w:szCs w:val="20"/>
                              </w:rPr>
                            </w:pPr>
                            <w:r w:rsidRPr="00901671">
                              <w:rPr>
                                <w:sz w:val="20"/>
                                <w:szCs w:val="20"/>
                              </w:rPr>
                              <w:t xml:space="preserve">Налоговый аудит - отдельное направление в системе отечественного аудита. </w:t>
                            </w:r>
                          </w:p>
                          <w:p w14:paraId="3B4D3028" w14:textId="77777777" w:rsidR="007014C7" w:rsidRPr="00901671" w:rsidRDefault="007014C7" w:rsidP="000D55E4">
                            <w:pPr>
                              <w:jc w:val="both"/>
                              <w:rPr>
                                <w:rFonts w:ascii="Times New Roman" w:hAnsi="Times New Roman"/>
                              </w:rPr>
                            </w:pPr>
                            <w:r w:rsidRPr="00901671">
                              <w:rPr>
                                <w:rFonts w:ascii="Times New Roman" w:hAnsi="Times New Roman"/>
                                <w:sz w:val="20"/>
                                <w:szCs w:val="20"/>
                              </w:rPr>
                              <w:t>Автор различает такие понятия, как комплексный, тематический и структурный налоговый аудит</w:t>
                            </w:r>
                          </w:p>
                        </w:txbxContent>
                      </v:textbox>
                    </v:shape>
                  </v:group>
                </v:group>
                <v:group id="Группа 22" o:spid="_x0000_s1207" style="position:absolute;top:16002;width:56007;height:36480" coordsize="56007,12192">
                  <v:shape id="Поле 19" o:spid="_x0000_s1208" type="#_x0000_t202" style="position:absolute;width:18669;height:12192;visibility:visible" fillcolor="window" strokeweight=".5pt">
                    <v:textbox style="mso-next-textbox:#Поле 19">
                      <w:txbxContent>
                        <w:p w14:paraId="307FB9CE" w14:textId="77777777" w:rsidR="007014C7" w:rsidRPr="00135E1F" w:rsidRDefault="007014C7" w:rsidP="000D55E4">
                          <w:pPr>
                            <w:pStyle w:val="Default"/>
                            <w:jc w:val="both"/>
                            <w:rPr>
                              <w:sz w:val="20"/>
                              <w:szCs w:val="20"/>
                            </w:rPr>
                          </w:pPr>
                          <w:r w:rsidRPr="00135E1F">
                            <w:rPr>
                              <w:sz w:val="20"/>
                              <w:szCs w:val="20"/>
                            </w:rPr>
                            <w:t xml:space="preserve">Л.В. Попова, Л.Н. Никулина </w:t>
                          </w:r>
                        </w:p>
                        <w:p w14:paraId="7E75FCD0" w14:textId="77777777" w:rsidR="007014C7" w:rsidRDefault="007014C7" w:rsidP="000D55E4"/>
                      </w:txbxContent>
                    </v:textbox>
                  </v:shape>
                  <v:shape id="Поле 20" o:spid="_x0000_s1209" type="#_x0000_t202" style="position:absolute;left:18669;width:18669;height:12192;visibility:visible" fillcolor="window" strokeweight=".5pt">
                    <v:textbox style="mso-next-textbox:#Поле 20">
                      <w:txbxContent>
                        <w:tbl>
                          <w:tblPr>
                            <w:tblW w:w="0" w:type="auto"/>
                            <w:tblLook w:val="0000" w:firstRow="0" w:lastRow="0" w:firstColumn="0" w:lastColumn="0" w:noHBand="0" w:noVBand="0"/>
                          </w:tblPr>
                          <w:tblGrid>
                            <w:gridCol w:w="1729"/>
                            <w:gridCol w:w="222"/>
                          </w:tblGrid>
                          <w:tr w:rsidR="007014C7" w:rsidRPr="00135E1F" w14:paraId="507A60E5" w14:textId="77777777" w:rsidTr="007E1183">
                            <w:trPr>
                              <w:trHeight w:val="578"/>
                            </w:trPr>
                            <w:tc>
                              <w:tcPr>
                                <w:tcW w:w="0" w:type="auto"/>
                              </w:tcPr>
                              <w:p w14:paraId="79184D92" w14:textId="77777777" w:rsidR="007014C7" w:rsidRPr="00135E1F" w:rsidRDefault="007014C7" w:rsidP="007E1183">
                                <w:pPr>
                                  <w:pStyle w:val="Default"/>
                                  <w:jc w:val="both"/>
                                  <w:rPr>
                                    <w:sz w:val="20"/>
                                    <w:szCs w:val="20"/>
                                  </w:rPr>
                                </w:pPr>
                                <w:r w:rsidRPr="00135E1F">
                                  <w:rPr>
                                    <w:sz w:val="20"/>
                                    <w:szCs w:val="20"/>
                                  </w:rPr>
                                  <w:t xml:space="preserve">Аудит </w:t>
                                </w:r>
                              </w:p>
                              <w:p w14:paraId="1A09F0B4" w14:textId="77777777" w:rsidR="007014C7" w:rsidRPr="00135E1F" w:rsidRDefault="007014C7" w:rsidP="007E1183">
                                <w:pPr>
                                  <w:jc w:val="both"/>
                                  <w:rPr>
                                    <w:rFonts w:ascii="Times New Roman" w:hAnsi="Times New Roman"/>
                                    <w:sz w:val="20"/>
                                    <w:szCs w:val="20"/>
                                  </w:rPr>
                                </w:pPr>
                                <w:r w:rsidRPr="00135E1F">
                                  <w:rPr>
                                    <w:rFonts w:ascii="Times New Roman" w:hAnsi="Times New Roman"/>
                                    <w:sz w:val="20"/>
                                    <w:szCs w:val="20"/>
                                  </w:rPr>
                                  <w:t xml:space="preserve">налогообложения </w:t>
                                </w:r>
                              </w:p>
                              <w:p w14:paraId="10FDAA0E" w14:textId="77777777" w:rsidR="007014C7" w:rsidRPr="00135E1F" w:rsidRDefault="007014C7" w:rsidP="007E1183">
                                <w:pPr>
                                  <w:pStyle w:val="Default"/>
                                  <w:jc w:val="both"/>
                                  <w:rPr>
                                    <w:sz w:val="20"/>
                                    <w:szCs w:val="20"/>
                                  </w:rPr>
                                </w:pPr>
                              </w:p>
                            </w:tc>
                            <w:tc>
                              <w:tcPr>
                                <w:tcW w:w="0" w:type="auto"/>
                              </w:tcPr>
                              <w:p w14:paraId="774AF2BF" w14:textId="77777777" w:rsidR="007014C7" w:rsidRPr="00135E1F" w:rsidRDefault="007014C7" w:rsidP="007E1183">
                                <w:pPr>
                                  <w:pStyle w:val="Default"/>
                                  <w:jc w:val="both"/>
                                  <w:rPr>
                                    <w:sz w:val="20"/>
                                    <w:szCs w:val="20"/>
                                  </w:rPr>
                                </w:pPr>
                              </w:p>
                            </w:tc>
                          </w:tr>
                        </w:tbl>
                        <w:p w14:paraId="7A292896" w14:textId="77777777" w:rsidR="007014C7" w:rsidRDefault="007014C7" w:rsidP="000D55E4"/>
                        <w:p w14:paraId="2191599E" w14:textId="77777777" w:rsidR="007014C7" w:rsidRDefault="007014C7" w:rsidP="000D55E4"/>
                        <w:p w14:paraId="7673E5AE" w14:textId="77777777" w:rsidR="007014C7" w:rsidRDefault="007014C7" w:rsidP="000D55E4"/>
                        <w:p w14:paraId="041D98D7" w14:textId="77777777" w:rsidR="007014C7" w:rsidRDefault="007014C7" w:rsidP="000D55E4"/>
                        <w:p w14:paraId="129BB719" w14:textId="77777777" w:rsidR="007014C7" w:rsidRPr="00135E1F" w:rsidRDefault="007014C7" w:rsidP="000D55E4">
                          <w:pPr>
                            <w:pStyle w:val="Default"/>
                            <w:jc w:val="both"/>
                            <w:rPr>
                              <w:sz w:val="20"/>
                              <w:szCs w:val="20"/>
                            </w:rPr>
                          </w:pPr>
                          <w:r w:rsidRPr="00135E1F">
                            <w:rPr>
                              <w:sz w:val="20"/>
                              <w:szCs w:val="20"/>
                            </w:rPr>
                            <w:t xml:space="preserve">Налоговый аудит </w:t>
                          </w:r>
                        </w:p>
                        <w:p w14:paraId="5AB7C0C5" w14:textId="77777777" w:rsidR="007014C7" w:rsidRDefault="007014C7" w:rsidP="000D55E4"/>
                        <w:p w14:paraId="55B33694" w14:textId="77777777" w:rsidR="007014C7" w:rsidRDefault="007014C7" w:rsidP="000D55E4"/>
                        <w:p w14:paraId="4455F193" w14:textId="77777777" w:rsidR="007014C7" w:rsidRDefault="007014C7" w:rsidP="000D55E4"/>
                        <w:p w14:paraId="1C2776EB" w14:textId="77777777" w:rsidR="007014C7" w:rsidRDefault="007014C7" w:rsidP="000D55E4"/>
                        <w:p w14:paraId="15342E60" w14:textId="77777777" w:rsidR="007014C7" w:rsidRDefault="007014C7" w:rsidP="000D55E4"/>
                        <w:p w14:paraId="5EB89DE8" w14:textId="77777777" w:rsidR="007014C7" w:rsidRDefault="007014C7" w:rsidP="000D55E4"/>
                        <w:p w14:paraId="7D62D461" w14:textId="77777777" w:rsidR="007014C7" w:rsidRDefault="007014C7" w:rsidP="000D55E4"/>
                        <w:p w14:paraId="078B034E" w14:textId="77777777" w:rsidR="007014C7" w:rsidRDefault="007014C7" w:rsidP="000D55E4"/>
                        <w:p w14:paraId="492506DD" w14:textId="77777777" w:rsidR="007014C7" w:rsidRDefault="007014C7" w:rsidP="000D55E4"/>
                      </w:txbxContent>
                    </v:textbox>
                  </v:shape>
                  <v:shape id="Поле 21" o:spid="_x0000_s1210" type="#_x0000_t202" style="position:absolute;left:37338;width:18669;height:12192;visibility:visible" fillcolor="window" strokeweight=".5pt">
                    <v:textbox style="mso-next-textbox:#Поле 21">
                      <w:txbxContent>
                        <w:p w14:paraId="15F56A14" w14:textId="77777777" w:rsidR="007014C7" w:rsidRPr="00135E1F" w:rsidRDefault="007014C7" w:rsidP="000D55E4">
                          <w:pPr>
                            <w:pStyle w:val="Default"/>
                            <w:jc w:val="both"/>
                            <w:rPr>
                              <w:sz w:val="20"/>
                              <w:szCs w:val="20"/>
                            </w:rPr>
                          </w:pPr>
                          <w:r w:rsidRPr="00135E1F">
                            <w:rPr>
                              <w:sz w:val="20"/>
                              <w:szCs w:val="20"/>
                            </w:rPr>
                            <w:t xml:space="preserve">Аудит налогообложения представляет собой независимую экспертную проверку состояния систем налогового и бухгалтерского учета, расчетов организации по налогам и сборам, а также разработку комплекса мер по защите предприятия от привлечения к налоговой ответственности. </w:t>
                          </w:r>
                        </w:p>
                        <w:p w14:paraId="31CD0C16" w14:textId="77777777" w:rsidR="007014C7" w:rsidRDefault="007014C7" w:rsidP="000D55E4">
                          <w:pPr>
                            <w:pStyle w:val="Default"/>
                            <w:jc w:val="both"/>
                            <w:rPr>
                              <w:sz w:val="20"/>
                              <w:szCs w:val="20"/>
                            </w:rPr>
                          </w:pPr>
                        </w:p>
                        <w:p w14:paraId="1F573B71" w14:textId="77777777" w:rsidR="007014C7" w:rsidRPr="00135E1F" w:rsidRDefault="007014C7" w:rsidP="000D55E4">
                          <w:pPr>
                            <w:pStyle w:val="Default"/>
                            <w:jc w:val="both"/>
                            <w:rPr>
                              <w:sz w:val="20"/>
                              <w:szCs w:val="20"/>
                            </w:rPr>
                          </w:pPr>
                          <w:r w:rsidRPr="00135E1F">
                            <w:rPr>
                              <w:sz w:val="20"/>
                              <w:szCs w:val="20"/>
                            </w:rPr>
                            <w:t>Налоговый аудит – это независимая проверка состояния бухгалтерского и налогового учета, а также расчетов организации по налогам и сборам, это экспертиза налоговых платежей клиента с целью выявления налоговых рисков и резервов снижен</w:t>
                          </w:r>
                          <w:r>
                            <w:rPr>
                              <w:sz w:val="20"/>
                              <w:szCs w:val="20"/>
                            </w:rPr>
                            <w:t>ия налоговой нагрузки на бизнес.</w:t>
                          </w:r>
                        </w:p>
                        <w:p w14:paraId="7FD8715F" w14:textId="77777777" w:rsidR="007014C7" w:rsidRPr="00901671" w:rsidRDefault="007014C7" w:rsidP="000D55E4">
                          <w:pPr>
                            <w:jc w:val="both"/>
                            <w:rPr>
                              <w:rFonts w:ascii="Times New Roman" w:hAnsi="Times New Roman"/>
                            </w:rPr>
                          </w:pPr>
                        </w:p>
                      </w:txbxContent>
                    </v:textbox>
                  </v:shape>
                </v:group>
              </v:group>
              <v:group id="Группа 30" o:spid="_x0000_s1211" style="position:absolute;top:52482;width:56007;height:19336" coordsize="56007,36480">
                <v:shape id="Поле 25" o:spid="_x0000_s1212" type="#_x0000_t202" style="position:absolute;width:18669;height:36480;visibility:visible" fillcolor="window" strokeweight=".5pt">
                  <v:textbox style="mso-next-textbox:#Поле 25">
                    <w:txbxContent>
                      <w:p w14:paraId="3E7DF705" w14:textId="77777777" w:rsidR="007014C7" w:rsidRDefault="007014C7" w:rsidP="000D55E4">
                        <w:r w:rsidRPr="00097904">
                          <w:rPr>
                            <w:rFonts w:ascii="Times New Roman" w:hAnsi="Times New Roman"/>
                            <w:color w:val="000000"/>
                            <w:sz w:val="20"/>
                            <w:szCs w:val="20"/>
                          </w:rPr>
                          <w:t>А.А. Савин, А.А. Савина</w:t>
                        </w:r>
                      </w:p>
                    </w:txbxContent>
                  </v:textbox>
                </v:shape>
                <v:shape id="Поле 26" o:spid="_x0000_s1213" type="#_x0000_t202" style="position:absolute;left:18669;width:18669;height:36480;visibility:visible" fillcolor="window" strokeweight=".5pt">
                  <v:textbox style="mso-next-textbox:#Поле 26">
                    <w:txbxContent>
                      <w:tbl>
                        <w:tblPr>
                          <w:tblW w:w="0" w:type="auto"/>
                          <w:tblLook w:val="0000" w:firstRow="0" w:lastRow="0" w:firstColumn="0" w:lastColumn="0" w:noHBand="0" w:noVBand="0"/>
                        </w:tblPr>
                        <w:tblGrid>
                          <w:gridCol w:w="1729"/>
                          <w:gridCol w:w="222"/>
                        </w:tblGrid>
                        <w:tr w:rsidR="007014C7" w:rsidRPr="00135E1F" w14:paraId="03F72E61" w14:textId="77777777" w:rsidTr="007E1183">
                          <w:trPr>
                            <w:trHeight w:val="578"/>
                          </w:trPr>
                          <w:tc>
                            <w:tcPr>
                              <w:tcW w:w="0" w:type="auto"/>
                            </w:tcPr>
                            <w:p w14:paraId="5E01D880" w14:textId="77777777" w:rsidR="007014C7" w:rsidRPr="00135E1F" w:rsidRDefault="007014C7" w:rsidP="007E1183">
                              <w:pPr>
                                <w:pStyle w:val="Default"/>
                                <w:jc w:val="both"/>
                                <w:rPr>
                                  <w:sz w:val="20"/>
                                  <w:szCs w:val="20"/>
                                </w:rPr>
                              </w:pPr>
                              <w:r w:rsidRPr="00135E1F">
                                <w:rPr>
                                  <w:sz w:val="20"/>
                                  <w:szCs w:val="20"/>
                                </w:rPr>
                                <w:t xml:space="preserve">Аудит </w:t>
                              </w:r>
                            </w:p>
                            <w:p w14:paraId="1F7C4DD7" w14:textId="77777777" w:rsidR="007014C7" w:rsidRPr="00135E1F" w:rsidRDefault="007014C7" w:rsidP="007E1183">
                              <w:pPr>
                                <w:jc w:val="both"/>
                                <w:rPr>
                                  <w:rFonts w:ascii="Times New Roman" w:hAnsi="Times New Roman"/>
                                  <w:sz w:val="20"/>
                                  <w:szCs w:val="20"/>
                                </w:rPr>
                              </w:pPr>
                              <w:r w:rsidRPr="00135E1F">
                                <w:rPr>
                                  <w:rFonts w:ascii="Times New Roman" w:hAnsi="Times New Roman"/>
                                  <w:sz w:val="20"/>
                                  <w:szCs w:val="20"/>
                                </w:rPr>
                                <w:t xml:space="preserve">налогообложения </w:t>
                              </w:r>
                            </w:p>
                            <w:p w14:paraId="6BDFDFC2" w14:textId="77777777" w:rsidR="007014C7" w:rsidRPr="00135E1F" w:rsidRDefault="007014C7" w:rsidP="007E1183">
                              <w:pPr>
                                <w:pStyle w:val="Default"/>
                                <w:jc w:val="both"/>
                                <w:rPr>
                                  <w:sz w:val="20"/>
                                  <w:szCs w:val="20"/>
                                </w:rPr>
                              </w:pPr>
                            </w:p>
                          </w:tc>
                          <w:tc>
                            <w:tcPr>
                              <w:tcW w:w="0" w:type="auto"/>
                            </w:tcPr>
                            <w:p w14:paraId="41F9AE5E" w14:textId="77777777" w:rsidR="007014C7" w:rsidRPr="00135E1F" w:rsidRDefault="007014C7" w:rsidP="007E1183">
                              <w:pPr>
                                <w:pStyle w:val="Default"/>
                                <w:jc w:val="both"/>
                                <w:rPr>
                                  <w:sz w:val="20"/>
                                  <w:szCs w:val="20"/>
                                </w:rPr>
                              </w:pPr>
                            </w:p>
                          </w:tc>
                        </w:tr>
                      </w:tbl>
                      <w:p w14:paraId="00F03A6D" w14:textId="77777777" w:rsidR="007014C7" w:rsidRDefault="007014C7" w:rsidP="000D55E4"/>
                      <w:p w14:paraId="6930E822" w14:textId="77777777" w:rsidR="007014C7" w:rsidRDefault="007014C7" w:rsidP="000D55E4"/>
                      <w:p w14:paraId="20E36DAB" w14:textId="77777777" w:rsidR="007014C7" w:rsidRDefault="007014C7" w:rsidP="000D55E4"/>
                      <w:p w14:paraId="32D85219" w14:textId="77777777" w:rsidR="007014C7" w:rsidRDefault="007014C7" w:rsidP="000D55E4"/>
                      <w:p w14:paraId="0CE19BC3" w14:textId="77777777" w:rsidR="007014C7" w:rsidRDefault="007014C7" w:rsidP="000D55E4"/>
                      <w:p w14:paraId="63966B72" w14:textId="77777777" w:rsidR="007014C7" w:rsidRDefault="007014C7" w:rsidP="000D55E4"/>
                      <w:p w14:paraId="23536548" w14:textId="77777777" w:rsidR="007014C7" w:rsidRDefault="007014C7" w:rsidP="000D55E4"/>
                      <w:p w14:paraId="271AE1F2" w14:textId="77777777" w:rsidR="007014C7" w:rsidRDefault="007014C7" w:rsidP="000D55E4"/>
                      <w:p w14:paraId="4AE5B7AF" w14:textId="77777777" w:rsidR="007014C7" w:rsidRDefault="007014C7" w:rsidP="000D55E4"/>
                      <w:p w14:paraId="3955E093" w14:textId="77777777" w:rsidR="007014C7" w:rsidRDefault="007014C7" w:rsidP="000D55E4"/>
                      <w:p w14:paraId="12C42424" w14:textId="77777777" w:rsidR="007014C7" w:rsidRDefault="007014C7" w:rsidP="000D55E4"/>
                      <w:p w14:paraId="379CA55B" w14:textId="77777777" w:rsidR="007014C7" w:rsidRDefault="007014C7" w:rsidP="000D55E4"/>
                      <w:p w14:paraId="5ABF93C4" w14:textId="77777777" w:rsidR="007014C7" w:rsidRDefault="007014C7" w:rsidP="000D55E4"/>
                    </w:txbxContent>
                  </v:textbox>
                </v:shape>
                <v:shape id="Поле 27" o:spid="_x0000_s1214" type="#_x0000_t202" style="position:absolute;left:37338;width:18669;height:36480;visibility:visible" fillcolor="window" strokeweight=".5pt">
                  <v:textbox style="mso-next-textbox:#Поле 27">
                    <w:txbxContent>
                      <w:p w14:paraId="21A608A1" w14:textId="77777777" w:rsidR="007014C7" w:rsidRPr="00097904" w:rsidRDefault="007014C7" w:rsidP="000D55E4">
                        <w:pPr>
                          <w:pStyle w:val="Default"/>
                          <w:jc w:val="both"/>
                          <w:rPr>
                            <w:sz w:val="20"/>
                            <w:szCs w:val="20"/>
                          </w:rPr>
                        </w:pPr>
                        <w:r w:rsidRPr="00097904">
                          <w:rPr>
                            <w:sz w:val="20"/>
                            <w:szCs w:val="20"/>
                          </w:rPr>
                          <w:t xml:space="preserve">Аудит налогообложения – сложный и трудоемкий процесс, подразумевающий тщательную проверку соблюдения законодательства о налогах и сборах, правильности исчисления, полноты и своевременности уплаты налогов и сборов, а также контроль устранения выявленных нарушений </w:t>
                        </w:r>
                      </w:p>
                      <w:p w14:paraId="29D6B04F" w14:textId="77777777" w:rsidR="007014C7" w:rsidRPr="00135E1F" w:rsidRDefault="007014C7" w:rsidP="000D55E4">
                        <w:pPr>
                          <w:pStyle w:val="Default"/>
                          <w:jc w:val="both"/>
                          <w:rPr>
                            <w:sz w:val="20"/>
                            <w:szCs w:val="20"/>
                          </w:rPr>
                        </w:pPr>
                        <w:r w:rsidRPr="00135E1F">
                          <w:rPr>
                            <w:sz w:val="20"/>
                            <w:szCs w:val="20"/>
                          </w:rPr>
                          <w:t xml:space="preserve"> </w:t>
                        </w:r>
                      </w:p>
                      <w:p w14:paraId="71DCB018" w14:textId="77777777" w:rsidR="007014C7" w:rsidRPr="00901671" w:rsidRDefault="007014C7" w:rsidP="000D55E4">
                        <w:pPr>
                          <w:jc w:val="both"/>
                          <w:rPr>
                            <w:rFonts w:ascii="Times New Roman" w:hAnsi="Times New Roman"/>
                          </w:rPr>
                        </w:pPr>
                      </w:p>
                    </w:txbxContent>
                  </v:textbox>
                </v:shape>
              </v:group>
            </v:group>
            <v:group id="Группа 35" o:spid="_x0000_s1215" style="position:absolute;top:69342;width:56007;height:27241" coordsize="56007,18669">
              <v:shape id="Поле 32" o:spid="_x0000_s1216" type="#_x0000_t202" style="position:absolute;width:18669;height:18669;visibility:visible" fillcolor="window" strokeweight=".5pt">
                <v:textbox style="mso-next-textbox:#Поле 32">
                  <w:txbxContent>
                    <w:p w14:paraId="7004361E" w14:textId="77777777" w:rsidR="007014C7" w:rsidRPr="00135E1F" w:rsidRDefault="007014C7" w:rsidP="000D55E4">
                      <w:pPr>
                        <w:pStyle w:val="Default"/>
                        <w:jc w:val="both"/>
                        <w:rPr>
                          <w:sz w:val="20"/>
                          <w:szCs w:val="20"/>
                        </w:rPr>
                      </w:pPr>
                      <w:r w:rsidRPr="00135E1F">
                        <w:rPr>
                          <w:sz w:val="20"/>
                          <w:szCs w:val="20"/>
                        </w:rPr>
                        <w:t xml:space="preserve">Методика аудиторской деятельности </w:t>
                      </w:r>
                    </w:p>
                    <w:p w14:paraId="4B644A8D" w14:textId="77777777" w:rsidR="007014C7" w:rsidRDefault="007014C7" w:rsidP="000D55E4"/>
                  </w:txbxContent>
                </v:textbox>
              </v:shape>
              <v:shape id="Поле 33" o:spid="_x0000_s1217" type="#_x0000_t202" style="position:absolute;left:18669;width:18669;height:18669;visibility:visible" fillcolor="window" strokeweight=".5pt">
                <v:textbox style="mso-next-textbox:#Поле 33">
                  <w:txbxContent>
                    <w:tbl>
                      <w:tblPr>
                        <w:tblW w:w="0" w:type="auto"/>
                        <w:tblLook w:val="0000" w:firstRow="0" w:lastRow="0" w:firstColumn="0" w:lastColumn="0" w:noHBand="0" w:noVBand="0"/>
                      </w:tblPr>
                      <w:tblGrid>
                        <w:gridCol w:w="1702"/>
                        <w:gridCol w:w="222"/>
                      </w:tblGrid>
                      <w:tr w:rsidR="007014C7" w:rsidRPr="00135E1F" w14:paraId="55F7D5B0" w14:textId="77777777" w:rsidTr="007E1183">
                        <w:trPr>
                          <w:trHeight w:val="578"/>
                        </w:trPr>
                        <w:tc>
                          <w:tcPr>
                            <w:tcW w:w="0" w:type="auto"/>
                          </w:tcPr>
                          <w:p w14:paraId="640F1BEA" w14:textId="77777777" w:rsidR="007014C7" w:rsidRPr="00135E1F" w:rsidRDefault="007014C7" w:rsidP="007E1183">
                            <w:pPr>
                              <w:pStyle w:val="Default"/>
                              <w:jc w:val="both"/>
                              <w:rPr>
                                <w:sz w:val="20"/>
                                <w:szCs w:val="20"/>
                              </w:rPr>
                            </w:pPr>
                            <w:r w:rsidRPr="00135E1F">
                              <w:rPr>
                                <w:sz w:val="20"/>
                                <w:szCs w:val="20"/>
                              </w:rPr>
                              <w:t xml:space="preserve">Налоговый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аудит</w:instrText>
                            </w:r>
                            <w:r>
                              <w:rPr>
                                <w:spacing w:val="-20000"/>
                                <w:sz w:val="1"/>
                                <w:szCs w:val="1"/>
                                <w:highlight w:val="white"/>
                              </w:rPr>
                              <w:fldChar w:fldCharType="end"/>
                            </w:r>
                            <w:r>
                              <w:rPr>
                                <w:sz w:val="20"/>
                                <w:szCs w:val="20"/>
                              </w:rPr>
                              <w:t xml:space="preserve"> </w:t>
                            </w:r>
                          </w:p>
                          <w:p w14:paraId="082C48EB" w14:textId="77777777" w:rsidR="007014C7" w:rsidRPr="00135E1F" w:rsidRDefault="007014C7" w:rsidP="007E1183">
                            <w:pPr>
                              <w:pStyle w:val="Default"/>
                              <w:jc w:val="both"/>
                              <w:rPr>
                                <w:sz w:val="20"/>
                                <w:szCs w:val="20"/>
                              </w:rPr>
                            </w:pPr>
                          </w:p>
                        </w:tc>
                        <w:tc>
                          <w:tcPr>
                            <w:tcW w:w="0" w:type="auto"/>
                          </w:tcPr>
                          <w:p w14:paraId="2677290C" w14:textId="77777777" w:rsidR="007014C7" w:rsidRPr="00135E1F" w:rsidRDefault="007014C7" w:rsidP="007E1183">
                            <w:pPr>
                              <w:pStyle w:val="Default"/>
                              <w:jc w:val="both"/>
                              <w:rPr>
                                <w:sz w:val="20"/>
                                <w:szCs w:val="20"/>
                              </w:rPr>
                            </w:pPr>
                          </w:p>
                        </w:tc>
                      </w:tr>
                    </w:tbl>
                    <w:p w14:paraId="249BF8C6" w14:textId="77777777" w:rsidR="007014C7" w:rsidRDefault="007014C7" w:rsidP="000D55E4"/>
                    <w:p w14:paraId="0EF46479" w14:textId="77777777" w:rsidR="007014C7" w:rsidRDefault="007014C7" w:rsidP="000D55E4"/>
                    <w:p w14:paraId="3AB58C42" w14:textId="77777777" w:rsidR="007014C7" w:rsidRDefault="007014C7" w:rsidP="000D55E4"/>
                    <w:p w14:paraId="4EA9BA15" w14:textId="77777777" w:rsidR="007014C7" w:rsidRDefault="007014C7" w:rsidP="000D55E4"/>
                    <w:p w14:paraId="7332107B" w14:textId="77777777" w:rsidR="007014C7" w:rsidRDefault="007014C7" w:rsidP="000D55E4"/>
                    <w:p w14:paraId="5D98A3F1" w14:textId="77777777" w:rsidR="007014C7" w:rsidRDefault="007014C7" w:rsidP="000D55E4"/>
                    <w:p w14:paraId="50C86B8C" w14:textId="77777777" w:rsidR="007014C7" w:rsidRDefault="007014C7" w:rsidP="000D55E4"/>
                    <w:p w14:paraId="60EDCC55" w14:textId="77777777" w:rsidR="007014C7" w:rsidRDefault="007014C7" w:rsidP="000D55E4"/>
                    <w:p w14:paraId="3BBB8815" w14:textId="77777777" w:rsidR="007014C7" w:rsidRDefault="007014C7" w:rsidP="000D55E4"/>
                    <w:p w14:paraId="55B91B0D" w14:textId="77777777" w:rsidR="007014C7" w:rsidRDefault="007014C7" w:rsidP="000D55E4"/>
                    <w:p w14:paraId="6810F0D1" w14:textId="77777777" w:rsidR="007014C7" w:rsidRDefault="007014C7" w:rsidP="000D55E4"/>
                    <w:p w14:paraId="74E797DC" w14:textId="77777777" w:rsidR="007014C7" w:rsidRDefault="007014C7" w:rsidP="000D55E4"/>
                    <w:p w14:paraId="25AF7EAE" w14:textId="77777777" w:rsidR="007014C7" w:rsidRDefault="007014C7" w:rsidP="000D55E4"/>
                  </w:txbxContent>
                </v:textbox>
              </v:shape>
              <v:shape id="Поле 34" o:spid="_x0000_s1218" type="#_x0000_t202" style="position:absolute;left:37338;width:18669;height:18669;visibility:visible" fillcolor="window" strokeweight=".5pt">
                <v:textbox style="mso-next-textbox:#Поле 34">
                  <w:txbxContent>
                    <w:p w14:paraId="2E403076" w14:textId="77777777" w:rsidR="007014C7" w:rsidRPr="00097904" w:rsidRDefault="007014C7" w:rsidP="000D55E4">
                      <w:pPr>
                        <w:pStyle w:val="Default"/>
                        <w:rPr>
                          <w:sz w:val="20"/>
                          <w:szCs w:val="20"/>
                        </w:rPr>
                      </w:pPr>
                      <w:r w:rsidRPr="00097904">
                        <w:rPr>
                          <w:sz w:val="20"/>
                          <w:szCs w:val="20"/>
                        </w:rPr>
                        <w:t xml:space="preserve">Налоговый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аудит</w:instrText>
                      </w:r>
                      <w:r>
                        <w:rPr>
                          <w:spacing w:val="-20000"/>
                          <w:sz w:val="1"/>
                          <w:szCs w:val="1"/>
                          <w:highlight w:val="white"/>
                        </w:rPr>
                        <w:fldChar w:fldCharType="end"/>
                      </w:r>
                      <w:r>
                        <w:rPr>
                          <w:sz w:val="20"/>
                          <w:szCs w:val="20"/>
                        </w:rPr>
                        <w:t xml:space="preserve"> –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выполнение</w:instrText>
                      </w:r>
                      <w:r>
                        <w:rPr>
                          <w:spacing w:val="-20000"/>
                          <w:sz w:val="1"/>
                          <w:szCs w:val="1"/>
                          <w:highlight w:val="white"/>
                        </w:rPr>
                        <w:fldChar w:fldCharType="end"/>
                      </w:r>
                      <w:r>
                        <w:rPr>
                          <w:sz w:val="20"/>
                          <w:szCs w:val="20"/>
                        </w:rPr>
                        <w:t xml:space="preserve"> аудиторской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организацией</w:instrText>
                      </w:r>
                      <w:r>
                        <w:rPr>
                          <w:spacing w:val="-20000"/>
                          <w:sz w:val="1"/>
                          <w:szCs w:val="1"/>
                          <w:highlight w:val="white"/>
                        </w:rPr>
                        <w:fldChar w:fldCharType="end"/>
                      </w:r>
                      <w:r>
                        <w:rPr>
                          <w:sz w:val="20"/>
                          <w:szCs w:val="20"/>
                        </w:rPr>
                        <w:t xml:space="preserve"> специального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аудиторского</w:instrText>
                      </w:r>
                      <w:r>
                        <w:rPr>
                          <w:spacing w:val="-20000"/>
                          <w:sz w:val="1"/>
                          <w:szCs w:val="1"/>
                          <w:highlight w:val="white"/>
                        </w:rPr>
                        <w:fldChar w:fldCharType="end"/>
                      </w:r>
                      <w:r>
                        <w:rPr>
                          <w:sz w:val="20"/>
                          <w:szCs w:val="20"/>
                        </w:rPr>
                        <w:t xml:space="preserve"> задания по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рассмотрению</w:instrText>
                      </w:r>
                      <w:r>
                        <w:rPr>
                          <w:spacing w:val="-20000"/>
                          <w:sz w:val="1"/>
                          <w:szCs w:val="1"/>
                          <w:highlight w:val="white"/>
                        </w:rPr>
                        <w:fldChar w:fldCharType="end"/>
                      </w:r>
                      <w:r>
                        <w:rPr>
                          <w:sz w:val="20"/>
                          <w:szCs w:val="20"/>
                        </w:rPr>
                        <w:t xml:space="preserve"> бухгалтерских и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налоговых</w:instrText>
                      </w:r>
                      <w:r>
                        <w:rPr>
                          <w:spacing w:val="-20000"/>
                          <w:sz w:val="1"/>
                          <w:szCs w:val="1"/>
                          <w:highlight w:val="white"/>
                        </w:rPr>
                        <w:fldChar w:fldCharType="end"/>
                      </w:r>
                      <w:r>
                        <w:rPr>
                          <w:sz w:val="20"/>
                          <w:szCs w:val="20"/>
                        </w:rPr>
                        <w:t xml:space="preserve"> отчетов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экономического</w:instrText>
                      </w:r>
                      <w:r>
                        <w:rPr>
                          <w:spacing w:val="-20000"/>
                          <w:sz w:val="1"/>
                          <w:szCs w:val="1"/>
                          <w:highlight w:val="white"/>
                        </w:rPr>
                        <w:fldChar w:fldCharType="end"/>
                      </w:r>
                      <w:r>
                        <w:rPr>
                          <w:sz w:val="20"/>
                          <w:szCs w:val="20"/>
                        </w:rPr>
                        <w:t xml:space="preserve"> субъекта с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целью</w:instrText>
                      </w:r>
                      <w:r>
                        <w:rPr>
                          <w:spacing w:val="-20000"/>
                          <w:sz w:val="1"/>
                          <w:szCs w:val="1"/>
                          <w:highlight w:val="white"/>
                        </w:rPr>
                        <w:fldChar w:fldCharType="end"/>
                      </w:r>
                      <w:r>
                        <w:rPr>
                          <w:sz w:val="20"/>
                          <w:szCs w:val="20"/>
                        </w:rPr>
                        <w:t xml:space="preserve"> выражения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мнения</w:instrText>
                      </w:r>
                      <w:r>
                        <w:rPr>
                          <w:spacing w:val="-20000"/>
                          <w:sz w:val="1"/>
                          <w:szCs w:val="1"/>
                          <w:highlight w:val="white"/>
                        </w:rPr>
                        <w:fldChar w:fldCharType="end"/>
                      </w:r>
                      <w:r>
                        <w:rPr>
                          <w:sz w:val="20"/>
                          <w:szCs w:val="20"/>
                        </w:rPr>
                        <w:t xml:space="preserve"> о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степени</w:instrText>
                      </w:r>
                      <w:r>
                        <w:rPr>
                          <w:spacing w:val="-20000"/>
                          <w:sz w:val="1"/>
                          <w:szCs w:val="1"/>
                          <w:highlight w:val="white"/>
                        </w:rPr>
                        <w:fldChar w:fldCharType="end"/>
                      </w:r>
                      <w:r>
                        <w:rPr>
                          <w:sz w:val="20"/>
                          <w:szCs w:val="20"/>
                        </w:rPr>
                        <w:t xml:space="preserve"> достоверности и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соответствия</w:instrText>
                      </w:r>
                      <w:r>
                        <w:rPr>
                          <w:spacing w:val="-20000"/>
                          <w:sz w:val="1"/>
                          <w:szCs w:val="1"/>
                          <w:highlight w:val="white"/>
                        </w:rPr>
                        <w:fldChar w:fldCharType="end"/>
                      </w:r>
                      <w:r>
                        <w:rPr>
                          <w:sz w:val="20"/>
                          <w:szCs w:val="20"/>
                        </w:rPr>
                        <w:t xml:space="preserve"> во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всех</w:instrText>
                      </w:r>
                      <w:r>
                        <w:rPr>
                          <w:spacing w:val="-20000"/>
                          <w:sz w:val="1"/>
                          <w:szCs w:val="1"/>
                          <w:highlight w:val="white"/>
                        </w:rPr>
                        <w:fldChar w:fldCharType="end"/>
                      </w:r>
                      <w:r>
                        <w:rPr>
                          <w:sz w:val="20"/>
                          <w:szCs w:val="20"/>
                        </w:rPr>
                        <w:t xml:space="preserve"> существенных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аспектах</w:instrText>
                      </w:r>
                      <w:r>
                        <w:rPr>
                          <w:spacing w:val="-20000"/>
                          <w:sz w:val="1"/>
                          <w:szCs w:val="1"/>
                          <w:highlight w:val="white"/>
                        </w:rPr>
                        <w:fldChar w:fldCharType="end"/>
                      </w:r>
                      <w:r>
                        <w:rPr>
                          <w:sz w:val="20"/>
                          <w:szCs w:val="20"/>
                        </w:rPr>
                        <w:t xml:space="preserve"> нормам,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установленным</w:instrText>
                      </w:r>
                      <w:r>
                        <w:rPr>
                          <w:spacing w:val="-20000"/>
                          <w:sz w:val="1"/>
                          <w:szCs w:val="1"/>
                          <w:highlight w:val="white"/>
                        </w:rPr>
                        <w:fldChar w:fldCharType="end"/>
                      </w:r>
                      <w:r>
                        <w:rPr>
                          <w:sz w:val="20"/>
                          <w:szCs w:val="20"/>
                        </w:rPr>
                        <w:t xml:space="preserve"> законодательством,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порядка</w:instrText>
                      </w:r>
                      <w:r>
                        <w:rPr>
                          <w:spacing w:val="-20000"/>
                          <w:sz w:val="1"/>
                          <w:szCs w:val="1"/>
                          <w:highlight w:val="white"/>
                        </w:rPr>
                        <w:fldChar w:fldCharType="end"/>
                      </w:r>
                      <w:r>
                        <w:rPr>
                          <w:sz w:val="20"/>
                          <w:szCs w:val="20"/>
                        </w:rPr>
                        <w:t xml:space="preserve"> формирования,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отражения</w:instrText>
                      </w:r>
                      <w:r>
                        <w:rPr>
                          <w:spacing w:val="-20000"/>
                          <w:sz w:val="1"/>
                          <w:szCs w:val="1"/>
                          <w:highlight w:val="white"/>
                        </w:rPr>
                        <w:fldChar w:fldCharType="end"/>
                      </w:r>
                      <w:r>
                        <w:rPr>
                          <w:sz w:val="20"/>
                          <w:szCs w:val="20"/>
                        </w:rPr>
                        <w:t xml:space="preserve"> в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учете</w:instrText>
                      </w:r>
                      <w:r>
                        <w:rPr>
                          <w:spacing w:val="-20000"/>
                          <w:sz w:val="1"/>
                          <w:szCs w:val="1"/>
                          <w:highlight w:val="white"/>
                        </w:rPr>
                        <w:fldChar w:fldCharType="end"/>
                      </w:r>
                      <w:r>
                        <w:rPr>
                          <w:sz w:val="20"/>
                          <w:szCs w:val="20"/>
                        </w:rPr>
                        <w:t xml:space="preserve"> и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уплаты</w:instrText>
                      </w:r>
                      <w:r>
                        <w:rPr>
                          <w:spacing w:val="-20000"/>
                          <w:sz w:val="1"/>
                          <w:szCs w:val="1"/>
                          <w:highlight w:val="white"/>
                        </w:rPr>
                        <w:fldChar w:fldCharType="end"/>
                      </w:r>
                      <w:r>
                        <w:rPr>
                          <w:sz w:val="20"/>
                          <w:szCs w:val="20"/>
                        </w:rPr>
                        <w:t xml:space="preserve"> экономическим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субъектом</w:instrText>
                      </w:r>
                      <w:r>
                        <w:rPr>
                          <w:spacing w:val="-20000"/>
                          <w:sz w:val="1"/>
                          <w:szCs w:val="1"/>
                          <w:highlight w:val="white"/>
                        </w:rPr>
                        <w:fldChar w:fldCharType="end"/>
                      </w:r>
                      <w:r>
                        <w:rPr>
                          <w:sz w:val="20"/>
                          <w:szCs w:val="20"/>
                        </w:rPr>
                        <w:t xml:space="preserve"> налогов и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других</w:instrText>
                      </w:r>
                      <w:r>
                        <w:rPr>
                          <w:spacing w:val="-20000"/>
                          <w:sz w:val="1"/>
                          <w:szCs w:val="1"/>
                          <w:highlight w:val="white"/>
                        </w:rPr>
                        <w:fldChar w:fldCharType="end"/>
                      </w:r>
                      <w:r>
                        <w:rPr>
                          <w:sz w:val="20"/>
                          <w:szCs w:val="20"/>
                        </w:rPr>
                        <w:t xml:space="preserve"> платежей в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бюджеты</w:instrText>
                      </w:r>
                      <w:r>
                        <w:rPr>
                          <w:spacing w:val="-20000"/>
                          <w:sz w:val="1"/>
                          <w:szCs w:val="1"/>
                          <w:highlight w:val="white"/>
                        </w:rPr>
                        <w:fldChar w:fldCharType="end"/>
                      </w:r>
                      <w:r>
                        <w:rPr>
                          <w:sz w:val="20"/>
                          <w:szCs w:val="20"/>
                        </w:rPr>
                        <w:t xml:space="preserve"> различных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уровней</w:instrText>
                      </w:r>
                      <w:r>
                        <w:rPr>
                          <w:spacing w:val="-20000"/>
                          <w:sz w:val="1"/>
                          <w:szCs w:val="1"/>
                          <w:highlight w:val="white"/>
                        </w:rPr>
                        <w:fldChar w:fldCharType="end"/>
                      </w:r>
                      <w:r>
                        <w:rPr>
                          <w:sz w:val="20"/>
                          <w:szCs w:val="20"/>
                        </w:rPr>
                        <w:t xml:space="preserve"> и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z w:val="20"/>
                          <w:szCs w:val="20"/>
                        </w:rPr>
                        <w:instrText>внебюджетные</w:instrText>
                      </w:r>
                      <w:r>
                        <w:rPr>
                          <w:spacing w:val="-20000"/>
                          <w:sz w:val="1"/>
                          <w:szCs w:val="1"/>
                          <w:highlight w:val="white"/>
                        </w:rPr>
                        <w:fldChar w:fldCharType="end"/>
                      </w:r>
                      <w:r>
                        <w:rPr>
                          <w:sz w:val="20"/>
                          <w:szCs w:val="20"/>
                        </w:rPr>
                        <w:t xml:space="preserve"> фонды  </w:t>
                      </w:r>
                    </w:p>
                    <w:p w14:paraId="69EBF4E0" w14:textId="77777777" w:rsidR="007014C7" w:rsidRPr="00135E1F" w:rsidRDefault="007014C7" w:rsidP="000D55E4">
                      <w:pPr>
                        <w:pStyle w:val="Default"/>
                        <w:jc w:val="both"/>
                        <w:rPr>
                          <w:sz w:val="20"/>
                          <w:szCs w:val="20"/>
                        </w:rPr>
                      </w:pPr>
                      <w:r w:rsidRPr="00135E1F">
                        <w:rPr>
                          <w:sz w:val="20"/>
                          <w:szCs w:val="20"/>
                        </w:rPr>
                        <w:t xml:space="preserve"> </w:t>
                      </w:r>
                      <w:r>
                        <w:rPr>
                          <w:spacing w:val="-20000"/>
                          <w:sz w:val="1"/>
                          <w:szCs w:val="1"/>
                          <w:highlight w:val="white"/>
                        </w:rPr>
                        <w:fldChar w:fldCharType="begin"/>
                      </w:r>
                      <w:r>
                        <w:rPr>
                          <w:spacing w:val="-20000"/>
                          <w:sz w:val="1"/>
                          <w:szCs w:val="1"/>
                          <w:highlight w:val="white"/>
                        </w:rPr>
                        <w:instrText xml:space="preserve">eq </w:instrText>
                      </w:r>
                      <w:r>
                        <w:rPr>
                          <w:noProof/>
                          <w:color w:val="FFFFFE"/>
                          <w:spacing w:val="-20000"/>
                          <w:sz w:val="20"/>
                          <w:szCs w:val="20"/>
                          <w:highlight w:val="white"/>
                          <w:lang w:eastAsia="ru-RU"/>
                        </w:rPr>
                        <w:instrText xml:space="preserve">ре </w:instrText>
                      </w:r>
                      <w:r>
                        <w:rPr>
                          <w:spacing w:val="-20000"/>
                          <w:sz w:val="1"/>
                          <w:szCs w:val="1"/>
                          <w:highlight w:val="white"/>
                        </w:rPr>
                        <w:fldChar w:fldCharType="end"/>
                      </w:r>
                    </w:p>
                    <w:p w14:paraId="2633CEB9" w14:textId="77777777" w:rsidR="007014C7" w:rsidRPr="00901671" w:rsidRDefault="007014C7" w:rsidP="000D55E4">
                      <w:pPr>
                        <w:jc w:val="both"/>
                        <w:rPr>
                          <w:rFonts w:ascii="Times New Roman" w:hAnsi="Times New Roman"/>
                        </w:rPr>
                      </w:pPr>
                    </w:p>
                  </w:txbxContent>
                </v:textbox>
              </v:shape>
            </v:group>
          </v:group>
        </w:pict>
      </w:r>
    </w:p>
    <w:p w14:paraId="4B1D477B"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65BE1F1D"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6AFAB436"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042C5D41"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4D2E12B8"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308F224F"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5E6D6F63"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7B969857"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0FE634FD"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62A1F980"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300079F4"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299D8616"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491D2769"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6F5CD9ED"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4EF7FBD7"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740C982E"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15C78039"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527D639D"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5101B52C"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3C8EC45C"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326DC100"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0A821549"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66FDCF4E"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3BEE236D"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0CCC0888" w14:textId="77777777" w:rsidR="004E48F7" w:rsidRPr="000D55E4" w:rsidRDefault="004E48F7" w:rsidP="004E48F7">
      <w:pPr>
        <w:spacing w:after="0" w:line="240" w:lineRule="auto"/>
        <w:ind w:firstLine="709"/>
        <w:jc w:val="both"/>
        <w:rPr>
          <w:rFonts w:ascii="Times New Roman" w:hAnsi="Times New Roman" w:cs="Times New Roman"/>
          <w:color w:val="000000" w:themeColor="text1"/>
          <w:sz w:val="24"/>
          <w:szCs w:val="24"/>
        </w:rPr>
      </w:pPr>
    </w:p>
    <w:p w14:paraId="4A990D24" w14:textId="77777777" w:rsidR="004E48F7" w:rsidRPr="000D55E4" w:rsidRDefault="004E48F7" w:rsidP="004E48F7">
      <w:pPr>
        <w:spacing w:after="0" w:line="240" w:lineRule="auto"/>
        <w:jc w:val="both"/>
        <w:rPr>
          <w:rFonts w:ascii="Times New Roman" w:hAnsi="Times New Roman" w:cs="Times New Roman"/>
          <w:sz w:val="24"/>
          <w:szCs w:val="24"/>
        </w:rPr>
      </w:pPr>
    </w:p>
    <w:p w14:paraId="603CC4DB" w14:textId="77777777" w:rsidR="000D55E4" w:rsidRDefault="000D55E4" w:rsidP="004E48F7">
      <w:pPr>
        <w:spacing w:after="0" w:line="240" w:lineRule="auto"/>
        <w:ind w:firstLine="709"/>
        <w:jc w:val="both"/>
        <w:rPr>
          <w:rFonts w:ascii="Times New Roman" w:hAnsi="Times New Roman" w:cs="Times New Roman"/>
          <w:sz w:val="24"/>
          <w:szCs w:val="24"/>
        </w:rPr>
      </w:pPr>
    </w:p>
    <w:p w14:paraId="5BAD3425" w14:textId="77777777" w:rsidR="000D55E4" w:rsidRDefault="000D55E4" w:rsidP="004E48F7">
      <w:pPr>
        <w:spacing w:after="0" w:line="240" w:lineRule="auto"/>
        <w:ind w:firstLine="709"/>
        <w:jc w:val="both"/>
        <w:rPr>
          <w:rFonts w:ascii="Times New Roman" w:hAnsi="Times New Roman" w:cs="Times New Roman"/>
          <w:sz w:val="24"/>
          <w:szCs w:val="24"/>
        </w:rPr>
      </w:pPr>
    </w:p>
    <w:p w14:paraId="0C7D08AC" w14:textId="77777777" w:rsidR="000D55E4" w:rsidRDefault="000D55E4" w:rsidP="004E48F7">
      <w:pPr>
        <w:spacing w:after="0" w:line="240" w:lineRule="auto"/>
        <w:ind w:firstLine="709"/>
        <w:jc w:val="both"/>
        <w:rPr>
          <w:rFonts w:ascii="Times New Roman" w:hAnsi="Times New Roman" w:cs="Times New Roman"/>
          <w:sz w:val="24"/>
          <w:szCs w:val="24"/>
        </w:rPr>
      </w:pPr>
    </w:p>
    <w:p w14:paraId="37A31054" w14:textId="77777777" w:rsidR="000D55E4" w:rsidRDefault="000D55E4" w:rsidP="004E48F7">
      <w:pPr>
        <w:spacing w:after="0" w:line="240" w:lineRule="auto"/>
        <w:ind w:firstLine="709"/>
        <w:jc w:val="both"/>
        <w:rPr>
          <w:rFonts w:ascii="Times New Roman" w:hAnsi="Times New Roman" w:cs="Times New Roman"/>
          <w:sz w:val="24"/>
          <w:szCs w:val="24"/>
        </w:rPr>
      </w:pPr>
    </w:p>
    <w:p w14:paraId="7DC8C081" w14:textId="77777777" w:rsidR="000D55E4" w:rsidRDefault="000D55E4" w:rsidP="004E48F7">
      <w:pPr>
        <w:spacing w:after="0" w:line="240" w:lineRule="auto"/>
        <w:ind w:firstLine="709"/>
        <w:jc w:val="both"/>
        <w:rPr>
          <w:rFonts w:ascii="Times New Roman" w:hAnsi="Times New Roman" w:cs="Times New Roman"/>
          <w:sz w:val="24"/>
          <w:szCs w:val="24"/>
        </w:rPr>
      </w:pPr>
    </w:p>
    <w:p w14:paraId="0477E574" w14:textId="77777777" w:rsidR="000D55E4" w:rsidRDefault="000D55E4" w:rsidP="004E48F7">
      <w:pPr>
        <w:spacing w:after="0" w:line="240" w:lineRule="auto"/>
        <w:ind w:firstLine="709"/>
        <w:jc w:val="both"/>
        <w:rPr>
          <w:rFonts w:ascii="Times New Roman" w:hAnsi="Times New Roman" w:cs="Times New Roman"/>
          <w:sz w:val="24"/>
          <w:szCs w:val="24"/>
        </w:rPr>
      </w:pPr>
    </w:p>
    <w:p w14:paraId="3FD9042A" w14:textId="77777777" w:rsidR="000D55E4" w:rsidRDefault="000D55E4" w:rsidP="004E48F7">
      <w:pPr>
        <w:spacing w:after="0" w:line="240" w:lineRule="auto"/>
        <w:ind w:firstLine="709"/>
        <w:jc w:val="both"/>
        <w:rPr>
          <w:rFonts w:ascii="Times New Roman" w:hAnsi="Times New Roman" w:cs="Times New Roman"/>
          <w:sz w:val="24"/>
          <w:szCs w:val="24"/>
        </w:rPr>
      </w:pPr>
    </w:p>
    <w:p w14:paraId="052D4810" w14:textId="77777777" w:rsidR="000D55E4" w:rsidRDefault="000D55E4" w:rsidP="004E48F7">
      <w:pPr>
        <w:spacing w:after="0" w:line="240" w:lineRule="auto"/>
        <w:ind w:firstLine="709"/>
        <w:jc w:val="both"/>
        <w:rPr>
          <w:rFonts w:ascii="Times New Roman" w:hAnsi="Times New Roman" w:cs="Times New Roman"/>
          <w:sz w:val="24"/>
          <w:szCs w:val="24"/>
        </w:rPr>
      </w:pPr>
    </w:p>
    <w:p w14:paraId="62D3F89E" w14:textId="77777777" w:rsidR="000D55E4" w:rsidRDefault="000D55E4" w:rsidP="004E48F7">
      <w:pPr>
        <w:spacing w:after="0" w:line="240" w:lineRule="auto"/>
        <w:ind w:firstLine="709"/>
        <w:jc w:val="both"/>
        <w:rPr>
          <w:rFonts w:ascii="Times New Roman" w:hAnsi="Times New Roman" w:cs="Times New Roman"/>
          <w:sz w:val="24"/>
          <w:szCs w:val="24"/>
        </w:rPr>
      </w:pPr>
    </w:p>
    <w:p w14:paraId="2780AF0D" w14:textId="77777777" w:rsidR="000D55E4" w:rsidRDefault="000D55E4" w:rsidP="004E48F7">
      <w:pPr>
        <w:spacing w:after="0" w:line="240" w:lineRule="auto"/>
        <w:ind w:firstLine="709"/>
        <w:jc w:val="both"/>
        <w:rPr>
          <w:rFonts w:ascii="Times New Roman" w:hAnsi="Times New Roman" w:cs="Times New Roman"/>
          <w:sz w:val="24"/>
          <w:szCs w:val="24"/>
        </w:rPr>
      </w:pPr>
    </w:p>
    <w:p w14:paraId="46FC4A0D" w14:textId="77777777" w:rsidR="000D55E4" w:rsidRDefault="000D55E4" w:rsidP="004E48F7">
      <w:pPr>
        <w:spacing w:after="0" w:line="240" w:lineRule="auto"/>
        <w:ind w:firstLine="709"/>
        <w:jc w:val="both"/>
        <w:rPr>
          <w:rFonts w:ascii="Times New Roman" w:hAnsi="Times New Roman" w:cs="Times New Roman"/>
          <w:sz w:val="24"/>
          <w:szCs w:val="24"/>
        </w:rPr>
      </w:pPr>
    </w:p>
    <w:p w14:paraId="4DC2ECC6" w14:textId="77777777" w:rsidR="000D55E4" w:rsidRDefault="000D55E4" w:rsidP="004E48F7">
      <w:pPr>
        <w:spacing w:after="0" w:line="240" w:lineRule="auto"/>
        <w:ind w:firstLine="709"/>
        <w:jc w:val="both"/>
        <w:rPr>
          <w:rFonts w:ascii="Times New Roman" w:hAnsi="Times New Roman" w:cs="Times New Roman"/>
          <w:sz w:val="24"/>
          <w:szCs w:val="24"/>
        </w:rPr>
      </w:pPr>
    </w:p>
    <w:p w14:paraId="79796693" w14:textId="77777777" w:rsidR="000D55E4" w:rsidRDefault="000D55E4" w:rsidP="004E48F7">
      <w:pPr>
        <w:spacing w:after="0" w:line="240" w:lineRule="auto"/>
        <w:ind w:firstLine="709"/>
        <w:jc w:val="both"/>
        <w:rPr>
          <w:rFonts w:ascii="Times New Roman" w:hAnsi="Times New Roman" w:cs="Times New Roman"/>
          <w:sz w:val="24"/>
          <w:szCs w:val="24"/>
        </w:rPr>
      </w:pPr>
    </w:p>
    <w:p w14:paraId="47297C67" w14:textId="77777777" w:rsidR="000D55E4" w:rsidRDefault="000D55E4" w:rsidP="004E48F7">
      <w:pPr>
        <w:spacing w:after="0" w:line="240" w:lineRule="auto"/>
        <w:ind w:firstLine="709"/>
        <w:jc w:val="both"/>
        <w:rPr>
          <w:rFonts w:ascii="Times New Roman" w:hAnsi="Times New Roman" w:cs="Times New Roman"/>
          <w:sz w:val="24"/>
          <w:szCs w:val="24"/>
        </w:rPr>
      </w:pPr>
    </w:p>
    <w:p w14:paraId="048740F3" w14:textId="77777777" w:rsidR="000D55E4" w:rsidRDefault="000D55E4" w:rsidP="004E48F7">
      <w:pPr>
        <w:spacing w:after="0" w:line="240" w:lineRule="auto"/>
        <w:ind w:firstLine="709"/>
        <w:jc w:val="both"/>
        <w:rPr>
          <w:rFonts w:ascii="Times New Roman" w:hAnsi="Times New Roman" w:cs="Times New Roman"/>
          <w:sz w:val="24"/>
          <w:szCs w:val="24"/>
        </w:rPr>
      </w:pPr>
    </w:p>
    <w:p w14:paraId="51371A77" w14:textId="77777777" w:rsidR="000D55E4" w:rsidRDefault="000D55E4" w:rsidP="004E48F7">
      <w:pPr>
        <w:spacing w:after="0" w:line="240" w:lineRule="auto"/>
        <w:ind w:firstLine="709"/>
        <w:jc w:val="both"/>
        <w:rPr>
          <w:rFonts w:ascii="Times New Roman" w:hAnsi="Times New Roman" w:cs="Times New Roman"/>
          <w:sz w:val="24"/>
          <w:szCs w:val="24"/>
        </w:rPr>
      </w:pPr>
    </w:p>
    <w:p w14:paraId="732434A0" w14:textId="77777777" w:rsidR="000D55E4" w:rsidRDefault="000D55E4" w:rsidP="004E48F7">
      <w:pPr>
        <w:spacing w:after="0" w:line="240" w:lineRule="auto"/>
        <w:ind w:firstLine="709"/>
        <w:jc w:val="both"/>
        <w:rPr>
          <w:rFonts w:ascii="Times New Roman" w:hAnsi="Times New Roman" w:cs="Times New Roman"/>
          <w:sz w:val="24"/>
          <w:szCs w:val="24"/>
        </w:rPr>
      </w:pPr>
    </w:p>
    <w:p w14:paraId="2328BB07" w14:textId="77777777" w:rsidR="000D55E4" w:rsidRDefault="000D55E4" w:rsidP="004E48F7">
      <w:pPr>
        <w:spacing w:after="0" w:line="240" w:lineRule="auto"/>
        <w:ind w:firstLine="709"/>
        <w:jc w:val="both"/>
        <w:rPr>
          <w:rFonts w:ascii="Times New Roman" w:hAnsi="Times New Roman" w:cs="Times New Roman"/>
          <w:sz w:val="24"/>
          <w:szCs w:val="24"/>
        </w:rPr>
      </w:pPr>
    </w:p>
    <w:p w14:paraId="256AC6DA" w14:textId="77777777" w:rsidR="000D55E4" w:rsidRDefault="000D55E4" w:rsidP="004E48F7">
      <w:pPr>
        <w:spacing w:after="0" w:line="240" w:lineRule="auto"/>
        <w:ind w:firstLine="709"/>
        <w:jc w:val="both"/>
        <w:rPr>
          <w:rFonts w:ascii="Times New Roman" w:hAnsi="Times New Roman" w:cs="Times New Roman"/>
          <w:sz w:val="24"/>
          <w:szCs w:val="24"/>
        </w:rPr>
      </w:pPr>
    </w:p>
    <w:p w14:paraId="38AA98D6" w14:textId="77777777" w:rsidR="000D55E4" w:rsidRDefault="000D55E4" w:rsidP="004E48F7">
      <w:pPr>
        <w:spacing w:after="0" w:line="240" w:lineRule="auto"/>
        <w:ind w:firstLine="709"/>
        <w:jc w:val="both"/>
        <w:rPr>
          <w:rFonts w:ascii="Times New Roman" w:hAnsi="Times New Roman" w:cs="Times New Roman"/>
          <w:sz w:val="24"/>
          <w:szCs w:val="24"/>
        </w:rPr>
      </w:pPr>
    </w:p>
    <w:p w14:paraId="665A1408" w14:textId="77777777" w:rsidR="000D55E4" w:rsidRDefault="000D55E4" w:rsidP="004E48F7">
      <w:pPr>
        <w:spacing w:after="0" w:line="240" w:lineRule="auto"/>
        <w:ind w:firstLine="709"/>
        <w:jc w:val="both"/>
        <w:rPr>
          <w:rFonts w:ascii="Times New Roman" w:hAnsi="Times New Roman" w:cs="Times New Roman"/>
          <w:sz w:val="24"/>
          <w:szCs w:val="24"/>
        </w:rPr>
      </w:pPr>
    </w:p>
    <w:p w14:paraId="71049383" w14:textId="77777777" w:rsidR="000D55E4" w:rsidRDefault="000D55E4" w:rsidP="004E48F7">
      <w:pPr>
        <w:spacing w:after="0" w:line="240" w:lineRule="auto"/>
        <w:ind w:firstLine="709"/>
        <w:jc w:val="both"/>
        <w:rPr>
          <w:rFonts w:ascii="Times New Roman" w:hAnsi="Times New Roman" w:cs="Times New Roman"/>
          <w:sz w:val="24"/>
          <w:szCs w:val="24"/>
        </w:rPr>
      </w:pPr>
    </w:p>
    <w:p w14:paraId="4D16AC41" w14:textId="77777777" w:rsidR="000D55E4" w:rsidRDefault="000D55E4" w:rsidP="000D55E4">
      <w:pPr>
        <w:spacing w:after="0" w:line="240" w:lineRule="auto"/>
        <w:ind w:firstLine="708"/>
        <w:jc w:val="both"/>
        <w:rPr>
          <w:rFonts w:ascii="Times New Roman" w:hAnsi="Times New Roman" w:cs="Times New Roman"/>
          <w:sz w:val="24"/>
          <w:szCs w:val="24"/>
        </w:rPr>
      </w:pPr>
    </w:p>
    <w:p w14:paraId="12A4EA11" w14:textId="77777777" w:rsidR="00163E4B" w:rsidRDefault="00163E4B" w:rsidP="000D55E4">
      <w:pPr>
        <w:spacing w:after="0" w:line="240" w:lineRule="auto"/>
        <w:ind w:firstLine="708"/>
        <w:jc w:val="both"/>
        <w:rPr>
          <w:rFonts w:ascii="Times New Roman" w:hAnsi="Times New Roman" w:cs="Times New Roman"/>
          <w:sz w:val="24"/>
          <w:szCs w:val="24"/>
        </w:rPr>
      </w:pPr>
    </w:p>
    <w:p w14:paraId="5A1EA135" w14:textId="77777777" w:rsidR="00163E4B" w:rsidRDefault="00163E4B" w:rsidP="000D55E4">
      <w:pPr>
        <w:spacing w:after="0" w:line="240" w:lineRule="auto"/>
        <w:ind w:firstLine="708"/>
        <w:jc w:val="both"/>
        <w:rPr>
          <w:rFonts w:ascii="Times New Roman" w:hAnsi="Times New Roman" w:cs="Times New Roman"/>
          <w:sz w:val="24"/>
          <w:szCs w:val="24"/>
        </w:rPr>
      </w:pPr>
    </w:p>
    <w:p w14:paraId="58717D39" w14:textId="77777777" w:rsidR="00163E4B" w:rsidRDefault="00163E4B" w:rsidP="000D55E4">
      <w:pPr>
        <w:spacing w:after="0" w:line="240" w:lineRule="auto"/>
        <w:ind w:firstLine="708"/>
        <w:jc w:val="both"/>
        <w:rPr>
          <w:rFonts w:ascii="Times New Roman" w:hAnsi="Times New Roman" w:cs="Times New Roman"/>
          <w:sz w:val="24"/>
          <w:szCs w:val="24"/>
        </w:rPr>
      </w:pPr>
    </w:p>
    <w:p w14:paraId="320E0DA9" w14:textId="77777777" w:rsidR="004E48F7" w:rsidRPr="000D55E4" w:rsidRDefault="004E48F7" w:rsidP="000D55E4">
      <w:pPr>
        <w:spacing w:after="0" w:line="240" w:lineRule="auto"/>
        <w:ind w:firstLine="708"/>
        <w:jc w:val="both"/>
        <w:rPr>
          <w:rFonts w:ascii="Times New Roman" w:hAnsi="Times New Roman" w:cs="Times New Roman"/>
          <w:sz w:val="24"/>
          <w:szCs w:val="24"/>
        </w:rPr>
      </w:pPr>
      <w:r w:rsidRPr="000D55E4">
        <w:rPr>
          <w:rFonts w:ascii="Times New Roman" w:hAnsi="Times New Roman" w:cs="Times New Roman"/>
          <w:sz w:val="24"/>
          <w:szCs w:val="24"/>
        </w:rPr>
        <w:t xml:space="preserve">Многие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авторы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научных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работ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налоговому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аудиту не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обращают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своего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внимания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 то, что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являются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основной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составляющей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дохода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бюджета,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связи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чем,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являются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важнейшим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источником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удовлетворения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потребностей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формирования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общества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целом.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Эффективное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выполнение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государством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местным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самоуправлением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своих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функций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задач</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прямую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зависит от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полноты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своевременности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уплаты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Поэтому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является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одним из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рычагов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(наравне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контролем),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способствующих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устойчивому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функционированию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национальной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системы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налогообложения [2,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с.15].</w:instrText>
      </w:r>
      <w:r w:rsidR="00CB3F9D" w:rsidRPr="000D55E4">
        <w:rPr>
          <w:rFonts w:ascii="Times New Roman" w:hAnsi="Times New Roman" w:cs="Times New Roman"/>
          <w:spacing w:val="-20000"/>
          <w:sz w:val="24"/>
          <w:szCs w:val="24"/>
          <w:highlight w:val="white"/>
        </w:rPr>
        <w:fldChar w:fldCharType="end"/>
      </w:r>
    </w:p>
    <w:p w14:paraId="77AF4168"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Целью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соответствии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глоссарием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Международных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стандартов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(МСА),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которые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приняты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международной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федерацией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бухгалтеров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(МФБ),</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является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предоставление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возможности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выразить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мнение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отношении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того,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соответствует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ли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представленная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финансовая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отчетность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всем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существенным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аспектам.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Такую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же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цель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ставит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перед</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собой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финансовой или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другой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отчетности,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подготовленной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соответствии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соответствующими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критериями.</w:t>
      </w:r>
    </w:p>
    <w:p w14:paraId="48EDBB8E"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основании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этого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определения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можно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говорить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что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точки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зрения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международных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стандартов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следует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понимать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формулирование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мнения 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соответствии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неким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определенным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критериям как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отношении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бухгалтерской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(финансовой)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отчетности, так и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отношении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любых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экономических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действий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событий,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том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числе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отношении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налогообложения.</w:t>
      </w:r>
    </w:p>
    <w:p w14:paraId="147B2F29"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настоящее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время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прибегая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услугам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бухгалтерской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(финансовой)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отчетности,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особенно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нуждаются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проверке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ведения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учета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соблюдения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законодательства,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что не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отвечает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целям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общего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Данное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непонимание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основывается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что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законодательство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трактует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весьма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двусмысленные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определения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правил</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ведения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учета, и без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лишних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разъяснений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осведомленных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органов,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мнения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которых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также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всегда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едины,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возникает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вероятность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многообразного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толкования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норм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кодекса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Российской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Федерации.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связи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этим,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крупнейшие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налогоплательщики,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обычно,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спорных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ситуациях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стараются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рисковать,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прибегают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помощи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консультантов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лице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Неверное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несвоевременное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исчисление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уплата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сборов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приводит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начислению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налоговыми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органами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пеней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штрафных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санкций, 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также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применение мер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принудительного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взыскания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случае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образования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задолженности.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Поэтому,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проведение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отчетности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имеет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существенное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значение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только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для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компаний,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осуществляющих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экономическую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деятельность, но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имеет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общегосударственное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значение, так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является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одним из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инструментов,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обеспечивающим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контроль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правильностью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исчисления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своевременностью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уплаты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сборов.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w:t>
      </w:r>
    </w:p>
    <w:p w14:paraId="4DEC45C2"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основании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вышеизложенного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актуальность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разработки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процедур</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для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проверки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ведения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учета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процесса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проведения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очевидна как для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заказчиков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так и для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аудиторских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организаций.</w:t>
      </w:r>
    </w:p>
    <w:p w14:paraId="74BC43A7"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«Сущность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состоит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проведении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анализа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бухгалтерской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отчетности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хозяйствующего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субъекта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предмет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выявления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ошибок</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исчислении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уплате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этом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выявляются не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только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скрытые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недоплаты,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но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переплаты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w:t>
      </w:r>
    </w:p>
    <w:p w14:paraId="0D9153E0"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может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проводиться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как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целью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выявления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общей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правильности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ведения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учета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составления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отчетности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целом,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так и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целью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определения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степени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достоверности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формирования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базы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отдельно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взятому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например,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налога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прибыль,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добавленную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стоимость,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налога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имущество.</w:instrText>
      </w:r>
      <w:r w:rsidR="00CB3F9D" w:rsidRPr="000D55E4">
        <w:rPr>
          <w:rFonts w:ascii="Times New Roman" w:hAnsi="Times New Roman" w:cs="Times New Roman"/>
          <w:spacing w:val="-20000"/>
          <w:sz w:val="24"/>
          <w:szCs w:val="24"/>
          <w:highlight w:val="white"/>
        </w:rPr>
        <w:fldChar w:fldCharType="end"/>
      </w:r>
    </w:p>
    <w:p w14:paraId="18119E08"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позволяет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устранить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все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ошибки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нарушения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ведении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бухгалтерского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учета,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составлении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налоговой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бухгалтерской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отчетности до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последует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официальный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контроль.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проведении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выявляются все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риски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возможные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последствия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тех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финансово-хозяйственных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операций,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которые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проводит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w:t>
      </w:r>
    </w:p>
    <w:p w14:paraId="3E7D734C"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lastRenderedPageBreak/>
        <w:t xml:space="preserve">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пользуется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спросом,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преимущественно 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крупных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компаний,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осуществляющих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несколько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видов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деятельности, в том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числе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экспортно-импортные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операции.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больших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оборотах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такие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компании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отличаются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значительным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объемом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налоговых обязательств» [1,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27].</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w:t>
      </w:r>
    </w:p>
    <w:p w14:paraId="726DF20C"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Таким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образом,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для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минимизации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выплат,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также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избегание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штрафных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санкций,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крупной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компании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разумно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экономически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выгодно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воспользоваться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услугами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проведению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помощью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которого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будут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выявлены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устранены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ошибки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ведении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учёта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составлении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отчетности.</w:instrText>
      </w:r>
      <w:r w:rsidR="00CB3F9D" w:rsidRPr="000D55E4">
        <w:rPr>
          <w:rFonts w:ascii="Times New Roman" w:hAnsi="Times New Roman" w:cs="Times New Roman"/>
          <w:spacing w:val="-20000"/>
          <w:sz w:val="24"/>
          <w:szCs w:val="24"/>
          <w:highlight w:val="white"/>
        </w:rPr>
        <w:fldChar w:fldCharType="end"/>
      </w:r>
    </w:p>
    <w:p w14:paraId="05C7210F"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может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быть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проведен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самостоятельное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аудиторское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задание,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так и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рамках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обязательной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проверки.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Фактически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способу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проведения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схож</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проверкой,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которую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проводят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Поэтому,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если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перед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проверкой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проведен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снижается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риск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выявления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ошибок и,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результате,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начисления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пени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привлечения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ответственности.</w:t>
      </w:r>
    </w:p>
    <w:p w14:paraId="6F903328"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настоящее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время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большинство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имеют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собственные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методы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способы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проведения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Организовать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универсальную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методику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невозможно, так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как,</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несмотря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единство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системы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России,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каждая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организация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имеет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свои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особенности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исчислении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уплате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 что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способствует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выявлению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ошибок</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нарушений,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что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является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задачей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аудита.</w:t>
      </w:r>
    </w:p>
    <w:p w14:paraId="58FB676D"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данный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период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развития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оказания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услуг</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налоговому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консультированию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праве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следовать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Методике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деятельности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другие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сопутствующие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услуги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вопросам.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Общение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налоговыми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органами»,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одобренной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Комиссией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деятельности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Президенте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Российской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Федерации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11.07.2000 г.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протоколом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 1.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этом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документе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приведены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общие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подходы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выполнению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аудиторскими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организациями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специального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аудиторского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задания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сопутствующим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услугам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области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консультирования,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постановки,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восстановлении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ведении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учета,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расчета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показателей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заполнении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деклараций.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настоящее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время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существует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практическая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необходимость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разработке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методики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проведения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внутренних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регламентах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саморегулируемых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организаций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или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разрабатываемых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ими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стандартов.</w:instrText>
      </w:r>
      <w:r w:rsidR="00CB3F9D" w:rsidRPr="000D55E4">
        <w:rPr>
          <w:rFonts w:ascii="Times New Roman" w:hAnsi="Times New Roman" w:cs="Times New Roman"/>
          <w:spacing w:val="-20000"/>
          <w:sz w:val="24"/>
          <w:szCs w:val="24"/>
          <w:highlight w:val="white"/>
        </w:rPr>
        <w:fldChar w:fldCharType="end"/>
      </w:r>
    </w:p>
    <w:p w14:paraId="2E11F1DD"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основании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проведенного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исследования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основных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этапов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рекомендуемых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данной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Методикой, 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также,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практического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опыта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применения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вышеуказанных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методик</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можно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сделать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вывод, что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этих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документах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только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упоминается 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необходимости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применения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аналитических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процедур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средств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получения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дополнительных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доказательств,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позволяющих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сделать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объективные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выводы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достоверности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отражаемых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отчетности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обязательств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правильности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определения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налогооблагаемой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базы.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Нехватка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федеральных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(правилах)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стандартах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аналитических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процедур,</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применяемых для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проверки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ведения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учета,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базирующихся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методах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финансового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анализа,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неизбежно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приводит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снижению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эффективности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сопутствующих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услуг.</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настоящее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время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далеко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не все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аудиторские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организации (и тем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более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индивидуальные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применяют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своих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методиках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налоговому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аналитические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процедуры.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научной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литературе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недостаточно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внимания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уделяется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применению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аналитических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методов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одних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из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действенных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способов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получения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аудиторских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доказательств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аудите.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Недостаточно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изучен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вопрос,</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касающийся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методики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оценки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налоговых</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обязательств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организаций,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позволяющей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дать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надежное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представление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действующей у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аудируемого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лица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системы</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внутреннего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контроля</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над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ведением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налогового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учета;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методики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анализа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влияния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динамики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обязательств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способность</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экономических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субъектов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сохранить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финансовую</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устойчивость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современном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состоянии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экономики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России.</w:t>
      </w:r>
    </w:p>
    <w:p w14:paraId="5338A720" w14:textId="77777777" w:rsidR="000D55E4" w:rsidRDefault="007014C7" w:rsidP="004E48F7">
      <w:pPr>
        <w:spacing w:after="0" w:line="240" w:lineRule="auto"/>
        <w:ind w:firstLine="709"/>
        <w:jc w:val="both"/>
        <w:rPr>
          <w:rFonts w:ascii="Times New Roman" w:hAnsi="Times New Roman" w:cs="Times New Roman"/>
          <w:b/>
          <w:sz w:val="24"/>
          <w:szCs w:val="24"/>
        </w:rPr>
      </w:pPr>
      <w:r>
        <w:rPr>
          <w:rFonts w:ascii="Times New Roman" w:hAnsi="Times New Roman" w:cs="Times New Roman"/>
          <w:b/>
          <w:noProof/>
          <w:sz w:val="24"/>
          <w:szCs w:val="24"/>
          <w:lang w:eastAsia="ru-RU"/>
        </w:rPr>
        <w:pict w14:anchorId="565FF126">
          <v:shape id="_x0000_s1225" type="#_x0000_t32" style="position:absolute;left:0;text-align:left;margin-left:.25pt;margin-top:6.6pt;width:234.8pt;height:0;z-index:251740160" o:connectortype="straight"/>
        </w:pict>
      </w:r>
    </w:p>
    <w:p w14:paraId="7C0E0B62"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1.Шешукова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Т.Г.,</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Орлов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Налоговый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как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самостоятельное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направление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аудиторской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деятельности//Вестник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Пермского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университета.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Вып.</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1(8).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2011.</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62-70</w:instrText>
      </w:r>
      <w:r w:rsidR="00CB3F9D" w:rsidRPr="000D55E4">
        <w:rPr>
          <w:rFonts w:ascii="Times New Roman" w:hAnsi="Times New Roman" w:cs="Times New Roman"/>
          <w:spacing w:val="-20000"/>
          <w:sz w:val="24"/>
          <w:szCs w:val="24"/>
          <w:highlight w:val="white"/>
        </w:rPr>
        <w:fldChar w:fldCharType="end"/>
      </w:r>
    </w:p>
    <w:p w14:paraId="6827D6A0"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lastRenderedPageBreak/>
        <w:t xml:space="preserve">2.Орлов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Д.В.</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вопросу</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понятии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«Налоговый аудит»//Вестник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Пермского</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университета.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Вып.</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4(11).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2011.</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6-16.</w:instrText>
      </w:r>
      <w:r w:rsidR="00CB3F9D" w:rsidRPr="000D55E4">
        <w:rPr>
          <w:rFonts w:ascii="Times New Roman" w:hAnsi="Times New Roman" w:cs="Times New Roman"/>
          <w:spacing w:val="-20000"/>
          <w:sz w:val="24"/>
          <w:szCs w:val="24"/>
          <w:highlight w:val="white"/>
        </w:rPr>
        <w:fldChar w:fldCharType="end"/>
      </w:r>
    </w:p>
    <w:p w14:paraId="3DF4A5B5" w14:textId="77777777" w:rsidR="004E48F7" w:rsidRPr="000D55E4" w:rsidRDefault="004E48F7" w:rsidP="004E48F7">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3.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Методика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аудиторской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деятельности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"Налоговый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аудит 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другие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сопутствующие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услуги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налоговым</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вопросам.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Общение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с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налоговыми</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органами"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(одобрена</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Комиссией по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аудиторской</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деятельности при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Президенте</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РФ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bCs/>
          <w:sz w:val="24"/>
          <w:szCs w:val="24"/>
        </w:rPr>
        <w:instrText>11.07.2000</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bCs/>
          <w:sz w:val="24"/>
          <w:szCs w:val="24"/>
        </w:rPr>
        <w:t xml:space="preserve"> Протокол N 1)  </w:t>
      </w:r>
      <w:r w:rsidRPr="000D55E4">
        <w:rPr>
          <w:rFonts w:ascii="Times New Roman" w:hAnsi="Times New Roman" w:cs="Times New Roman"/>
          <w:sz w:val="24"/>
          <w:szCs w:val="24"/>
        </w:rPr>
        <w:t xml:space="preserve">// </w:t>
      </w:r>
      <w:r w:rsidR="00CB3F9D" w:rsidRPr="000D55E4">
        <w:rPr>
          <w:rFonts w:ascii="Times New Roman" w:hAnsi="Times New Roman" w:cs="Times New Roman"/>
          <w:spacing w:val="-20000"/>
          <w:sz w:val="24"/>
          <w:szCs w:val="24"/>
          <w:highlight w:val="white"/>
        </w:rPr>
        <w:fldChar w:fldCharType="begin"/>
      </w:r>
      <w:r w:rsidRPr="000D55E4">
        <w:rPr>
          <w:rFonts w:ascii="Times New Roman" w:hAnsi="Times New Roman" w:cs="Times New Roman"/>
          <w:spacing w:val="-20000"/>
          <w:sz w:val="24"/>
          <w:szCs w:val="24"/>
          <w:highlight w:val="white"/>
        </w:rPr>
        <w:instrText xml:space="preserve">eq </w:instrText>
      </w:r>
      <w:r w:rsidRPr="000D55E4">
        <w:rPr>
          <w:rFonts w:ascii="Times New Roman" w:hAnsi="Times New Roman" w:cs="Times New Roman"/>
          <w:noProof/>
          <w:color w:val="FFFFFE"/>
          <w:spacing w:val="-20000"/>
          <w:sz w:val="24"/>
          <w:szCs w:val="24"/>
          <w:highlight w:val="white"/>
          <w:lang w:eastAsia="ru-RU"/>
        </w:rPr>
        <w:instrText xml:space="preserve">ре </w:instrText>
      </w:r>
      <w:r w:rsidRPr="000D55E4">
        <w:rPr>
          <w:rFonts w:ascii="Times New Roman" w:hAnsi="Times New Roman" w:cs="Times New Roman"/>
          <w:sz w:val="24"/>
          <w:szCs w:val="24"/>
        </w:rPr>
        <w:instrText>Консультант</w:instrText>
      </w:r>
      <w:r w:rsidR="00CB3F9D" w:rsidRPr="000D55E4">
        <w:rPr>
          <w:rFonts w:ascii="Times New Roman" w:hAnsi="Times New Roman" w:cs="Times New Roman"/>
          <w:spacing w:val="-20000"/>
          <w:sz w:val="24"/>
          <w:szCs w:val="24"/>
          <w:highlight w:val="white"/>
        </w:rPr>
        <w:fldChar w:fldCharType="end"/>
      </w:r>
      <w:r w:rsidRPr="000D55E4">
        <w:rPr>
          <w:rFonts w:ascii="Times New Roman" w:hAnsi="Times New Roman" w:cs="Times New Roman"/>
          <w:sz w:val="24"/>
          <w:szCs w:val="24"/>
        </w:rPr>
        <w:t xml:space="preserve"> Плюс</w:t>
      </w:r>
    </w:p>
    <w:p w14:paraId="61DAA4D5" w14:textId="77777777" w:rsidR="00376F6E" w:rsidRDefault="00376F6E" w:rsidP="00924800">
      <w:pPr>
        <w:spacing w:after="0" w:line="240" w:lineRule="auto"/>
        <w:jc w:val="both"/>
        <w:rPr>
          <w:rFonts w:ascii="Times New Roman" w:hAnsi="Times New Roman"/>
          <w:b/>
          <w:sz w:val="20"/>
        </w:rPr>
      </w:pPr>
    </w:p>
    <w:p w14:paraId="2AEAF47F" w14:textId="77777777" w:rsidR="004E48F7" w:rsidRDefault="004E48F7" w:rsidP="00924800">
      <w:pPr>
        <w:spacing w:after="0" w:line="240" w:lineRule="auto"/>
        <w:jc w:val="both"/>
        <w:rPr>
          <w:rFonts w:ascii="Times New Roman" w:hAnsi="Times New Roman"/>
          <w:b/>
          <w:sz w:val="20"/>
        </w:rPr>
      </w:pPr>
    </w:p>
    <w:p w14:paraId="2F972C08" w14:textId="77777777" w:rsidR="00173C65" w:rsidRPr="000D55E4" w:rsidRDefault="00173C65" w:rsidP="000D55E4">
      <w:pPr>
        <w:spacing w:after="0" w:line="240" w:lineRule="auto"/>
        <w:jc w:val="both"/>
        <w:rPr>
          <w:rFonts w:ascii="Times New Roman" w:hAnsi="Times New Roman" w:cs="Times New Roman"/>
          <w:b/>
          <w:sz w:val="24"/>
          <w:szCs w:val="24"/>
        </w:rPr>
      </w:pPr>
      <w:r w:rsidRPr="000D55E4">
        <w:rPr>
          <w:rFonts w:ascii="Times New Roman" w:hAnsi="Times New Roman" w:cs="Times New Roman"/>
          <w:b/>
          <w:sz w:val="24"/>
          <w:szCs w:val="24"/>
        </w:rPr>
        <w:t>Рубрика: Судебно-экспертная деятельность</w:t>
      </w:r>
    </w:p>
    <w:p w14:paraId="281B37BA" w14:textId="77777777" w:rsidR="00173C65" w:rsidRPr="000D55E4" w:rsidRDefault="00173C65" w:rsidP="000D55E4">
      <w:pPr>
        <w:spacing w:after="0" w:line="240" w:lineRule="auto"/>
        <w:ind w:firstLine="709"/>
        <w:jc w:val="both"/>
        <w:rPr>
          <w:rFonts w:ascii="Times New Roman" w:hAnsi="Times New Roman" w:cs="Times New Roman"/>
          <w:sz w:val="24"/>
          <w:szCs w:val="24"/>
        </w:rPr>
      </w:pPr>
    </w:p>
    <w:p w14:paraId="3DE35627" w14:textId="77777777" w:rsidR="00173C65" w:rsidRPr="000D55E4" w:rsidRDefault="00173C65" w:rsidP="000D55E4">
      <w:pPr>
        <w:spacing w:after="0" w:line="240" w:lineRule="auto"/>
        <w:jc w:val="both"/>
        <w:rPr>
          <w:rFonts w:ascii="Times New Roman" w:hAnsi="Times New Roman" w:cs="Times New Roman"/>
          <w:sz w:val="24"/>
          <w:szCs w:val="24"/>
        </w:rPr>
      </w:pPr>
      <w:r w:rsidRPr="000D55E4">
        <w:rPr>
          <w:rFonts w:ascii="Times New Roman" w:hAnsi="Times New Roman" w:cs="Times New Roman"/>
          <w:sz w:val="24"/>
          <w:szCs w:val="24"/>
        </w:rPr>
        <w:t>УДК: 343.148.5</w:t>
      </w:r>
    </w:p>
    <w:p w14:paraId="2E500C74" w14:textId="77777777" w:rsidR="00173C65" w:rsidRPr="000D55E4" w:rsidRDefault="00173C65" w:rsidP="000D55E4">
      <w:pPr>
        <w:spacing w:after="0" w:line="240" w:lineRule="auto"/>
        <w:ind w:firstLine="709"/>
        <w:jc w:val="both"/>
        <w:rPr>
          <w:rFonts w:ascii="Times New Roman" w:hAnsi="Times New Roman" w:cs="Times New Roman"/>
          <w:sz w:val="24"/>
          <w:szCs w:val="24"/>
        </w:rPr>
      </w:pPr>
    </w:p>
    <w:p w14:paraId="46A9FF37" w14:textId="77777777" w:rsidR="00173C65" w:rsidRPr="000D55E4" w:rsidRDefault="00924800" w:rsidP="000D55E4">
      <w:pPr>
        <w:spacing w:after="0" w:line="240" w:lineRule="auto"/>
        <w:jc w:val="center"/>
        <w:rPr>
          <w:rFonts w:ascii="Times New Roman" w:hAnsi="Times New Roman" w:cs="Times New Roman"/>
          <w:b/>
          <w:sz w:val="24"/>
          <w:szCs w:val="24"/>
        </w:rPr>
      </w:pPr>
      <w:r w:rsidRPr="000D55E4">
        <w:rPr>
          <w:rFonts w:ascii="Times New Roman" w:hAnsi="Times New Roman" w:cs="Times New Roman"/>
          <w:b/>
          <w:sz w:val="24"/>
          <w:szCs w:val="24"/>
        </w:rPr>
        <w:t>ОБ ОСНОВАХ ФОРМИРОВАНИЯ МЕТОДИКИ БУХГАЛТЕРСКОЙ ЭКСПЕРТИЗЫ</w:t>
      </w:r>
    </w:p>
    <w:p w14:paraId="74CD1D1F" w14:textId="77777777" w:rsidR="00173C65" w:rsidRPr="000D55E4" w:rsidRDefault="00173C65" w:rsidP="000D55E4">
      <w:pPr>
        <w:spacing w:after="0" w:line="240" w:lineRule="auto"/>
        <w:jc w:val="center"/>
        <w:rPr>
          <w:rFonts w:ascii="Times New Roman" w:hAnsi="Times New Roman" w:cs="Times New Roman"/>
          <w:b/>
          <w:sz w:val="24"/>
          <w:szCs w:val="24"/>
        </w:rPr>
      </w:pPr>
    </w:p>
    <w:p w14:paraId="2A9B9727" w14:textId="77777777" w:rsidR="00173C65" w:rsidRPr="000D55E4" w:rsidRDefault="00173C65" w:rsidP="000D55E4">
      <w:pPr>
        <w:spacing w:after="0" w:line="240" w:lineRule="auto"/>
        <w:jc w:val="center"/>
        <w:rPr>
          <w:rFonts w:ascii="Times New Roman" w:hAnsi="Times New Roman" w:cs="Times New Roman"/>
          <w:b/>
          <w:sz w:val="24"/>
          <w:szCs w:val="24"/>
        </w:rPr>
      </w:pPr>
      <w:r w:rsidRPr="000D55E4">
        <w:rPr>
          <w:rFonts w:ascii="Times New Roman" w:hAnsi="Times New Roman" w:cs="Times New Roman"/>
          <w:b/>
          <w:sz w:val="24"/>
          <w:szCs w:val="24"/>
        </w:rPr>
        <w:t>Парфенова Анастасия Васильевна,</w:t>
      </w:r>
    </w:p>
    <w:p w14:paraId="178469A5" w14:textId="77777777" w:rsidR="00173C65" w:rsidRPr="000D55E4" w:rsidRDefault="00173C65" w:rsidP="000D55E4">
      <w:pPr>
        <w:spacing w:after="0" w:line="240" w:lineRule="auto"/>
        <w:jc w:val="center"/>
        <w:rPr>
          <w:rFonts w:ascii="Times New Roman" w:hAnsi="Times New Roman" w:cs="Times New Roman"/>
          <w:sz w:val="24"/>
          <w:szCs w:val="24"/>
        </w:rPr>
      </w:pPr>
      <w:r w:rsidRPr="000D55E4">
        <w:rPr>
          <w:rFonts w:ascii="Times New Roman" w:hAnsi="Times New Roman" w:cs="Times New Roman"/>
          <w:sz w:val="24"/>
          <w:szCs w:val="24"/>
        </w:rPr>
        <w:t>магистрант</w:t>
      </w:r>
    </w:p>
    <w:p w14:paraId="1C5BEDD8" w14:textId="77777777" w:rsidR="00924800" w:rsidRPr="000D55E4" w:rsidRDefault="00924800" w:rsidP="000D55E4">
      <w:pPr>
        <w:spacing w:after="0" w:line="240" w:lineRule="auto"/>
        <w:jc w:val="center"/>
        <w:rPr>
          <w:rFonts w:ascii="Times New Roman" w:hAnsi="Times New Roman" w:cs="Times New Roman"/>
          <w:i/>
          <w:sz w:val="24"/>
          <w:szCs w:val="24"/>
        </w:rPr>
      </w:pPr>
    </w:p>
    <w:p w14:paraId="4E86B630" w14:textId="77777777" w:rsidR="00173C65" w:rsidRPr="000D55E4" w:rsidRDefault="00173C65" w:rsidP="000D55E4">
      <w:pPr>
        <w:spacing w:after="0" w:line="240" w:lineRule="auto"/>
        <w:jc w:val="center"/>
        <w:rPr>
          <w:rFonts w:ascii="Times New Roman" w:hAnsi="Times New Roman" w:cs="Times New Roman"/>
          <w:i/>
          <w:sz w:val="24"/>
          <w:szCs w:val="24"/>
        </w:rPr>
      </w:pPr>
      <w:r w:rsidRPr="000D55E4">
        <w:rPr>
          <w:rFonts w:ascii="Times New Roman" w:hAnsi="Times New Roman" w:cs="Times New Roman"/>
          <w:i/>
          <w:sz w:val="24"/>
          <w:szCs w:val="24"/>
        </w:rPr>
        <w:t>Владивостокский государственный университет экономики и сервиса</w:t>
      </w:r>
    </w:p>
    <w:p w14:paraId="6DC8AEAD" w14:textId="77777777" w:rsidR="00173C65" w:rsidRPr="000D55E4" w:rsidRDefault="00173C65" w:rsidP="000D55E4">
      <w:pPr>
        <w:spacing w:after="0" w:line="240" w:lineRule="auto"/>
        <w:jc w:val="center"/>
        <w:rPr>
          <w:rFonts w:ascii="Times New Roman" w:hAnsi="Times New Roman" w:cs="Times New Roman"/>
          <w:i/>
          <w:sz w:val="24"/>
          <w:szCs w:val="24"/>
        </w:rPr>
      </w:pPr>
      <w:r w:rsidRPr="000D55E4">
        <w:rPr>
          <w:rFonts w:ascii="Times New Roman" w:hAnsi="Times New Roman" w:cs="Times New Roman"/>
          <w:i/>
          <w:sz w:val="24"/>
          <w:szCs w:val="24"/>
        </w:rPr>
        <w:t>Россия. Владивосток</w:t>
      </w:r>
    </w:p>
    <w:p w14:paraId="02915484" w14:textId="77777777" w:rsidR="00924800" w:rsidRPr="000D55E4" w:rsidRDefault="00924800" w:rsidP="000D55E4">
      <w:pPr>
        <w:spacing w:after="0" w:line="240" w:lineRule="auto"/>
        <w:jc w:val="center"/>
        <w:rPr>
          <w:rFonts w:ascii="Times New Roman" w:hAnsi="Times New Roman" w:cs="Times New Roman"/>
          <w:sz w:val="24"/>
          <w:szCs w:val="24"/>
        </w:rPr>
      </w:pPr>
    </w:p>
    <w:p w14:paraId="1E5A3366" w14:textId="77777777" w:rsidR="00173C65" w:rsidRPr="007E1000" w:rsidRDefault="00173C65" w:rsidP="000D55E4">
      <w:pPr>
        <w:spacing w:after="0" w:line="240" w:lineRule="auto"/>
        <w:jc w:val="center"/>
        <w:rPr>
          <w:rFonts w:ascii="Times New Roman" w:hAnsi="Times New Roman" w:cs="Times New Roman"/>
          <w:sz w:val="24"/>
          <w:szCs w:val="24"/>
        </w:rPr>
      </w:pPr>
      <w:r w:rsidRPr="000D55E4">
        <w:rPr>
          <w:rFonts w:ascii="Times New Roman" w:hAnsi="Times New Roman" w:cs="Times New Roman"/>
          <w:sz w:val="24"/>
          <w:szCs w:val="24"/>
          <w:lang w:val="en-US"/>
        </w:rPr>
        <w:t>E</w:t>
      </w:r>
      <w:r w:rsidRPr="007E1000">
        <w:rPr>
          <w:rFonts w:ascii="Times New Roman" w:hAnsi="Times New Roman" w:cs="Times New Roman"/>
          <w:sz w:val="24"/>
          <w:szCs w:val="24"/>
        </w:rPr>
        <w:t>-</w:t>
      </w:r>
      <w:r w:rsidRPr="000D55E4">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0D55E4">
        <w:rPr>
          <w:rFonts w:ascii="Times New Roman" w:hAnsi="Times New Roman" w:cs="Times New Roman"/>
          <w:sz w:val="24"/>
          <w:szCs w:val="24"/>
          <w:lang w:val="en-US"/>
        </w:rPr>
        <w:t>Anastasiya</w:t>
      </w:r>
      <w:r w:rsidRPr="007E1000">
        <w:rPr>
          <w:rFonts w:ascii="Times New Roman" w:hAnsi="Times New Roman" w:cs="Times New Roman"/>
          <w:sz w:val="24"/>
          <w:szCs w:val="24"/>
        </w:rPr>
        <w:t>.</w:t>
      </w:r>
      <w:r w:rsidRPr="000D55E4">
        <w:rPr>
          <w:rFonts w:ascii="Times New Roman" w:hAnsi="Times New Roman" w:cs="Times New Roman"/>
          <w:sz w:val="24"/>
          <w:szCs w:val="24"/>
          <w:lang w:val="en-US"/>
        </w:rPr>
        <w:t>Parfenova</w:t>
      </w:r>
      <w:r w:rsidRPr="007E1000">
        <w:rPr>
          <w:rFonts w:ascii="Times New Roman" w:hAnsi="Times New Roman" w:cs="Times New Roman"/>
          <w:sz w:val="24"/>
          <w:szCs w:val="24"/>
        </w:rPr>
        <w:t>@</w:t>
      </w:r>
      <w:r w:rsidRPr="000D55E4">
        <w:rPr>
          <w:rFonts w:ascii="Times New Roman" w:hAnsi="Times New Roman" w:cs="Times New Roman"/>
          <w:sz w:val="24"/>
          <w:szCs w:val="24"/>
          <w:lang w:val="en-US"/>
        </w:rPr>
        <w:t>vvsu</w:t>
      </w:r>
      <w:r w:rsidRPr="007E1000">
        <w:rPr>
          <w:rFonts w:ascii="Times New Roman" w:hAnsi="Times New Roman" w:cs="Times New Roman"/>
          <w:sz w:val="24"/>
          <w:szCs w:val="24"/>
        </w:rPr>
        <w:t>.</w:t>
      </w:r>
      <w:r w:rsidRPr="000D55E4">
        <w:rPr>
          <w:rFonts w:ascii="Times New Roman" w:hAnsi="Times New Roman" w:cs="Times New Roman"/>
          <w:sz w:val="24"/>
          <w:szCs w:val="24"/>
          <w:lang w:val="en-US"/>
        </w:rPr>
        <w:t>ru</w:t>
      </w:r>
      <w:r w:rsidRPr="007E1000">
        <w:rPr>
          <w:rFonts w:ascii="Times New Roman" w:hAnsi="Times New Roman" w:cs="Times New Roman"/>
          <w:sz w:val="24"/>
          <w:szCs w:val="24"/>
        </w:rPr>
        <w:t xml:space="preserve">; </w:t>
      </w:r>
      <w:r w:rsidRPr="000D55E4">
        <w:rPr>
          <w:rFonts w:ascii="Times New Roman" w:hAnsi="Times New Roman" w:cs="Times New Roman"/>
          <w:sz w:val="24"/>
          <w:szCs w:val="24"/>
        </w:rPr>
        <w:t>тел</w:t>
      </w:r>
      <w:r w:rsidRPr="007E1000">
        <w:rPr>
          <w:rFonts w:ascii="Times New Roman" w:hAnsi="Times New Roman" w:cs="Times New Roman"/>
          <w:sz w:val="24"/>
          <w:szCs w:val="24"/>
        </w:rPr>
        <w:t>.: +79242330763</w:t>
      </w:r>
    </w:p>
    <w:p w14:paraId="791085E3" w14:textId="77777777" w:rsidR="00173C65" w:rsidRPr="000D55E4" w:rsidRDefault="00173C65" w:rsidP="000D55E4">
      <w:pPr>
        <w:spacing w:after="0" w:line="240" w:lineRule="auto"/>
        <w:jc w:val="center"/>
        <w:rPr>
          <w:rFonts w:ascii="Times New Roman" w:hAnsi="Times New Roman" w:cs="Times New Roman"/>
          <w:sz w:val="24"/>
          <w:szCs w:val="24"/>
        </w:rPr>
      </w:pPr>
      <w:r w:rsidRPr="000D55E4">
        <w:rPr>
          <w:rFonts w:ascii="Times New Roman" w:hAnsi="Times New Roman" w:cs="Times New Roman"/>
          <w:sz w:val="24"/>
          <w:szCs w:val="24"/>
        </w:rPr>
        <w:t>ул. Гоголя, 41, г. Владивосток, Приморский край, Россия, 690014</w:t>
      </w:r>
    </w:p>
    <w:p w14:paraId="03B94F49" w14:textId="77777777" w:rsidR="00173C65" w:rsidRPr="000D55E4" w:rsidRDefault="00173C65" w:rsidP="000D55E4">
      <w:pPr>
        <w:spacing w:after="0" w:line="240" w:lineRule="auto"/>
        <w:jc w:val="center"/>
        <w:rPr>
          <w:rFonts w:ascii="Times New Roman" w:hAnsi="Times New Roman" w:cs="Times New Roman"/>
          <w:sz w:val="24"/>
          <w:szCs w:val="24"/>
        </w:rPr>
      </w:pPr>
    </w:p>
    <w:p w14:paraId="6D846F5D" w14:textId="77777777" w:rsidR="00173C65" w:rsidRPr="000D55E4" w:rsidRDefault="00173C65" w:rsidP="000D55E4">
      <w:pPr>
        <w:spacing w:after="0" w:line="240" w:lineRule="auto"/>
        <w:jc w:val="center"/>
        <w:rPr>
          <w:rFonts w:ascii="Times New Roman" w:hAnsi="Times New Roman" w:cs="Times New Roman"/>
          <w:sz w:val="24"/>
          <w:szCs w:val="24"/>
        </w:rPr>
      </w:pPr>
    </w:p>
    <w:p w14:paraId="1C308214" w14:textId="77777777" w:rsidR="000D55E4" w:rsidRPr="00163E4B" w:rsidRDefault="00173C65" w:rsidP="00163E4B">
      <w:pPr>
        <w:spacing w:after="0" w:line="240" w:lineRule="auto"/>
        <w:ind w:firstLine="709"/>
        <w:jc w:val="both"/>
        <w:rPr>
          <w:rFonts w:ascii="Times New Roman" w:hAnsi="Times New Roman" w:cs="Times New Roman"/>
          <w:i/>
          <w:sz w:val="24"/>
          <w:szCs w:val="24"/>
        </w:rPr>
      </w:pPr>
      <w:r w:rsidRPr="000D55E4">
        <w:rPr>
          <w:rFonts w:ascii="Times New Roman" w:hAnsi="Times New Roman" w:cs="Times New Roman"/>
          <w:i/>
          <w:sz w:val="24"/>
          <w:szCs w:val="24"/>
        </w:rPr>
        <w:t>В настоящее время актуальной является проблема количественного и качественного роста преступной деятельности в связи с изменениями в экономической, социально-политической и правовой сферах нашего государства. Следствием является усложнение экспертных задач, требующих применения эффективных методик и методов с целью раскрытия, качественного документирования, доказывания и предупрежде</w:t>
      </w:r>
      <w:r w:rsidR="00924800" w:rsidRPr="000D55E4">
        <w:rPr>
          <w:rFonts w:ascii="Times New Roman" w:hAnsi="Times New Roman" w:cs="Times New Roman"/>
          <w:i/>
          <w:sz w:val="24"/>
          <w:szCs w:val="24"/>
        </w:rPr>
        <w:t>ния экономических преступлений.</w:t>
      </w:r>
    </w:p>
    <w:p w14:paraId="0AE91759" w14:textId="77777777" w:rsidR="00173C65" w:rsidRPr="000D55E4" w:rsidRDefault="00173C65" w:rsidP="000D55E4">
      <w:pPr>
        <w:spacing w:after="0" w:line="240" w:lineRule="auto"/>
        <w:ind w:firstLine="709"/>
        <w:jc w:val="both"/>
        <w:rPr>
          <w:rFonts w:ascii="Times New Roman" w:hAnsi="Times New Roman" w:cs="Times New Roman"/>
          <w:i/>
          <w:sz w:val="24"/>
          <w:szCs w:val="24"/>
        </w:rPr>
      </w:pPr>
      <w:r w:rsidRPr="000D55E4">
        <w:rPr>
          <w:rFonts w:ascii="Times New Roman" w:hAnsi="Times New Roman" w:cs="Times New Roman"/>
          <w:b/>
          <w:i/>
          <w:sz w:val="24"/>
          <w:szCs w:val="24"/>
        </w:rPr>
        <w:t xml:space="preserve">Ключевые слова и словосочетания: </w:t>
      </w:r>
      <w:r w:rsidRPr="000D55E4">
        <w:rPr>
          <w:rFonts w:ascii="Times New Roman" w:hAnsi="Times New Roman" w:cs="Times New Roman"/>
          <w:i/>
          <w:sz w:val="24"/>
          <w:szCs w:val="24"/>
        </w:rPr>
        <w:t>бухгалтерский учет, отчетность, судебно-бухгалтерская экспертиза, хозяйственная операция, эксперт, преступление.</w:t>
      </w:r>
    </w:p>
    <w:p w14:paraId="62F015AF" w14:textId="77777777" w:rsidR="00173C65" w:rsidRPr="000D55E4" w:rsidRDefault="00173C65" w:rsidP="000D55E4">
      <w:pPr>
        <w:spacing w:after="0" w:line="240" w:lineRule="auto"/>
        <w:ind w:firstLine="709"/>
        <w:jc w:val="both"/>
        <w:rPr>
          <w:rFonts w:ascii="Times New Roman" w:hAnsi="Times New Roman" w:cs="Times New Roman"/>
          <w:sz w:val="24"/>
          <w:szCs w:val="24"/>
        </w:rPr>
      </w:pPr>
    </w:p>
    <w:p w14:paraId="3035F7D7" w14:textId="77777777" w:rsidR="00173C65" w:rsidRPr="000D55E4" w:rsidRDefault="00924800" w:rsidP="000D55E4">
      <w:pPr>
        <w:spacing w:after="0" w:line="240" w:lineRule="auto"/>
        <w:jc w:val="center"/>
        <w:rPr>
          <w:rFonts w:ascii="Times New Roman" w:hAnsi="Times New Roman" w:cs="Times New Roman"/>
          <w:b/>
          <w:sz w:val="24"/>
          <w:szCs w:val="24"/>
          <w:lang w:val="en-US"/>
        </w:rPr>
      </w:pPr>
      <w:r w:rsidRPr="000D55E4">
        <w:rPr>
          <w:rFonts w:ascii="Times New Roman" w:hAnsi="Times New Roman" w:cs="Times New Roman"/>
          <w:b/>
          <w:sz w:val="24"/>
          <w:szCs w:val="24"/>
          <w:lang w:val="en-US"/>
        </w:rPr>
        <w:t>ON THE FUNDAMENTALS OF FORMING THE METHODOLOGY OF ACCOUNTING EXPERTISE</w:t>
      </w:r>
    </w:p>
    <w:p w14:paraId="1B15DD1D" w14:textId="77777777" w:rsidR="00173C65" w:rsidRPr="000D55E4" w:rsidRDefault="00173C65" w:rsidP="000D55E4">
      <w:pPr>
        <w:spacing w:after="0" w:line="240" w:lineRule="auto"/>
        <w:jc w:val="center"/>
        <w:rPr>
          <w:rFonts w:ascii="Times New Roman" w:hAnsi="Times New Roman" w:cs="Times New Roman"/>
          <w:b/>
          <w:sz w:val="24"/>
          <w:szCs w:val="24"/>
          <w:lang w:val="en-US"/>
        </w:rPr>
      </w:pPr>
    </w:p>
    <w:p w14:paraId="78782F7F" w14:textId="77777777" w:rsidR="000D55E4" w:rsidRPr="00163E4B" w:rsidRDefault="00173C65" w:rsidP="00163E4B">
      <w:pPr>
        <w:spacing w:after="0" w:line="240" w:lineRule="auto"/>
        <w:ind w:firstLine="709"/>
        <w:jc w:val="both"/>
        <w:rPr>
          <w:rFonts w:ascii="Times New Roman" w:hAnsi="Times New Roman" w:cs="Times New Roman"/>
          <w:i/>
          <w:sz w:val="24"/>
          <w:szCs w:val="24"/>
          <w:lang w:val="en-US"/>
        </w:rPr>
      </w:pPr>
      <w:r w:rsidRPr="000D55E4">
        <w:rPr>
          <w:rFonts w:ascii="Times New Roman" w:hAnsi="Times New Roman" w:cs="Times New Roman"/>
          <w:i/>
          <w:sz w:val="24"/>
          <w:szCs w:val="24"/>
          <w:lang w:val="en-US"/>
        </w:rPr>
        <w:t>At present, the problem of quantitative and qualitative growth of criminal activity in connection with changes in the economic, social, political and legal spheres of our state is topical. The consequence is the complication of expert tasks that require the use of effective methods and methods for the purpose of disclosure, qualitative documentation, proof and</w:t>
      </w:r>
      <w:r w:rsidR="00163E4B">
        <w:rPr>
          <w:rFonts w:ascii="Times New Roman" w:hAnsi="Times New Roman" w:cs="Times New Roman"/>
          <w:i/>
          <w:sz w:val="24"/>
          <w:szCs w:val="24"/>
          <w:lang w:val="en-US"/>
        </w:rPr>
        <w:t xml:space="preserve"> prevention of economic crimes.</w:t>
      </w:r>
    </w:p>
    <w:p w14:paraId="37A26FB8" w14:textId="77777777" w:rsidR="00173C65" w:rsidRPr="000D55E4" w:rsidRDefault="00173C65" w:rsidP="000D55E4">
      <w:pPr>
        <w:spacing w:after="0" w:line="240" w:lineRule="auto"/>
        <w:ind w:firstLine="709"/>
        <w:jc w:val="both"/>
        <w:rPr>
          <w:rFonts w:ascii="Times New Roman" w:hAnsi="Times New Roman" w:cs="Times New Roman"/>
          <w:i/>
          <w:sz w:val="24"/>
          <w:szCs w:val="24"/>
          <w:lang w:val="en-US"/>
        </w:rPr>
      </w:pPr>
      <w:r w:rsidRPr="000D55E4">
        <w:rPr>
          <w:rFonts w:ascii="Times New Roman" w:hAnsi="Times New Roman" w:cs="Times New Roman"/>
          <w:b/>
          <w:i/>
          <w:sz w:val="24"/>
          <w:szCs w:val="24"/>
          <w:lang w:val="en-US"/>
        </w:rPr>
        <w:t>Keywords:</w:t>
      </w:r>
      <w:r w:rsidRPr="000D55E4">
        <w:rPr>
          <w:rFonts w:ascii="Times New Roman" w:hAnsi="Times New Roman" w:cs="Times New Roman"/>
          <w:i/>
          <w:sz w:val="24"/>
          <w:szCs w:val="24"/>
          <w:lang w:val="en-US"/>
        </w:rPr>
        <w:t xml:space="preserve"> accounting, reporting, forensic accounting, economic transaction, expert, crime</w:t>
      </w:r>
    </w:p>
    <w:p w14:paraId="6E681184" w14:textId="77777777" w:rsidR="00173C65" w:rsidRPr="000D55E4" w:rsidRDefault="00173C65" w:rsidP="000D55E4">
      <w:pPr>
        <w:spacing w:after="0" w:line="240" w:lineRule="auto"/>
        <w:ind w:firstLine="709"/>
        <w:jc w:val="both"/>
        <w:rPr>
          <w:rFonts w:ascii="Times New Roman" w:hAnsi="Times New Roman" w:cs="Times New Roman"/>
          <w:sz w:val="24"/>
          <w:szCs w:val="24"/>
          <w:lang w:val="en-US"/>
        </w:rPr>
      </w:pPr>
    </w:p>
    <w:p w14:paraId="43FFF87C" w14:textId="77777777" w:rsidR="00173C65" w:rsidRPr="000D55E4" w:rsidRDefault="00173C65" w:rsidP="000D55E4">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Экспертная деятельность в целом и в частности судебно-экономическая являются одним из решающих факторов реализации научно-технического потенциала общества в судебном производстве по делам экономической направленности. Поэтому методическое обеспечение и системный анализ экспертной деятельности является важной задачей в сфере обеспечения экономической безопасности нашего государства.</w:t>
      </w:r>
    </w:p>
    <w:p w14:paraId="2E7590A7" w14:textId="77777777" w:rsidR="00173C65" w:rsidRPr="000D55E4" w:rsidRDefault="00173C65" w:rsidP="000D55E4">
      <w:pPr>
        <w:spacing w:after="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 xml:space="preserve">Принадлежностью судебно-бухгалтерской экспертизы к судебному производству и ее адресностью предполагается соблюдение ряда условий, включая оперативность проведения экспертизы, полноту заключения эксперта, точность установления ущерба от противоправных действий ответственных за выполнение хозяйственных операций лиц. Соблюдение перечисленных условий основывается на специальных знаниях эксперта в </w:t>
      </w:r>
      <w:r w:rsidRPr="000D55E4">
        <w:rPr>
          <w:rFonts w:ascii="Times New Roman" w:hAnsi="Times New Roman" w:cs="Times New Roman"/>
          <w:sz w:val="24"/>
          <w:szCs w:val="24"/>
        </w:rPr>
        <w:lastRenderedPageBreak/>
        <w:t>области учета, инструкций, законов, нормативной документации, на его аналитических способностях и знаниях в экономической области, ведения складского хозяйства, технологии производства и так далее. В определенной мере эксперт должен использовать данные познания, поскольку бухгалтерский учет является средством отражения хозяйственного процесса как такового и все хозяйственные операции должны соответствовать реальным экономическим потребностям организации [2, с. 34].</w:t>
      </w:r>
    </w:p>
    <w:p w14:paraId="12B7B9A1" w14:textId="77777777" w:rsidR="00173C65" w:rsidRPr="000D55E4" w:rsidRDefault="00173C65" w:rsidP="000D55E4">
      <w:pPr>
        <w:spacing w:after="120" w:line="240" w:lineRule="auto"/>
        <w:ind w:firstLine="709"/>
        <w:jc w:val="both"/>
        <w:rPr>
          <w:rFonts w:ascii="Times New Roman" w:hAnsi="Times New Roman" w:cs="Times New Roman"/>
          <w:sz w:val="24"/>
          <w:szCs w:val="24"/>
        </w:rPr>
      </w:pPr>
      <w:r w:rsidRPr="000D55E4">
        <w:rPr>
          <w:rFonts w:ascii="Times New Roman" w:hAnsi="Times New Roman" w:cs="Times New Roman"/>
          <w:sz w:val="24"/>
          <w:szCs w:val="24"/>
        </w:rPr>
        <w:t>Изучение специальной литературы различных авторов позволило выявить последовательность действий методики исследования в рамках бухгалтерской экспертизы, представленной на рисунке 1.</w:t>
      </w:r>
    </w:p>
    <w:p w14:paraId="44E11CF8" w14:textId="77777777" w:rsidR="00173C65" w:rsidRPr="00924800" w:rsidRDefault="007014C7" w:rsidP="00924800">
      <w:pPr>
        <w:spacing w:after="0" w:line="240" w:lineRule="auto"/>
        <w:jc w:val="both"/>
        <w:rPr>
          <w:rFonts w:ascii="Times New Roman" w:hAnsi="Times New Roman"/>
          <w:sz w:val="20"/>
        </w:rPr>
      </w:pPr>
      <w:r>
        <w:rPr>
          <w:noProof/>
          <w:sz w:val="18"/>
          <w:lang w:eastAsia="ru-RU"/>
        </w:rPr>
      </w:r>
      <w:r>
        <w:rPr>
          <w:noProof/>
          <w:sz w:val="18"/>
          <w:lang w:eastAsia="ru-RU"/>
        </w:rPr>
        <w:pict w14:anchorId="0D73B2E9">
          <v:group id="Полотно 42" o:spid="_x0000_s1085" editas="canvas" style="width:481.9pt;height:406.2pt;mso-position-horizontal-relative:char;mso-position-vertical-relative:line" coordsize="61201,515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6" type="#_x0000_t75" style="position:absolute;width:61201;height:51587;visibility:visible">
              <v:fill o:detectmouseclick="t"/>
              <v:path o:connecttype="none"/>
            </v:shape>
            <v:rect id="Прямоугольник 11" o:spid="_x0000_s1087" style="position:absolute;left:18711;top:212;width:22118;height:659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nYAsAA&#10;AADbAAAADwAAAGRycy9kb3ducmV2LnhtbERPTYvCMBC9C/6HMMLeNNXDKtUourC4LF6swq63oRnb&#10;YjMpSbT13xtB8DaP9zmLVWdqcSPnK8sKxqMEBHFudcWFguPhezgD4QOyxtoyKbiTh9Wy31tgqm3L&#10;e7ploRAxhH2KCsoQmlRKn5dk0I9sQxy5s3UGQ4SukNphG8NNLSdJ8ikNVhwbSmzoq6T8kl2NgnW7&#10;mWxP/pTdzd/0/8g7+etaqdTHoFvPQQTqwlv8cv/oOH8Mz1/iAX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9nYAsAAAADbAAAADwAAAAAAAAAAAAAAAACYAgAAZHJzL2Rvd25y&#10;ZXYueG1sUEsFBgAAAAAEAAQA9QAAAIUDAAAAAA==&#10;" fillcolor="window" strokecolor="windowText">
              <v:textbox>
                <w:txbxContent>
                  <w:p w14:paraId="48D7AB07" w14:textId="77777777" w:rsidR="007014C7" w:rsidRPr="004E48F7" w:rsidRDefault="007014C7" w:rsidP="00173C65">
                    <w:pPr>
                      <w:jc w:val="center"/>
                      <w:rPr>
                        <w:rFonts w:ascii="Times New Roman" w:hAnsi="Times New Roman"/>
                        <w:color w:val="000000" w:themeColor="text1"/>
                      </w:rPr>
                    </w:pPr>
                    <w:r w:rsidRPr="004E48F7">
                      <w:rPr>
                        <w:rFonts w:ascii="Times New Roman" w:hAnsi="Times New Roman"/>
                        <w:color w:val="000000" w:themeColor="text1"/>
                      </w:rPr>
                      <w:t>Последовательность действий методики проведения судебно-бухгалтерской экспертизы</w:t>
                    </w:r>
                  </w:p>
                </w:txbxContent>
              </v:textbox>
            </v:rect>
            <v:rect id="Прямоугольник 12" o:spid="_x0000_s1088" style="position:absolute;left:2658;top:9144;width:23072;height:637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tGdcIA&#10;AADbAAAADwAAAGRycy9kb3ducmV2LnhtbERPTWvCQBC9F/wPywi91U1zaCVmI7ZQLMVL00D1NmTH&#10;JJidDburif/eLRS8zeN9Tr6eTC8u5HxnWcHzIgFBXFvdcaOg+vl4WoLwAVljb5kUXMnDupg95Jhp&#10;O/I3XcrQiBjCPkMFbQhDJqWvWzLoF3YgjtzROoMhQtdI7XCM4aaXaZK8SIMdx4YWB3pvqT6VZ6Ng&#10;M76l24M/lFfz+7qveCe/3CiVepxPmxWIQFO4i//dnzrOT+Hvl3iALG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C0Z1wgAAANsAAAAPAAAAAAAAAAAAAAAAAJgCAABkcnMvZG93&#10;bnJldi54bWxQSwUGAAAAAAQABAD1AAAAhwMAAAAA&#10;" fillcolor="window" strokecolor="windowText">
              <v:textbox>
                <w:txbxContent>
                  <w:p w14:paraId="3BBC310E" w14:textId="77777777" w:rsidR="007014C7" w:rsidRPr="004E48F7" w:rsidRDefault="007014C7" w:rsidP="00173C65">
                    <w:pPr>
                      <w:jc w:val="center"/>
                      <w:rPr>
                        <w:rFonts w:ascii="Times New Roman" w:hAnsi="Times New Roman"/>
                        <w:color w:val="000000" w:themeColor="text1"/>
                        <w:sz w:val="20"/>
                      </w:rPr>
                    </w:pPr>
                    <w:r w:rsidRPr="00567A53">
                      <w:rPr>
                        <w:rFonts w:ascii="Times New Roman" w:hAnsi="Times New Roman"/>
                        <w:sz w:val="20"/>
                      </w:rPr>
                      <w:t xml:space="preserve">1) </w:t>
                    </w:r>
                    <w:r w:rsidRPr="004E48F7">
                      <w:rPr>
                        <w:rFonts w:ascii="Times New Roman" w:hAnsi="Times New Roman"/>
                        <w:color w:val="000000" w:themeColor="text1"/>
                        <w:sz w:val="20"/>
                      </w:rPr>
                      <w:t>ознакомление со всеми объектами исследования, представленными для экспертизы</w:t>
                    </w:r>
                  </w:p>
                </w:txbxContent>
              </v:textbox>
            </v:rect>
            <v:rect id="Прямоугольник 13" o:spid="_x0000_s1089" style="position:absolute;left:2654;top:17631;width:27116;height:637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fj7sEA&#10;AADbAAAADwAAAGRycy9kb3ducmV2LnhtbERPTYvCMBC9L/gfwgje1nQVVqlGUUGUxYtV2PU2NGNb&#10;tpmUJNr6783Cgrd5vM+ZLztTizs5X1lW8DFMQBDnVldcKDiftu9TED4ga6wtk4IHeVguem9zTLVt&#10;+Uj3LBQihrBPUUEZQpNK6fOSDPqhbYgjd7XOYIjQFVI7bGO4qeUoST6lwYpjQ4kNbUrKf7ObUbBq&#10;16PdxV+yh/me/Jz5IL9cK5Ua9LvVDESgLrzE/+69jvPH8PdLPE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H4+7BAAAA2wAAAA8AAAAAAAAAAAAAAAAAmAIAAGRycy9kb3du&#10;cmV2LnhtbFBLBQYAAAAABAAEAPUAAACGAwAAAAA=&#10;" fillcolor="window" strokecolor="windowText">
              <v:textbox>
                <w:txbxContent>
                  <w:p w14:paraId="7D912D8C" w14:textId="77777777" w:rsidR="007014C7" w:rsidRPr="004E48F7" w:rsidRDefault="007014C7" w:rsidP="00173C65">
                    <w:pPr>
                      <w:pStyle w:val="a9"/>
                      <w:jc w:val="center"/>
                      <w:rPr>
                        <w:color w:val="000000" w:themeColor="text1"/>
                      </w:rPr>
                    </w:pPr>
                    <w:r w:rsidRPr="004E48F7">
                      <w:rPr>
                        <w:color w:val="000000" w:themeColor="text1"/>
                        <w:sz w:val="20"/>
                        <w:szCs w:val="20"/>
                      </w:rPr>
                      <w:t>2) анализ достаточности объектов исследования для разрешения поставленных перед экспертом вопросов и дачи заключения</w:t>
                    </w:r>
                  </w:p>
                </w:txbxContent>
              </v:textbox>
            </v:rect>
            <v:rect id="Прямоугольник 14" o:spid="_x0000_s1090" style="position:absolute;left:2660;top:25907;width:24346;height:637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57msEA&#10;AADbAAAADwAAAGRycy9kb3ducmV2LnhtbERPTYvCMBC9L/gfwgje1nRFVqlGUUGUxYtV2PU2NGNb&#10;tpmUJNr6783Cgrd5vM+ZLztTizs5X1lW8DFMQBDnVldcKDiftu9TED4ga6wtk4IHeVguem9zTLVt&#10;+Uj3LBQihrBPUUEZQpNK6fOSDPqhbYgjd7XOYIjQFVI7bGO4qeUoST6lwYpjQ4kNbUrKf7ObUbBq&#10;16PdxV+yh/me/Jz5IL9cK5Ua9LvVDESgLrzE/+69jvPH8PdLPE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ue5rBAAAA2wAAAA8AAAAAAAAAAAAAAAAAmAIAAGRycy9kb3du&#10;cmV2LnhtbFBLBQYAAAAABAAEAPUAAACGAwAAAAA=&#10;" fillcolor="window" strokecolor="windowText">
              <v:textbox>
                <w:txbxContent>
                  <w:p w14:paraId="5F37C834" w14:textId="77777777" w:rsidR="007014C7" w:rsidRPr="004E48F7" w:rsidRDefault="007014C7" w:rsidP="00173C65">
                    <w:pPr>
                      <w:pStyle w:val="a9"/>
                      <w:jc w:val="center"/>
                      <w:rPr>
                        <w:color w:val="000000" w:themeColor="text1"/>
                      </w:rPr>
                    </w:pPr>
                    <w:r w:rsidRPr="004E48F7">
                      <w:rPr>
                        <w:color w:val="000000" w:themeColor="text1"/>
                        <w:sz w:val="20"/>
                        <w:szCs w:val="20"/>
                      </w:rPr>
                      <w:t>3) установление возможности дачи заключения по поставленным вопросам и степени определенности выводов</w:t>
                    </w:r>
                  </w:p>
                </w:txbxContent>
              </v:textbox>
            </v:rect>
            <v:rect id="Прямоугольник 15" o:spid="_x0000_s1091" style="position:absolute;left:2656;top:34539;width:23072;height:63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LeAcEA&#10;AADbAAAADwAAAGRycy9kb3ducmV2LnhtbERPTYvCMBC9L/gfwgje1nQFV6lGUUGUxYtV2PU2NGNb&#10;tpmUJNr6783Cgrd5vM+ZLztTizs5X1lW8DFMQBDnVldcKDiftu9TED4ga6wtk4IHeVguem9zTLVt&#10;+Uj3LBQihrBPUUEZQpNK6fOSDPqhbYgjd7XOYIjQFVI7bGO4qeUoST6lwYpjQ4kNbUrKf7ObUbBq&#10;16PdxV+yh/me/Jz5IL9cK5Ua9LvVDESgLrzE/+69jvPH8PdLPE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i3gHBAAAA2wAAAA8AAAAAAAAAAAAAAAAAmAIAAGRycy9kb3du&#10;cmV2LnhtbFBLBQYAAAAABAAEAPUAAACGAwAAAAA=&#10;" fillcolor="window" strokecolor="windowText">
              <v:textbox>
                <w:txbxContent>
                  <w:p w14:paraId="7ABB74B0" w14:textId="77777777" w:rsidR="007014C7" w:rsidRPr="004E48F7" w:rsidRDefault="007014C7" w:rsidP="00173C65">
                    <w:pPr>
                      <w:pStyle w:val="a9"/>
                      <w:spacing w:after="0"/>
                      <w:jc w:val="center"/>
                      <w:rPr>
                        <w:color w:val="000000" w:themeColor="text1"/>
                        <w:sz w:val="20"/>
                      </w:rPr>
                    </w:pPr>
                    <w:r w:rsidRPr="004E48F7">
                      <w:rPr>
                        <w:color w:val="000000" w:themeColor="text1"/>
                        <w:sz w:val="20"/>
                      </w:rPr>
                      <w:t>4) определение методов и способов проведения исследования</w:t>
                    </w:r>
                  </w:p>
                </w:txbxContent>
              </v:textbox>
            </v:rect>
            <v:rect id="Прямоугольник 16" o:spid="_x0000_s1092" style="position:absolute;left:2658;top:43145;width:27214;height:767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BAdsAA&#10;AADbAAAADwAAAGRycy9kb3ducmV2LnhtbERPTYvCMBC9C/6HMII3TfWgSzWKCsuK7GWroN6GZmyL&#10;zaQk0dZ/vxEW9jaP9znLdWdq8STnK8sKJuMEBHFudcWFgtPxc/QBwgdkjbVlUvAiD+tVv7fEVNuW&#10;f+iZhULEEPYpKihDaFIpfV6SQT+2DXHkbtYZDBG6QmqHbQw3tZwmyUwarDg2lNjQrqT8nj2Mgk27&#10;nX5d/TV7mfP8cuJveXCtVGo46DYLEIG68C/+c+91nD+D9y/x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DBAdsAAAADbAAAADwAAAAAAAAAAAAAAAACYAgAAZHJzL2Rvd25y&#10;ZXYueG1sUEsFBgAAAAAEAAQA9QAAAIUDAAAAAA==&#10;" fillcolor="window" strokecolor="windowText">
              <v:textbox>
                <w:txbxContent>
                  <w:p w14:paraId="09186497" w14:textId="77777777" w:rsidR="007014C7" w:rsidRPr="004E48F7" w:rsidRDefault="007014C7" w:rsidP="00173C65">
                    <w:pPr>
                      <w:pStyle w:val="a9"/>
                      <w:jc w:val="center"/>
                      <w:rPr>
                        <w:color w:val="000000" w:themeColor="text1"/>
                      </w:rPr>
                    </w:pPr>
                    <w:r w:rsidRPr="004E48F7">
                      <w:rPr>
                        <w:color w:val="000000" w:themeColor="text1"/>
                        <w:sz w:val="20"/>
                        <w:szCs w:val="20"/>
                      </w:rPr>
                      <w:t>5) определение экономического содержания хозяйственных операций, наличия имущества и обязательств, сведения о которых содержатся в представленных материалах</w:t>
                    </w:r>
                  </w:p>
                </w:txbxContent>
              </v:textbox>
            </v:rect>
            <v:rect id="Прямоугольник 18" o:spid="_x0000_s1093" style="position:absolute;left:36247;top:9113;width:24740;height:449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xn8QA&#10;AADbAAAADwAAAGRycy9kb3ducmV2LnhtbESPQWvCQBCF7wX/wzJCb3Wjh1ZSV7FCqZRejIJ6G7LT&#10;JDQ7G3ZXE/995yB4m+G9ee+bxWpwrbpSiI1nA9NJBoq49LbhysBh//kyBxUTssXWMxm4UYTVcvS0&#10;wNz6nnd0LVKlJIRjjgbqlLpc61jW5DBOfEcs2q8PDpOsodI2YC/hrtWzLHvVDhuWhho72tRU/hUX&#10;Z2Ddf8y+zvFc3Nzx7XTgH/0dem3M83hYv4NKNKSH+X69tYIvsPKLDK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jcZ/EAAAA2wAAAA8AAAAAAAAAAAAAAAAAmAIAAGRycy9k&#10;b3ducmV2LnhtbFBLBQYAAAAABAAEAPUAAACJAwAAAAA=&#10;" fillcolor="window" strokecolor="windowText">
              <v:textbox>
                <w:txbxContent>
                  <w:p w14:paraId="43C3EEA9" w14:textId="77777777" w:rsidR="007014C7" w:rsidRPr="004E48F7" w:rsidRDefault="007014C7" w:rsidP="00173C65">
                    <w:pPr>
                      <w:pStyle w:val="a9"/>
                      <w:jc w:val="center"/>
                      <w:rPr>
                        <w:color w:val="000000" w:themeColor="text1"/>
                      </w:rPr>
                    </w:pPr>
                    <w:r w:rsidRPr="004E48F7">
                      <w:rPr>
                        <w:color w:val="000000" w:themeColor="text1"/>
                        <w:sz w:val="20"/>
                        <w:szCs w:val="20"/>
                      </w:rPr>
                      <w:t>6) определение показателей исследования финансово-хозяйственной деятельности</w:t>
                    </w:r>
                  </w:p>
                </w:txbxContent>
              </v:textbox>
            </v:rect>
            <v:rect id="Прямоугольник 19" o:spid="_x0000_s1094" style="position:absolute;left:34311;top:15604;width:26688;height:75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UBMEA&#10;AADbAAAADwAAAGRycy9kb3ducmV2LnhtbERPTYvCMBC9L/gfwgje1nQ9uFqNooIoixersOttaMa2&#10;bDMpSbT135uFBW/zeJ8zX3amFndyvrKs4GOYgCDOra64UHA+bd8nIHxA1lhbJgUP8rBc9N7mmGrb&#10;8pHuWShEDGGfooIyhCaV0uclGfRD2xBH7mqdwRChK6R22MZwU8tRkoylwYpjQ4kNbUrKf7ObUbBq&#10;16PdxV+yh/n+/DnzQX65Vio16HerGYhAXXiJ/917HedP4e+XeI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v1ATBAAAA2wAAAA8AAAAAAAAAAAAAAAAAmAIAAGRycy9kb3du&#10;cmV2LnhtbFBLBQYAAAAABAAEAPUAAACGAwAAAAA=&#10;" fillcolor="window" strokecolor="windowText">
              <v:textbox>
                <w:txbxContent>
                  <w:p w14:paraId="52653682" w14:textId="77777777" w:rsidR="007014C7" w:rsidRPr="004E48F7" w:rsidRDefault="007014C7" w:rsidP="00173C65">
                    <w:pPr>
                      <w:pStyle w:val="a9"/>
                      <w:jc w:val="center"/>
                      <w:rPr>
                        <w:color w:val="000000" w:themeColor="text1"/>
                      </w:rPr>
                    </w:pPr>
                    <w:r w:rsidRPr="004E48F7">
                      <w:rPr>
                        <w:color w:val="000000" w:themeColor="text1"/>
                        <w:sz w:val="20"/>
                        <w:szCs w:val="20"/>
                      </w:rPr>
                      <w:t>7) определение в пределах компетентности эксперта-бухгалтера обязанностей исследуемых лиц по выполнению положений соответствующих отраслей законодательства</w:t>
                    </w:r>
                  </w:p>
                </w:txbxContent>
              </v:textbox>
            </v:rect>
            <v:rect id="Прямоугольник 20" o:spid="_x0000_s1095" style="position:absolute;left:34311;top:25659;width:26651;height:636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m3JMEA&#10;AADbAAAADwAAAGRycy9kb3ducmV2LnhtbERPPWvDMBDdC/kP4gLZGjke0uJaNkmgNJQudQKtt8O6&#10;2ibWyUhK7Pz7aih0fLzvvJzNIG7kfG9ZwWadgCBurO65VXA+vT4+g/ABWeNgmRTcyUNZLB5yzLSd&#10;+JNuVWhFDGGfoYIuhDGT0jcdGfRrOxJH7sc6gyFC10rtcIrhZpBpkmylwZ5jQ4cjHTpqLtXVKNhN&#10;+/St9nV1N19P32f+kO9ukkqtlvPuBUSgOfyL/9xHrSCN6+OX+ANk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5tyTBAAAA2wAAAA8AAAAAAAAAAAAAAAAAmAIAAGRycy9kb3du&#10;cmV2LnhtbFBLBQYAAAAABAAEAPUAAACGAwAAAAA=&#10;" fillcolor="window" strokecolor="windowText">
              <v:textbox>
                <w:txbxContent>
                  <w:p w14:paraId="12856263" w14:textId="77777777" w:rsidR="007014C7" w:rsidRPr="004E48F7" w:rsidRDefault="007014C7" w:rsidP="00173C65">
                    <w:pPr>
                      <w:pStyle w:val="a9"/>
                      <w:jc w:val="center"/>
                      <w:rPr>
                        <w:color w:val="000000" w:themeColor="text1"/>
                      </w:rPr>
                    </w:pPr>
                    <w:r w:rsidRPr="004E48F7">
                      <w:rPr>
                        <w:color w:val="000000" w:themeColor="text1"/>
                        <w:sz w:val="20"/>
                        <w:szCs w:val="20"/>
                      </w:rPr>
                      <w:t>8) установление фактического выполнения исследуемыми лицами положений соответствующих отраслей законодательства</w:t>
                    </w:r>
                  </w:p>
                </w:txbxContent>
              </v:textbox>
            </v:rect>
            <v:rect id="Прямоугольник 21" o:spid="_x0000_s1096" style="position:absolute;left:34311;top:34546;width:26645;height:932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USv8MA&#10;AADbAAAADwAAAGRycy9kb3ducmV2LnhtbESPQWvCQBSE70L/w/IK3nRjDlVSV7GFYhEvxkDr7ZF9&#10;TUKzb8PuauK/dwXB4zAz3zDL9WBacSHnG8sKZtMEBHFpdcOVguL4NVmA8AFZY2uZFFzJw3r1Mlpi&#10;pm3PB7rkoRIRwj5DBXUIXSalL2sy6Ke2I47en3UGQ5SuktphH+GmlWmSvEmDDceFGjv6rKn8z89G&#10;wab/SLcnf8qv5mf+W/Be7lwvlRq/Dpt3EIGG8Aw/2t9aQTq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bUSv8MAAADbAAAADwAAAAAAAAAAAAAAAACYAgAAZHJzL2Rv&#10;d25yZXYueG1sUEsFBgAAAAAEAAQA9QAAAIgDAAAAAA==&#10;" fillcolor="window" strokecolor="windowText">
              <v:textbox>
                <w:txbxContent>
                  <w:p w14:paraId="73C1528C" w14:textId="77777777" w:rsidR="007014C7" w:rsidRPr="004E48F7" w:rsidRDefault="007014C7" w:rsidP="00173C65">
                    <w:pPr>
                      <w:pStyle w:val="a9"/>
                      <w:jc w:val="center"/>
                      <w:rPr>
                        <w:color w:val="000000" w:themeColor="text1"/>
                      </w:rPr>
                    </w:pPr>
                    <w:r w:rsidRPr="004E48F7">
                      <w:rPr>
                        <w:color w:val="000000" w:themeColor="text1"/>
                        <w:sz w:val="20"/>
                        <w:szCs w:val="20"/>
                      </w:rPr>
                      <w:t>9) сопоставление определенных в ходе исследования обязанностей лиц по выполнению положений соответствующих отраслей законодательства с их фактическим выполнением</w:t>
                    </w:r>
                  </w:p>
                </w:txbxContent>
              </v:textbox>
            </v:rect>
            <v:rect id="Прямоугольник 22" o:spid="_x0000_s1097" style="position:absolute;left:34354;top:46251;width:26645;height:456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eMyMQA&#10;AADbAAAADwAAAGRycy9kb3ducmV2LnhtbESPQWvCQBSE70L/w/IKvemmOVRJsxFbKC2lF2PAentk&#10;n0kw+zbsbk38911B8DjMzDdMvp5ML87kfGdZwfMiAUFcW91xo6DafcxXIHxA1thbJgUX8rAuHmY5&#10;ZtqOvKVzGRoRIewzVNCGMGRS+rolg35hB+LoHa0zGKJ0jdQOxwg3vUyT5EUa7DgutDjQe0v1qfwz&#10;CjbjW/p58IfyYvbL34p/5LcbpVJPj9PmFUSgKdzDt/aXVpCm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njMjEAAAA2wAAAA8AAAAAAAAAAAAAAAAAmAIAAGRycy9k&#10;b3ducmV2LnhtbFBLBQYAAAAABAAEAPUAAACJAwAAAAA=&#10;" fillcolor="window" strokecolor="windowText">
              <v:textbox>
                <w:txbxContent>
                  <w:p w14:paraId="4220813B" w14:textId="77777777" w:rsidR="007014C7" w:rsidRPr="004E48F7" w:rsidRDefault="007014C7" w:rsidP="00173C65">
                    <w:pPr>
                      <w:pStyle w:val="a9"/>
                      <w:jc w:val="center"/>
                      <w:rPr>
                        <w:color w:val="000000" w:themeColor="text1"/>
                        <w:sz w:val="20"/>
                      </w:rPr>
                    </w:pPr>
                    <w:r w:rsidRPr="004E48F7">
                      <w:rPr>
                        <w:color w:val="000000" w:themeColor="text1"/>
                        <w:sz w:val="20"/>
                      </w:rPr>
                      <w:t>10) анализ и обобщение полученных результатов и формулирование выводов</w:t>
                    </w:r>
                  </w:p>
                </w:txbxContent>
              </v:textbox>
            </v:rect>
            <v:shape id="Прямая со стрелкой 23" o:spid="_x0000_s1098" type="#_x0000_t32" style="position:absolute;left:12971;top:6804;width:16799;height:230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jipMYAAADbAAAADwAAAGRycy9kb3ducmV2LnhtbESPQWvCQBSE70L/w/IKXqTZNEIJqatI&#10;oVCKIGovvT2yL9lg9m2aXZPor3cLhR6HmfmGWW0m24qBet84VvCcpCCIS6cbrhV8nd6fchA+IGts&#10;HZOCK3nYrB9mKyy0G/lAwzHUIkLYF6jAhNAVUvrSkEWfuI44epXrLYYo+1rqHscIt63M0vRFWmw4&#10;Lhjs6M1QeT5erILF4bupq+qyu/rlbZ+nn/sfUw5KzR+n7SuIQFP4D/+1P7SCbAm/X+IPkO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44qTGAAAA2wAAAA8AAAAAAAAA&#10;AAAAAAAAoQIAAGRycy9kb3ducmV2LnhtbFBLBQYAAAAABAAEAPkAAACUAwAAAAA=&#10;">
              <v:stroke endarrow="open"/>
            </v:shape>
            <v:shape id="Прямая со стрелкой 24" o:spid="_x0000_s1099" type="#_x0000_t32" style="position:absolute;left:12969;top:15612;width:1;height:202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ght8QAAADbAAAADwAAAGRycy9kb3ducmV2LnhtbESPQWvCQBSE7wX/w/IEL6VujK2V6CaI&#10;YFvwVC30+si+ZIPZtyG7xvTfu4VCj8PMfMNsi9G2YqDeN44VLOYJCOLS6YZrBV/nw9MahA/IGlvH&#10;pOCHPBT55GGLmXY3/qThFGoRIewzVGBC6DIpfWnIop+7jjh6lesthij7WuoebxFuW5kmyUpabDgu&#10;GOxob6i8nK5WQZVqWjxevs376wtW++MyHYb2TanZdNxtQAQaw3/4r/2hFaTP8Psl/g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OCG3xAAAANsAAAAPAAAAAAAAAAAA&#10;AAAAAKECAABkcnMvZG93bnJldi54bWxQSwUGAAAAAAQABAD5AAAAkgMAAAAA&#10;">
              <v:stroke endarrow="open"/>
            </v:shape>
            <v:shape id="Прямая со стрелкой 25" o:spid="_x0000_s1100" type="#_x0000_t32" style="position:absolute;left:12970;top:24009;width:0;height:189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SELMQAAADbAAAADwAAAGRycy9kb3ducmV2LnhtbESPT2vCQBTE7wW/w/KEXopuTPEP0VVE&#10;aC30ZBS8PrIv2WD2bciuMf32bqHQ4zAzv2E2u8E2oqfO144VzKYJCOLC6ZorBZfzx2QFwgdkjY1j&#10;UvBDHnbb0csGM+0efKI+D5WIEPYZKjAhtJmUvjBk0U9dSxy90nUWQ5RdJXWHjwi3jUyTZCEt1hwX&#10;DLZ0MFTc8rtVUKaaZm+3qzku51gevt/Tvm8+lXodD/s1iEBD+A//tb+0gnQOv1/iD5Db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dIQsxAAAANsAAAAPAAAAAAAAAAAA&#10;AAAAAKECAABkcnMvZG93bnJldi54bWxQSwUGAAAAAAQABAD5AAAAkgMAAAAA&#10;">
              <v:stroke endarrow="open"/>
            </v:shape>
            <v:shape id="Прямая со стрелкой 26" o:spid="_x0000_s1101" type="#_x0000_t32" style="position:absolute;left:12971;top:32283;width:0;height:226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YaW8MAAADbAAAADwAAAGRycy9kb3ducmV2LnhtbESPT4vCMBTE7wv7HcITvCyaWlldqlEW&#10;YVXYk39gr4/mtSk2L6XJ1vrtjSB4HGbmN8xy3dtadNT6yrGCyTgBQZw7XXGp4Hz6GX2B8AFZY+2Y&#10;FNzIw3r1/rbETLsrH6g7hlJECPsMFZgQmkxKnxuy6MeuIY5e4VqLIcq2lLrFa4TbWqZJMpMWK44L&#10;BhvaGMovx3+roEg1TT4uf2Y3/8Ri8ztNu67eKjUc9N8LEIH68Ao/23utIJ3B40v8AXJ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mGlvDAAAA2wAAAA8AAAAAAAAAAAAA&#10;AAAAoQIAAGRycy9kb3ducmV2LnhtbFBLBQYAAAAABAAEAPkAAACRAwAAAAA=&#10;">
              <v:stroke endarrow="open"/>
            </v:shape>
            <v:shape id="Прямая со стрелкой 27" o:spid="_x0000_s1102" type="#_x0000_t32" style="position:absolute;left:12970;top:40912;width:0;height:22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MQAAADbAAAADwAAAGRycy9kb3ducmV2LnhtbESPQWvCQBSE74L/YXmFXkQ3plhLmlVE&#10;sC14MhV6fWRfsiHZtyG7xvTfdwuFHoeZ+YbJ95PtxEiDbxwrWK8SEMSl0w3XCq6fp+ULCB+QNXaO&#10;ScE3edjv5rMcM+3ufKGxCLWIEPYZKjAh9JmUvjRk0a9cTxy9yg0WQ5RDLfWA9wi3nUyT5FlabDgu&#10;GOzpaKhsi5tVUKWa1ov2y7xvN1gdz0/pOHZvSj0+TIdXEIGm8B/+a39oBekWfr/EHyB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r/AxAAAANsAAAAPAAAAAAAAAAAA&#10;AAAAAKECAABkcnMvZG93bnJldi54bWxQSwUGAAAAAAQABAD5AAAAkgMAAAAA&#10;">
              <v:stroke endarrow="open"/>
            </v:shape>
            <v:shape id="Прямая со стрелкой 28" o:spid="_x0000_s1103" type="#_x0000_t32" style="position:absolute;left:25728;top:9673;width:10519;height:3346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w1cEAAADbAAAADwAAAGRycy9kb3ducmV2LnhtbERPTYvCMBC9C/6HMIIXWVMVpHSNIguC&#10;iCDqXvY2NNOm2Ey6Tax1f/3mIHh8vO/Vpre16Kj1lWMFs2kCgjh3uuJSwfd195GC8AFZY+2YFDzJ&#10;w2Y9HKww0+7BZ+ouoRQxhH2GCkwITSalzw1Z9FPXEEeucK3FEGFbSt3iI4bbWs6TZCktVhwbDDb0&#10;ZSi/Xe5WweT8U5VFcT8+/eLvlCaH06/JO6XGo377CSJQH97il3uvFczj2Pgl/gC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3HDVwQAAANsAAAAPAAAAAAAAAAAAAAAA&#10;AKECAABkcnMvZG93bnJldi54bWxQSwUGAAAAAAQABAD5AAAAjwMAAAAA&#10;">
              <v:stroke endarrow="open"/>
            </v:shape>
            <v:shape id="Прямая со стрелкой 29" o:spid="_x0000_s1104" type="#_x0000_t32" style="position:absolute;left:46672;top:13608;width:0;height:200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mOKcQAAADbAAAADwAAAGRycy9kb3ducmV2LnhtbESPQWvCQBSE7wX/w/IEL6VujLTW6CaI&#10;YFvwVC30+si+ZIPZtyG7xvTfu4VCj8PMfMNsi9G2YqDeN44VLOYJCOLS6YZrBV/nw9MrCB+QNbaO&#10;ScEPeSjyycMWM+1u/EnDKdQiQthnqMCE0GVS+tKQRT93HXH0KtdbDFH2tdQ93iLctjJNkhdpseG4&#10;YLCjvaHycrpaBVWqafF4+Tbvq2es9sdlOgztm1Kz6bjbgAg0hv/wX/tDK0jX8Psl/g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OY4pxAAAANsAAAAPAAAAAAAAAAAA&#10;AAAAAKECAABkcnMvZG93bnJldi54bWxQSwUGAAAAAAQABAD5AAAAkgMAAAAA&#10;">
              <v:stroke endarrow="open"/>
            </v:shape>
            <v:shape id="Прямая со стрелкой 30" o:spid="_x0000_s1105" type="#_x0000_t32" style="position:absolute;left:46659;top:23156;width:0;height:250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qxacEAAADbAAAADwAAAGRycy9kb3ducmV2LnhtbERPyWrDMBC9F/IPYgq5lEReaFPcKCEY&#10;mhZ6ahLodbDGlok1MpZqO38fHQo9Pt6+3c+2EyMNvnWsIF0nIIgrp1tuFFzO76tXED4ga+wck4Ib&#10;edjvFg9bLLSb+JvGU2hEDGFfoAITQl9I6StDFv3a9cSRq91gMUQ4NFIPOMVw28ksSV6kxZZjg8Ge&#10;SkPV9fRrFdSZpvTp+mM+Ns9Yl195No7dUanl43x4AxFoDv/iP/enVpDH9fFL/AFyd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2rFpwQAAANsAAAAPAAAAAAAAAAAAAAAA&#10;AKECAABkcnMvZG93bnJldi54bWxQSwUGAAAAAAQABAD5AAAAjwMAAAAA&#10;">
              <v:stroke endarrow="open"/>
            </v:shape>
            <v:shape id="Прямая со стрелкой 31" o:spid="_x0000_s1106" type="#_x0000_t32" style="position:absolute;left:46647;top:32020;width:0;height:251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U8sMAAADbAAAADwAAAGRycy9kb3ducmV2LnhtbESPQWvCQBSE70L/w/IKvYhuEtGW1FWK&#10;UCt4UgteH9mXbDD7NmS3Mf77riB4HGbmG2a5Hmwjeup87VhBOk1AEBdO11wp+D19Tz5A+ICssXFM&#10;Cm7kYb16GS0x1+7KB+qPoRIRwj5HBSaENpfSF4Ys+qlriaNXus5iiLKrpO7wGuG2kVmSLKTFmuOC&#10;wZY2horL8c8qKDNN6fhyNj/vcyw3+1nW981WqbfX4esTRKAhPMOP9k4rmKVw/xJ/gF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WFPLDAAAA2wAAAA8AAAAAAAAAAAAA&#10;AAAAoQIAAGRycy9kb3ducmV2LnhtbFBLBQYAAAAABAAEAPkAAACRAwAAAAA=&#10;">
              <v:stroke endarrow="open"/>
            </v:shape>
            <v:shape id="Прямая со стрелкой 32" o:spid="_x0000_s1107" type="#_x0000_t32" style="position:absolute;left:46651;top:43864;width:17;height:238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R4sYAAADbAAAADwAAAGRycy9kb3ducmV2LnhtbESPQWvCQBSE70L/w/IKXqTZNEIJqatI&#10;oVCKIGovvT2yL9lg9m2aXZPor3cLhR6HmfmGWW0m24qBet84VvCcpCCIS6cbrhV8nd6fchA+IGts&#10;HZOCK3nYrB9mKyy0G/lAwzHUIkLYF6jAhNAVUvrSkEWfuI44epXrLYYo+1rqHscIt63M0vRFWmw4&#10;Lhjs6M1QeT5erILF4bupq+qyu/rlbZ+nn/sfUw5KzR+n7SuIQFP4D/+1P7SCZQa/X+IPkO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t0eLGAAAA2wAAAA8AAAAAAAAA&#10;AAAAAAAAoQIAAGRycy9kb3ducmV2LnhtbFBLBQYAAAAABAAEAPkAAACUAwAAAAA=&#10;">
              <v:stroke endarrow="open"/>
            </v:shape>
            <w10:wrap type="none"/>
            <w10:anchorlock/>
          </v:group>
        </w:pict>
      </w:r>
    </w:p>
    <w:p w14:paraId="26D81AA1" w14:textId="77777777" w:rsidR="00173C65" w:rsidRPr="00345965" w:rsidRDefault="00173C65" w:rsidP="00924800">
      <w:pPr>
        <w:spacing w:after="120" w:line="240" w:lineRule="auto"/>
        <w:jc w:val="center"/>
        <w:rPr>
          <w:rFonts w:ascii="Times New Roman" w:hAnsi="Times New Roman"/>
          <w:sz w:val="24"/>
        </w:rPr>
      </w:pPr>
      <w:r w:rsidRPr="00345965">
        <w:rPr>
          <w:rFonts w:ascii="Times New Roman" w:hAnsi="Times New Roman"/>
          <w:sz w:val="24"/>
        </w:rPr>
        <w:t>Рис.1. Последовательность действий методики исследования в рамках бухгалтерской</w:t>
      </w:r>
      <w:r w:rsidRPr="00345965">
        <w:rPr>
          <w:rFonts w:ascii="Times New Roman" w:hAnsi="Times New Roman"/>
          <w:sz w:val="24"/>
        </w:rPr>
        <w:br/>
        <w:t>экспертизы</w:t>
      </w:r>
    </w:p>
    <w:p w14:paraId="6432384F" w14:textId="77777777" w:rsidR="00173C65" w:rsidRPr="00345965" w:rsidRDefault="00173C65" w:rsidP="00924800">
      <w:pPr>
        <w:spacing w:after="0" w:line="240" w:lineRule="auto"/>
        <w:ind w:firstLine="709"/>
        <w:jc w:val="both"/>
        <w:rPr>
          <w:rFonts w:ascii="Times New Roman" w:hAnsi="Times New Roman"/>
          <w:sz w:val="24"/>
        </w:rPr>
      </w:pPr>
      <w:r w:rsidRPr="00345965">
        <w:rPr>
          <w:rFonts w:ascii="Times New Roman" w:hAnsi="Times New Roman"/>
          <w:sz w:val="24"/>
        </w:rPr>
        <w:t>Поскольку экспертное исследование зависит от процесса доказывания в рамках судебного производства, следовательно, конкретные действия и задачи эксперта должны исходить из сущности преступления и особенностей того, что необходимо доказать с помощью бухгалтерской экспертизы. Исходя из этого будут выбраны определенные методы судебно-бухгалтерской экспертизы, с помощью которых вероятно достижение поставленной цели, также будет формироваться информационная база исследования, то есть перечень объектов, которые необходимо изучить эксперту, чтобы дать ответ на поставленные перед ним вопросы [1, с. 62].</w:t>
      </w:r>
    </w:p>
    <w:p w14:paraId="58E21F0F" w14:textId="77777777" w:rsidR="00173C65" w:rsidRPr="00345965" w:rsidRDefault="00173C65" w:rsidP="00924800">
      <w:pPr>
        <w:spacing w:after="0" w:line="240" w:lineRule="auto"/>
        <w:ind w:firstLine="709"/>
        <w:jc w:val="both"/>
        <w:rPr>
          <w:rFonts w:ascii="Times New Roman" w:hAnsi="Times New Roman"/>
          <w:sz w:val="24"/>
        </w:rPr>
      </w:pPr>
      <w:r w:rsidRPr="00345965">
        <w:rPr>
          <w:rFonts w:ascii="Times New Roman" w:hAnsi="Times New Roman"/>
          <w:sz w:val="24"/>
        </w:rPr>
        <w:t xml:space="preserve">Для того чтобы дать ответ на вопрос о соответствии финансово-хозяйственных операций определенным требованиям ведения бухгалтерского учета, необходимо в первую очередь иметь ясное и полное представление о самой операции, ее природе и экономической </w:t>
      </w:r>
      <w:r w:rsidRPr="00345965">
        <w:rPr>
          <w:rFonts w:ascii="Times New Roman" w:hAnsi="Times New Roman"/>
          <w:sz w:val="24"/>
        </w:rPr>
        <w:lastRenderedPageBreak/>
        <w:t>сущности. Речь здесь идет не просто об экономической грамотности, а об особых знаниях, таких как связь бухгалтерского учета с технологией производства, товарным обращением и так далее. Выделяют некоторые методологические принципы бухгалтерской экспертизы, представленные на рисунке 2 [5, с. 75].</w:t>
      </w:r>
    </w:p>
    <w:p w14:paraId="0D342564" w14:textId="77777777" w:rsidR="00173C65" w:rsidRPr="00924800" w:rsidRDefault="007014C7" w:rsidP="00924800">
      <w:pPr>
        <w:spacing w:after="0" w:line="240" w:lineRule="auto"/>
        <w:jc w:val="both"/>
        <w:rPr>
          <w:rFonts w:ascii="Times New Roman" w:hAnsi="Times New Roman"/>
          <w:sz w:val="20"/>
        </w:rPr>
      </w:pPr>
      <w:r>
        <w:rPr>
          <w:noProof/>
          <w:sz w:val="18"/>
          <w:lang w:eastAsia="ru-RU"/>
        </w:rPr>
      </w:r>
      <w:r>
        <w:rPr>
          <w:noProof/>
          <w:sz w:val="18"/>
          <w:lang w:eastAsia="ru-RU"/>
        </w:rPr>
        <w:pict w14:anchorId="74AB30F1">
          <v:group id="Полотно 43" o:spid="_x0000_s1108" editas="canvas" style="width:483.05pt;height:223.55pt;mso-position-horizontal-relative:char;mso-position-vertical-relative:line" coordsize="61347,28390">
            <v:shape id="_x0000_s1109" type="#_x0000_t75" style="position:absolute;width:61347;height:28390;visibility:visible">
              <v:fill o:detectmouseclick="t"/>
              <v:path o:connecttype="none"/>
            </v:shape>
            <v:rect id="Прямоугольник 33" o:spid="_x0000_s1110" style="position:absolute;left:19565;top:531;width:21799;height:478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9lmMIA&#10;AADbAAAADwAAAGRycy9kb3ducmV2LnhtbESPQYvCMBSE7wv+h/AEb2tqBVeqUUQQvXiwLqvHR/Ns&#10;q81LbaLWf28EYY/DzHzDTOetqcSdGldaVjDoRyCIM6tLzhX87lffYxDOI2usLJOCJzmYzzpfU0y0&#10;ffCO7qnPRYCwS1BB4X2dSOmyggy6vq2Jg3eyjUEfZJNL3eAjwE0l4ygaSYMlh4UCa1oWlF3SmwmU&#10;8zV1/rY+bI9mK+3PnznEg1ipXrddTEB4av1/+NPeaAXDIby/hB8gZ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r2WYwgAAANsAAAAPAAAAAAAAAAAAAAAAAJgCAABkcnMvZG93&#10;bnJldi54bWxQSwUGAAAAAAQABAD1AAAAhwMAAAAA&#10;" fillcolor="white [3201]" strokecolor="black [3200]">
              <v:textbox>
                <w:txbxContent>
                  <w:p w14:paraId="0269693D" w14:textId="77777777" w:rsidR="007014C7" w:rsidRPr="00567A53" w:rsidRDefault="007014C7" w:rsidP="00173C65">
                    <w:pPr>
                      <w:jc w:val="center"/>
                      <w:rPr>
                        <w:rFonts w:ascii="Times New Roman" w:hAnsi="Times New Roman"/>
                      </w:rPr>
                    </w:pPr>
                    <w:r w:rsidRPr="00567A53">
                      <w:rPr>
                        <w:rFonts w:ascii="Times New Roman" w:hAnsi="Times New Roman"/>
                      </w:rPr>
                      <w:t>Методологические принципы бухгалтерской экспертизы</w:t>
                    </w:r>
                  </w:p>
                </w:txbxContent>
              </v:textbox>
            </v:rect>
            <v:rect id="Прямоугольник 34" o:spid="_x0000_s1111" style="position:absolute;left:2977;top:8611;width:24136;height:68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b97MQA&#10;AADbAAAADwAAAGRycy9kb3ducmV2LnhtbESPQWvCQBSE74L/YXlCb83GtNgSXUWE0l48GKXp8ZF9&#10;Jmmzb9PsJqb/3hUKHoeZ+YZZbUbTiIE6V1tWMI9iEMSF1TWXCk7Ht8dXEM4ja2wsk4I/crBZTycr&#10;TLW98IGGzJciQNilqKDyvk2ldEVFBl1kW+LgnW1n0AfZlVJ3eAlw08gkjhfSYM1hocKWdhUVP1lv&#10;AuX7N3O+f8/3X2Yv7cunyZN5otTDbNwuQXga/T383/7QCp6e4fYl/AC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G/ezEAAAA2wAAAA8AAAAAAAAAAAAAAAAAmAIAAGRycy9k&#10;b3ducmV2LnhtbFBLBQYAAAAABAAEAPUAAACJAwAAAAA=&#10;" fillcolor="white [3201]" strokecolor="black [3200]">
              <v:textbox>
                <w:txbxContent>
                  <w:p w14:paraId="50667453" w14:textId="77777777" w:rsidR="007014C7" w:rsidRPr="00567A53" w:rsidRDefault="007014C7" w:rsidP="00173C65">
                    <w:pPr>
                      <w:jc w:val="center"/>
                      <w:rPr>
                        <w:rFonts w:ascii="Times New Roman" w:hAnsi="Times New Roman"/>
                      </w:rPr>
                    </w:pPr>
                    <w:r w:rsidRPr="00567A53">
                      <w:rPr>
                        <w:rFonts w:ascii="Times New Roman" w:hAnsi="Times New Roman"/>
                      </w:rPr>
                      <w:t>аналитический подход к хозяйственным операциям как предмету бухгалтерской экспертизы</w:t>
                    </w:r>
                  </w:p>
                </w:txbxContent>
              </v:textbox>
            </v:rect>
            <v:rect id="Прямоугольник 35" o:spid="_x0000_s1112" style="position:absolute;left:34129;top:8613;width:25286;height:680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Yd8QA&#10;AADbAAAADwAAAGRycy9kb3ducmV2LnhtbESPQWvCQBSE74L/YXlCb83GlNoSXUWE0l48GKXp8ZF9&#10;Jmmzb9PsJqb/3hUKHoeZ+YZZbUbTiIE6V1tWMI9iEMSF1TWXCk7Ht8dXEM4ja2wsk4I/crBZTycr&#10;TLW98IGGzJciQNilqKDyvk2ldEVFBl1kW+LgnW1n0AfZlVJ3eAlw08gkjhfSYM1hocKWdhUVP1lv&#10;AuX7N3O+f8/3X2Yv7cunyZN5otTDbNwuQXga/T383/7QCp6e4fYl/AC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KWHfEAAAA2wAAAA8AAAAAAAAAAAAAAAAAmAIAAGRycy9k&#10;b3ducmV2LnhtbFBLBQYAAAAABAAEAPUAAACJAwAAAAA=&#10;" fillcolor="white [3201]" strokecolor="black [3200]">
              <v:textbox>
                <w:txbxContent>
                  <w:p w14:paraId="3767214A" w14:textId="77777777" w:rsidR="007014C7" w:rsidRDefault="007014C7" w:rsidP="00173C65">
                    <w:pPr>
                      <w:pStyle w:val="a9"/>
                      <w:jc w:val="center"/>
                    </w:pPr>
                    <w:r w:rsidRPr="006B7214">
                      <w:rPr>
                        <w:sz w:val="22"/>
                      </w:rPr>
                      <w:t>определение степени соответствия хозяйственных операций</w:t>
                    </w:r>
                    <w:r>
                      <w:rPr>
                        <w:sz w:val="22"/>
                      </w:rPr>
                      <w:t xml:space="preserve"> </w:t>
                    </w:r>
                    <w:r w:rsidRPr="006B7214">
                      <w:rPr>
                        <w:sz w:val="22"/>
                        <w:szCs w:val="22"/>
                      </w:rPr>
                      <w:t>положениям, инструкциям и нормативным актам</w:t>
                    </w:r>
                  </w:p>
                </w:txbxContent>
              </v:textbox>
            </v:rect>
            <v:rect id="Прямоугольник 36" o:spid="_x0000_s1113" style="position:absolute;left:17117;top:19012;width:27430;height:841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jGAMQA&#10;AADbAAAADwAAAGRycy9kb3ducmV2LnhtbESPQWvCQBSE74X+h+UJvekmKcSSuooUpL3k0Cja4yP7&#10;mkSzb2N2o+m/dwWhx2FmvmEWq9G04kK9aywriGcRCOLS6oYrBbvtZvoGwnlkja1lUvBHDlbL56cF&#10;Ztpe+Zsuha9EgLDLUEHtfZdJ6cqaDLqZ7YiD92t7gz7IvpK6x2uAm1YmUZRKgw2HhRo7+qipPBWD&#10;CZTjuXB++DzkPyaXdr43hyROlHqZjOt3EJ5G/x9+tL+0gtcU7l/C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YxgDEAAAA2wAAAA8AAAAAAAAAAAAAAAAAmAIAAGRycy9k&#10;b3ducmV2LnhtbFBLBQYAAAAABAAEAPUAAACJAwAAAAA=&#10;" fillcolor="white [3201]" strokecolor="black [3200]">
              <v:textbox>
                <w:txbxContent>
                  <w:p w14:paraId="14480694" w14:textId="77777777" w:rsidR="007014C7" w:rsidRPr="006B7214" w:rsidRDefault="007014C7" w:rsidP="00173C65">
                    <w:pPr>
                      <w:pStyle w:val="a9"/>
                      <w:jc w:val="center"/>
                      <w:rPr>
                        <w:sz w:val="22"/>
                      </w:rPr>
                    </w:pPr>
                    <w:r w:rsidRPr="006B7214">
                      <w:rPr>
                        <w:sz w:val="22"/>
                      </w:rPr>
                      <w:t>проверка правильности документального и бухгалтерского</w:t>
                    </w:r>
                    <w:r>
                      <w:rPr>
                        <w:sz w:val="22"/>
                      </w:rPr>
                      <w:t xml:space="preserve"> </w:t>
                    </w:r>
                    <w:r w:rsidRPr="006B7214">
                      <w:rPr>
                        <w:sz w:val="22"/>
                      </w:rPr>
                      <w:t>отображения хозяйственных операций в системе учета и отчетности</w:t>
                    </w:r>
                  </w:p>
                  <w:p w14:paraId="488E728E" w14:textId="77777777" w:rsidR="007014C7" w:rsidRDefault="007014C7" w:rsidP="00173C65">
                    <w:pPr>
                      <w:pStyle w:val="a9"/>
                      <w:spacing w:after="0"/>
                      <w:jc w:val="center"/>
                    </w:pPr>
                    <w:r w:rsidRPr="006B7214">
                      <w:rPr>
                        <w:sz w:val="22"/>
                        <w:szCs w:val="22"/>
                      </w:rPr>
                      <w:t>предприятия – объекта исследования и его подразделений</w:t>
                    </w:r>
                  </w:p>
                </w:txbxContent>
              </v:textbox>
            </v:rect>
            <v:shape id="Прямая со стрелкой 37" o:spid="_x0000_s1114" type="#_x0000_t32" style="position:absolute;left:20314;top:5316;width:10151;height:3293;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1QMYAAADbAAAADwAAAGRycy9kb3ducmV2LnhtbESPQWvCQBSE74L/YXlCb7qpKU1JXUUq&#10;UouCVKXg7ZF9zYZm38bsqum/7woFj8PMfMNMZp2txYVaXzlW8DhKQBAXTldcKjjsl8MXED4ga6wd&#10;k4Jf8jCb9nsTzLW78idddqEUEcI+RwUmhCaX0heGLPqRa4ij9+1aiyHKtpS6xWuE21qOk+RZWqw4&#10;Lhhs6M1Q8bM7WwWLj6+n7NSdtun70WwKSrPjeL5W6mHQzV9BBOrCPfzfXmkFaQa3L/EHy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9kNUDGAAAA2wAAAA8AAAAAAAAA&#10;AAAAAAAAoQIAAGRycy9kb3ducmV2LnhtbFBLBQYAAAAABAAEAPkAAACUAwAAAAA=&#10;" strokecolor="black [3040]">
              <v:stroke endarrow="open"/>
            </v:shape>
            <v:shape id="Прямая со стрелкой 38" o:spid="_x0000_s1115" type="#_x0000_t32" style="position:absolute;left:30465;top:5316;width:9838;height:32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cg1L0AAADbAAAADwAAAGRycy9kb3ducmV2LnhtbERPuwrCMBTdBf8hXMFNUxVEq1FEKDjo&#10;4AvXS3Nti81NbWKtf28GwfFw3st1a0rRUO0KywpGwwgEcWp1wZmCyzkZzEA4j6yxtEwKPuRgvep2&#10;lhhr++YjNSefiRDCLkYFufdVLKVLczLohrYiDtzd1gZ9gHUmdY3vEG5KOY6iqTRYcGjIsaJtTunj&#10;9DIKIjdNntvz49BcMn/c32Sy+8yvSvV77WYBwlPr/+Kfe6cVTMLY8CX8ALn6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i3INS9AAAA2wAAAA8AAAAAAAAAAAAAAAAAoQIA&#10;AGRycy9kb3ducmV2LnhtbFBLBQYAAAAABAAEAPkAAACLAwAAAAA=&#10;" strokecolor="black [3040]">
              <v:stroke endarrow="open"/>
            </v:shape>
            <v:shape id="Прямая со стрелкой 39" o:spid="_x0000_s1116" type="#_x0000_t32" style="position:absolute;left:30464;top:5316;width:1;height:13693;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cEqcYAAADbAAAADwAAAGRycy9kb3ducmV2LnhtbESP3WoCMRSE7wu+QziF3tVs3VJ1NYq0&#10;lCoVxB8E7w6b42Zxc7JuUl3fvhEKvRxm5htmPG1tJS7U+NKxgpduAoI4d7rkQsFu+/k8AOEDssbK&#10;MSm4kYfppPMwxky7K6/psgmFiBD2GSowIdSZlD43ZNF3XU0cvaNrLIYom0LqBq8RbivZS5I3abHk&#10;uGCwpndD+WnzYxV8LPav/XN7XqVfB7PMKe0ferNvpZ4e29kIRKA2/If/2nOtIB3C/Uv8AXLy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3BKnGAAAA2wAAAA8AAAAAAAAA&#10;AAAAAAAAoQIAAGRycy9kb3ducmV2LnhtbFBLBQYAAAAABAAEAPkAAACUAwAAAAA=&#10;" strokecolor="black [3040]">
              <v:stroke endarrow="open"/>
            </v:shape>
            <w10:wrap type="none"/>
            <w10:anchorlock/>
          </v:group>
        </w:pict>
      </w:r>
    </w:p>
    <w:p w14:paraId="4B9DBD04" w14:textId="77777777" w:rsidR="00173C65" w:rsidRPr="00345965" w:rsidRDefault="00173C65" w:rsidP="00345965">
      <w:pPr>
        <w:spacing w:after="120" w:line="240" w:lineRule="auto"/>
        <w:jc w:val="center"/>
        <w:rPr>
          <w:rFonts w:ascii="Times New Roman" w:hAnsi="Times New Roman"/>
          <w:sz w:val="24"/>
        </w:rPr>
      </w:pPr>
      <w:r w:rsidRPr="00345965">
        <w:rPr>
          <w:rFonts w:ascii="Times New Roman" w:hAnsi="Times New Roman"/>
          <w:sz w:val="24"/>
        </w:rPr>
        <w:t>Рис.2. Методологические принципы бухгалтерской экспертизы</w:t>
      </w:r>
    </w:p>
    <w:p w14:paraId="1F35CC47"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Аналитический подход к финансово-хозяйственным операциям, которые являются предметом бухгалтерской экспертизы, предполагает исследование их экономической сущности. Цель этого процесса – определить алгоритм совершенных операций, разделить их на составные части и далее выявить конкретные предметы для экспертного исследования. Также при этом определяется состав приемов и методов будущего исследования. Именно данный принцип предполагает знание экспертом определенной отраслевой специфики и конкретных технологических особенностей организации (объекта исследования), а так же особенностей осуществления на нем некоторых операций. В случае если у эксперта-бухгалтера недостаточно специальных знаний, возможно привлечение третьих лиц либо путем получения экспертом разъяснений по отдельным аспектам у специалиста другого профиля, либо путем включения такого специалиста в экспертизу.</w:t>
      </w:r>
    </w:p>
    <w:p w14:paraId="68A7B467"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Аналитический подход к хозяйственным операциям сводится к анализу причин и следствий хозяйственных операций.</w:t>
      </w:r>
    </w:p>
    <w:p w14:paraId="0F16EF64"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Анализ причин совершения хозяйственных операций выходит за рамки бухгалтерской экспертизы. Однако необходимо иметь в виду, что прямая причина проведения хозяйственной операции, в которой выражается суть преступления, лежит в допущенных нарушениях хозяйственного процесса. Следовательно, любая хозяйственная операция, осуществляемая с какими-либо нарушениями, может иметь не только одну, но и целую цепь причин. Некоторые хозяйственные операции с другой стороны влекут за собой не только одно, а несколько следствий. В отдельных случаях такая череда последствий выводит на другие, иногда скрытые хозяйственные операции, которые требуют дополнительной экспертизы.</w:t>
      </w:r>
    </w:p>
    <w:p w14:paraId="69F2116D"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Методически данная задача решается с помощью изучения причинно-следственных связей тех хозяйственных операций, которые предшествовали и привели к совершению данной конкретной операции. Причем все связи предприятий рекомендуется делить на внешние и внутренние, что определяет документооборот и, как следствие, источники экспертного исследования и доказательств.</w:t>
      </w:r>
    </w:p>
    <w:p w14:paraId="1300A626"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Таким образом, анализ экономической сущности хозяйственных операций связан с пониманием логики хозяйственного процесса [5, с. 76].</w:t>
      </w:r>
    </w:p>
    <w:p w14:paraId="25A58987"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 xml:space="preserve">Принцип определения степени соответствия хозяйственных операций действующим положениям, инструкциям и нормативным актам состоит в проверке их правового </w:t>
      </w:r>
      <w:r w:rsidRPr="00345965">
        <w:rPr>
          <w:rFonts w:ascii="Times New Roman" w:hAnsi="Times New Roman"/>
          <w:sz w:val="24"/>
        </w:rPr>
        <w:lastRenderedPageBreak/>
        <w:t>обоснования, то есть в установлении обеспеченной возможности проведения рассматриваемых операций.</w:t>
      </w:r>
    </w:p>
    <w:p w14:paraId="15B44DA7"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При этом данный процесс может происходить в трех направлениях:</w:t>
      </w:r>
    </w:p>
    <w:p w14:paraId="4460843D" w14:textId="77777777" w:rsidR="00173C65" w:rsidRPr="00345965" w:rsidRDefault="00173C65" w:rsidP="00345965">
      <w:pPr>
        <w:numPr>
          <w:ilvl w:val="0"/>
          <w:numId w:val="20"/>
        </w:numPr>
        <w:spacing w:after="0" w:line="240" w:lineRule="auto"/>
        <w:ind w:left="709" w:hanging="709"/>
        <w:jc w:val="both"/>
        <w:rPr>
          <w:rFonts w:ascii="Times New Roman" w:hAnsi="Times New Roman"/>
          <w:sz w:val="24"/>
        </w:rPr>
      </w:pPr>
      <w:r w:rsidRPr="00345965">
        <w:rPr>
          <w:rFonts w:ascii="Times New Roman" w:hAnsi="Times New Roman"/>
          <w:sz w:val="24"/>
        </w:rPr>
        <w:t>проверка соответствия проведенной хозяйственной операции задачам и целям деятельности организации, то есть определение целесообразности и необходимости данной операции в рамках деятельности конкретного предприятия;</w:t>
      </w:r>
    </w:p>
    <w:p w14:paraId="21AFA432" w14:textId="77777777" w:rsidR="00173C65" w:rsidRPr="00345965" w:rsidRDefault="00173C65" w:rsidP="00345965">
      <w:pPr>
        <w:numPr>
          <w:ilvl w:val="0"/>
          <w:numId w:val="20"/>
        </w:numPr>
        <w:spacing w:after="0" w:line="240" w:lineRule="auto"/>
        <w:ind w:left="709" w:hanging="709"/>
        <w:jc w:val="both"/>
        <w:rPr>
          <w:rFonts w:ascii="Times New Roman" w:hAnsi="Times New Roman"/>
          <w:sz w:val="24"/>
        </w:rPr>
      </w:pPr>
      <w:r w:rsidRPr="00345965">
        <w:rPr>
          <w:rFonts w:ascii="Times New Roman" w:hAnsi="Times New Roman"/>
          <w:sz w:val="24"/>
        </w:rPr>
        <w:t>проверка законности совершения хозяйственной операции данным предприятием, то есть установление наличия соответствующей правоспособности юридического лица;</w:t>
      </w:r>
    </w:p>
    <w:p w14:paraId="56BD93BA" w14:textId="77777777" w:rsidR="00173C65" w:rsidRPr="00345965" w:rsidRDefault="00173C65" w:rsidP="00345965">
      <w:pPr>
        <w:numPr>
          <w:ilvl w:val="0"/>
          <w:numId w:val="20"/>
        </w:numPr>
        <w:spacing w:after="0" w:line="240" w:lineRule="auto"/>
        <w:ind w:left="709" w:hanging="709"/>
        <w:jc w:val="both"/>
        <w:rPr>
          <w:rFonts w:ascii="Times New Roman" w:hAnsi="Times New Roman"/>
          <w:sz w:val="24"/>
        </w:rPr>
      </w:pPr>
      <w:r w:rsidRPr="00345965">
        <w:rPr>
          <w:rFonts w:ascii="Times New Roman" w:hAnsi="Times New Roman"/>
          <w:sz w:val="24"/>
        </w:rPr>
        <w:t>проверка правомерности совершения данной операции конкретным лицом, то есть определение полномочий исполнителя на осуществление операции в рамках его должностных обязанностей.</w:t>
      </w:r>
    </w:p>
    <w:p w14:paraId="68851C54"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Для того чтобы предоставить конкретные доказательства об отсутствии или наличии правонарушений по исследуемому делу, необходимо проверить правильность бухгалтерского и документального отражения хозяйственных операций в системе учета и отчетности организации – объекта исследования и его подразделений. В широком плане данный принцип решает вопрос о степени полноты и точности бухгалтерских записей и документального оформления правовой обоснованности и экономической сущности финансово-хозяйственных операций. Последовательность, точность и завершенность бухгалтерского учета зависит от четко регламентированных связей этих носителей информации. Первым признаком правовых нарушений в проведении хозяйственной операции является как нарушение этих связей, так и искажение самой информации.</w:t>
      </w:r>
    </w:p>
    <w:p w14:paraId="26900828"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Информационная база для проведения судебно-бухгалтерской экспертизы составляет объект исследования. Объектами бухгалтерской экспертизы могут служить различные носители информации об объектах, фактах и событиях, которые подлежат изучению с помощью специальных знаний и методов. К ним можно отнести данные о ведении хозяйственной деятельности и проведении финансово-хозяйственных операций, об исполнении обязательств перед контрагентами, государством, работниками предприятия, о наличии и движении денежных средств организации и так далее [3, с. 156].</w:t>
      </w:r>
    </w:p>
    <w:p w14:paraId="536A3F5F"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Объекты исследования бухгалтерской экспертизы могут отражаться в записях оперативного или чернового учета, которые приобщены следователем к делу и имеют доказательственное значение. Сведения о проведенных хозяйственных операциях могут содержаться в протоколах следствия (в допросе потерпевшего, свидетеля, обвиняемого и так далее). Объекты бухгалтерской экспертизы могут также содержаться в документах доследственной проверки, которые приобщены к делу (протокол или акт осмотра, акт изъятия и т.д.), в случае, если они отвечают требованиям действующего Уголовно-процессуального кодекса РФ.</w:t>
      </w:r>
    </w:p>
    <w:p w14:paraId="56790FF5"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В случае если в качестве объектов исследования используются сведения из записей оперативного или чернового учета, а так же из протоколов следственных действий и так далее, вывод из проведенного экспертом исследования носит в этой части вероятностный характер. В подобных случаях эксперт-бухгалтер в своем заключении делает два вывода, один из которых однозначный (на основании официальных документов), другой – вероятностный (на основании данных, содержащихся в иных доказательствах, приобщенных к материалам дела).</w:t>
      </w:r>
    </w:p>
    <w:p w14:paraId="212EF533"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Если в качестве доказательств к делу приобщены копии или ксерокопии документов, эти документы изучаются экспертом только после проверки их доказательственной силы с помощью иных экспертиз либо других следственных действий. Либо на основании данных документов эксперт делает вероятностный вывод.</w:t>
      </w:r>
    </w:p>
    <w:p w14:paraId="6E3F8661"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 xml:space="preserve">В целом все материалы дела, которые предоставляются на исследование эксперта-бухгалтера следствием, обычно делят на основные и факультативные. К основным документам помимо документов учета и отчетности относят материалы неофициального учета (например, черновые записи материально-ответственных лиц, записи и документы внутреннего черного учета и т.п.). К факультативным материалам могут относиться </w:t>
      </w:r>
      <w:r w:rsidRPr="00345965">
        <w:rPr>
          <w:rFonts w:ascii="Times New Roman" w:hAnsi="Times New Roman"/>
          <w:sz w:val="24"/>
        </w:rPr>
        <w:lastRenderedPageBreak/>
        <w:t>заключения экспертов других специальностей, акты документальных ревизий, показания обвиняемых и свидетелей. Иногда первую группу объектов называют общими, а вторую – специальными объектами изучения эксперта-бухгалтера [4, с. 37].</w:t>
      </w:r>
    </w:p>
    <w:p w14:paraId="59903E67"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Документы, которые являются объектами судебно-бухгалтерской экспертизы, могут быть как на бумажных, так и на электронных носителях.</w:t>
      </w:r>
    </w:p>
    <w:p w14:paraId="4480E503"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В случае возникновения сомнений у эксперта-бухгалтера при изучении документов, содержащих объекты исследования, он ставит вопрос перед следователем о допросе лиц, ответственных за составление документов и в своем заключении делает ссылку на показания свидетелей.</w:t>
      </w:r>
    </w:p>
    <w:p w14:paraId="2D2E11D6" w14:textId="77777777" w:rsidR="00173C65" w:rsidRPr="00345965" w:rsidRDefault="00173C65" w:rsidP="00345965">
      <w:pPr>
        <w:spacing w:after="0" w:line="240" w:lineRule="auto"/>
        <w:ind w:firstLine="709"/>
        <w:jc w:val="both"/>
        <w:rPr>
          <w:rFonts w:ascii="Times New Roman" w:hAnsi="Times New Roman"/>
          <w:sz w:val="24"/>
        </w:rPr>
      </w:pPr>
      <w:r w:rsidRPr="00345965">
        <w:rPr>
          <w:rFonts w:ascii="Times New Roman" w:hAnsi="Times New Roman"/>
          <w:sz w:val="24"/>
        </w:rPr>
        <w:t>Таким образом, мы видим, что формирование методики бухгалтерской экспертизы является важной частью судебно-экспертного исследования. Исходя из сущности преступления и того, что необходимо доказать эксперт-бухгалтер выбирает определенные методы бухгалтерской экспертизы, с помощью которых вероятно достижение поставленной цели, а так же формирует информационную базу исследования, чтобы дать ответ на поставленные перед ним вопросы. Изучение специальной методической и нормативной литературы позволило выявить последовательность действий методики исследования в рамках бухгалтерской экспертизы, а так же методологические принципы, которых должен придерживаться эксперт.</w:t>
      </w:r>
    </w:p>
    <w:p w14:paraId="2353605C" w14:textId="77777777" w:rsidR="00173C65" w:rsidRPr="00345965" w:rsidRDefault="00173C65" w:rsidP="00345965">
      <w:pPr>
        <w:spacing w:after="0" w:line="240" w:lineRule="auto"/>
        <w:rPr>
          <w:u w:val="single"/>
        </w:rPr>
      </w:pPr>
      <w:r w:rsidRPr="00345965">
        <w:rPr>
          <w:rFonts w:ascii="Times New Roman" w:hAnsi="Times New Roman"/>
          <w:sz w:val="24"/>
          <w:u w:val="single"/>
        </w:rPr>
        <w:t>__________________________________________</w:t>
      </w:r>
    </w:p>
    <w:p w14:paraId="02871420" w14:textId="77777777" w:rsidR="00173C65" w:rsidRPr="00345965" w:rsidRDefault="00173C65" w:rsidP="00345965">
      <w:pPr>
        <w:numPr>
          <w:ilvl w:val="0"/>
          <w:numId w:val="46"/>
        </w:numPr>
        <w:spacing w:after="0" w:line="240" w:lineRule="auto"/>
        <w:ind w:left="0" w:firstLine="397"/>
        <w:jc w:val="both"/>
        <w:rPr>
          <w:rFonts w:ascii="Times New Roman" w:eastAsia="Times New Roman" w:hAnsi="Times New Roman" w:cs="Times New Roman"/>
          <w:sz w:val="24"/>
          <w:szCs w:val="20"/>
          <w:lang w:eastAsia="ru-RU"/>
        </w:rPr>
      </w:pPr>
      <w:r w:rsidRPr="00345965">
        <w:rPr>
          <w:rFonts w:ascii="Times New Roman" w:eastAsia="Times New Roman" w:hAnsi="Times New Roman" w:cs="Times New Roman"/>
          <w:sz w:val="24"/>
          <w:szCs w:val="20"/>
          <w:lang w:eastAsia="ru-RU"/>
        </w:rPr>
        <w:t>Алибеков Ш.И. Судебно-бухгалтерская экспертиза / Ш.И. Алибеков. – М.: Юстицинформ, 2006. – 144 c.</w:t>
      </w:r>
    </w:p>
    <w:p w14:paraId="06C266AD" w14:textId="77777777" w:rsidR="00173C65" w:rsidRPr="00345965" w:rsidRDefault="00173C65" w:rsidP="00345965">
      <w:pPr>
        <w:numPr>
          <w:ilvl w:val="0"/>
          <w:numId w:val="46"/>
        </w:numPr>
        <w:spacing w:after="0" w:line="240" w:lineRule="auto"/>
        <w:ind w:left="0" w:firstLine="397"/>
        <w:jc w:val="both"/>
        <w:rPr>
          <w:rFonts w:ascii="Times New Roman" w:eastAsia="Times New Roman" w:hAnsi="Times New Roman" w:cs="Times New Roman"/>
          <w:sz w:val="24"/>
          <w:szCs w:val="20"/>
          <w:lang w:eastAsia="ru-RU"/>
        </w:rPr>
      </w:pPr>
      <w:r w:rsidRPr="00345965">
        <w:rPr>
          <w:rFonts w:ascii="Times New Roman" w:eastAsia="Times New Roman" w:hAnsi="Times New Roman" w:cs="Times New Roman"/>
          <w:sz w:val="24"/>
          <w:szCs w:val="20"/>
          <w:lang w:eastAsia="ru-RU"/>
        </w:rPr>
        <w:t>Бобошко В.И. Судебно-бухгалтерская экспертиза / В.И. Бобошко, В.А. Бородин, Ю.П. Кузякин, Н.В. Парушина. – М.: ЮНИТИ-ДАНА, 2006. – 351 c.</w:t>
      </w:r>
    </w:p>
    <w:p w14:paraId="0D8D1070" w14:textId="77777777" w:rsidR="00173C65" w:rsidRPr="00345965" w:rsidRDefault="00173C65" w:rsidP="00345965">
      <w:pPr>
        <w:numPr>
          <w:ilvl w:val="0"/>
          <w:numId w:val="46"/>
        </w:numPr>
        <w:spacing w:after="0" w:line="240" w:lineRule="auto"/>
        <w:ind w:left="0" w:firstLine="397"/>
        <w:jc w:val="both"/>
        <w:rPr>
          <w:rFonts w:ascii="Times New Roman" w:eastAsia="Times New Roman" w:hAnsi="Times New Roman" w:cs="Times New Roman"/>
          <w:sz w:val="24"/>
          <w:szCs w:val="20"/>
          <w:lang w:eastAsia="ru-RU"/>
        </w:rPr>
      </w:pPr>
      <w:r w:rsidRPr="00345965">
        <w:rPr>
          <w:rFonts w:ascii="Times New Roman" w:eastAsia="Times New Roman" w:hAnsi="Times New Roman" w:cs="Times New Roman"/>
          <w:sz w:val="24"/>
          <w:szCs w:val="20"/>
          <w:lang w:eastAsia="ru-RU"/>
        </w:rPr>
        <w:t>Голубятников С.П. Судебная бухгалтерия / С.П. Голубятников. – М.:Юрид. лит., 1998. – 368 с.</w:t>
      </w:r>
    </w:p>
    <w:p w14:paraId="6B1781BD" w14:textId="77777777" w:rsidR="00173C65" w:rsidRPr="00345965" w:rsidRDefault="00173C65" w:rsidP="00345965">
      <w:pPr>
        <w:numPr>
          <w:ilvl w:val="0"/>
          <w:numId w:val="46"/>
        </w:numPr>
        <w:spacing w:after="0" w:line="240" w:lineRule="auto"/>
        <w:ind w:left="0" w:firstLine="397"/>
        <w:jc w:val="both"/>
        <w:rPr>
          <w:rFonts w:ascii="Times New Roman" w:eastAsia="Times New Roman" w:hAnsi="Times New Roman" w:cs="Times New Roman"/>
          <w:sz w:val="24"/>
          <w:szCs w:val="20"/>
          <w:lang w:eastAsia="ru-RU"/>
        </w:rPr>
      </w:pPr>
      <w:r w:rsidRPr="00345965">
        <w:rPr>
          <w:rFonts w:ascii="Times New Roman" w:eastAsia="Times New Roman" w:hAnsi="Times New Roman" w:cs="Times New Roman"/>
          <w:sz w:val="24"/>
          <w:szCs w:val="20"/>
          <w:lang w:eastAsia="ru-RU"/>
        </w:rPr>
        <w:t>Зинин А.М. Судебная экспертиза / А.М. Зинин, Н.П. Майлис. – М.: Право и закон – Юрайт-Издат, 2002. – 320 с.</w:t>
      </w:r>
    </w:p>
    <w:p w14:paraId="7226EC25" w14:textId="77777777" w:rsidR="00173C65" w:rsidRPr="00345965" w:rsidRDefault="00173C65" w:rsidP="00345965">
      <w:pPr>
        <w:numPr>
          <w:ilvl w:val="0"/>
          <w:numId w:val="46"/>
        </w:numPr>
        <w:spacing w:after="0" w:line="240" w:lineRule="auto"/>
        <w:ind w:left="0" w:firstLine="397"/>
        <w:jc w:val="both"/>
        <w:rPr>
          <w:rFonts w:ascii="Times New Roman" w:eastAsia="Times New Roman" w:hAnsi="Times New Roman" w:cs="Times New Roman"/>
          <w:sz w:val="24"/>
          <w:szCs w:val="20"/>
          <w:lang w:eastAsia="ru-RU"/>
        </w:rPr>
      </w:pPr>
      <w:r w:rsidRPr="00345965">
        <w:rPr>
          <w:rFonts w:ascii="Times New Roman" w:eastAsia="Times New Roman" w:hAnsi="Times New Roman" w:cs="Times New Roman"/>
          <w:sz w:val="24"/>
          <w:szCs w:val="20"/>
          <w:lang w:eastAsia="ru-RU"/>
        </w:rPr>
        <w:t>Пащенко Т.В. Развитие теории и практики бухгалтерской экспертизы: монография / Т.В. Пащенко, Т.Г. Шешукова. – Пермь: Изд-во Перм. гос. ун-т, 2010. – 170 с.</w:t>
      </w:r>
    </w:p>
    <w:p w14:paraId="230165FA" w14:textId="77777777" w:rsidR="00173C65" w:rsidRPr="00384E6D" w:rsidRDefault="00173C65" w:rsidP="00173C65">
      <w:pPr>
        <w:spacing w:line="240" w:lineRule="auto"/>
        <w:rPr>
          <w:rFonts w:ascii="Times New Roman" w:hAnsi="Times New Roman"/>
          <w:b/>
          <w:sz w:val="24"/>
          <w:szCs w:val="24"/>
        </w:rPr>
      </w:pPr>
    </w:p>
    <w:p w14:paraId="0186DC63" w14:textId="77777777" w:rsidR="00173C65" w:rsidRPr="00345965" w:rsidRDefault="00173C65" w:rsidP="00173C65">
      <w:pPr>
        <w:pStyle w:val="af2"/>
        <w:rPr>
          <w:rFonts w:ascii="Times New Roman" w:hAnsi="Times New Roman"/>
          <w:b/>
          <w:sz w:val="24"/>
          <w:szCs w:val="24"/>
        </w:rPr>
      </w:pPr>
      <w:r w:rsidRPr="00345965">
        <w:rPr>
          <w:rFonts w:ascii="Times New Roman" w:hAnsi="Times New Roman"/>
          <w:b/>
          <w:sz w:val="24"/>
          <w:szCs w:val="24"/>
        </w:rPr>
        <w:t>Рубрика: 08.00.12 Бухгалтерский учёт, статистика</w:t>
      </w:r>
    </w:p>
    <w:p w14:paraId="7CB33CA5" w14:textId="77777777" w:rsidR="00384E6D" w:rsidRPr="00345965" w:rsidRDefault="00384E6D" w:rsidP="00173C65">
      <w:pPr>
        <w:pStyle w:val="af2"/>
        <w:rPr>
          <w:rFonts w:ascii="Times New Roman" w:hAnsi="Times New Roman"/>
          <w:sz w:val="24"/>
          <w:szCs w:val="24"/>
        </w:rPr>
      </w:pPr>
    </w:p>
    <w:p w14:paraId="3E009477" w14:textId="77777777" w:rsidR="00173C65" w:rsidRPr="00345965" w:rsidRDefault="00173C65" w:rsidP="00173C65">
      <w:pPr>
        <w:pStyle w:val="af2"/>
        <w:rPr>
          <w:rFonts w:ascii="Times New Roman" w:hAnsi="Times New Roman"/>
          <w:sz w:val="24"/>
          <w:szCs w:val="24"/>
        </w:rPr>
      </w:pPr>
      <w:r w:rsidRPr="00345965">
        <w:rPr>
          <w:rFonts w:ascii="Times New Roman" w:hAnsi="Times New Roman"/>
          <w:sz w:val="24"/>
          <w:szCs w:val="24"/>
        </w:rPr>
        <w:t>УДК 314.02</w:t>
      </w:r>
    </w:p>
    <w:p w14:paraId="17414610" w14:textId="77777777" w:rsidR="00173C65" w:rsidRPr="00345965" w:rsidRDefault="00173C65" w:rsidP="00173C65">
      <w:pPr>
        <w:spacing w:after="0" w:line="240" w:lineRule="auto"/>
        <w:jc w:val="center"/>
        <w:rPr>
          <w:rFonts w:ascii="Times New Roman" w:eastAsia="Batang" w:hAnsi="Times New Roman" w:cs="Times New Roman"/>
          <w:b/>
          <w:sz w:val="24"/>
          <w:szCs w:val="24"/>
        </w:rPr>
      </w:pPr>
    </w:p>
    <w:p w14:paraId="43413DB7" w14:textId="77777777" w:rsidR="00173C65" w:rsidRPr="00345965" w:rsidRDefault="00384E6D" w:rsidP="00173C65">
      <w:pPr>
        <w:spacing w:after="0" w:line="240" w:lineRule="auto"/>
        <w:jc w:val="center"/>
        <w:rPr>
          <w:rFonts w:ascii="Times New Roman" w:eastAsia="Batang" w:hAnsi="Times New Roman" w:cs="Times New Roman"/>
          <w:b/>
          <w:sz w:val="24"/>
          <w:szCs w:val="24"/>
        </w:rPr>
      </w:pPr>
      <w:r w:rsidRPr="00345965">
        <w:rPr>
          <w:rFonts w:ascii="Times New Roman" w:eastAsia="Batang" w:hAnsi="Times New Roman" w:cs="Times New Roman"/>
          <w:b/>
          <w:sz w:val="24"/>
          <w:szCs w:val="24"/>
        </w:rPr>
        <w:t>ДЕМОГРАФИЧЕСКИЕ ТЕНДЕНЦИИ РАЗВИТИЯ РОЖДАЕМОСТИ В ПРИМОРСКОМ КРАЕ</w:t>
      </w:r>
    </w:p>
    <w:p w14:paraId="781DF2CB" w14:textId="77777777" w:rsidR="00173C65" w:rsidRPr="00345965" w:rsidRDefault="00173C65" w:rsidP="00173C65">
      <w:pPr>
        <w:spacing w:after="0" w:line="240" w:lineRule="auto"/>
        <w:jc w:val="center"/>
        <w:rPr>
          <w:rFonts w:ascii="Times New Roman" w:eastAsia="Batang" w:hAnsi="Times New Roman" w:cs="Times New Roman"/>
          <w:b/>
          <w:sz w:val="24"/>
          <w:szCs w:val="24"/>
        </w:rPr>
      </w:pPr>
    </w:p>
    <w:p w14:paraId="28EEC150" w14:textId="77777777" w:rsidR="00173C65" w:rsidRPr="00345965" w:rsidRDefault="00163E4B" w:rsidP="00173C65">
      <w:pPr>
        <w:spacing w:after="0" w:line="240" w:lineRule="auto"/>
        <w:jc w:val="center"/>
        <w:rPr>
          <w:rFonts w:ascii="Times New Roman" w:eastAsia="Batang" w:hAnsi="Times New Roman" w:cs="Times New Roman"/>
          <w:b/>
          <w:sz w:val="24"/>
          <w:szCs w:val="24"/>
        </w:rPr>
      </w:pPr>
      <w:r>
        <w:rPr>
          <w:rFonts w:ascii="Times New Roman" w:eastAsia="Batang" w:hAnsi="Times New Roman" w:cs="Times New Roman"/>
          <w:b/>
          <w:sz w:val="24"/>
          <w:szCs w:val="24"/>
        </w:rPr>
        <w:t>Сердюкова Екатерина Андреевна</w:t>
      </w:r>
    </w:p>
    <w:p w14:paraId="7DEE96D0" w14:textId="77777777" w:rsidR="00173C65" w:rsidRPr="00345965" w:rsidRDefault="00173C65" w:rsidP="00173C65">
      <w:pPr>
        <w:spacing w:after="0" w:line="240" w:lineRule="auto"/>
        <w:jc w:val="center"/>
        <w:rPr>
          <w:rFonts w:ascii="Times New Roman" w:eastAsia="Batang" w:hAnsi="Times New Roman" w:cs="Times New Roman"/>
          <w:sz w:val="24"/>
          <w:szCs w:val="24"/>
        </w:rPr>
      </w:pPr>
      <w:r w:rsidRPr="00345965">
        <w:rPr>
          <w:rFonts w:ascii="Times New Roman" w:eastAsia="Batang" w:hAnsi="Times New Roman" w:cs="Times New Roman"/>
          <w:sz w:val="24"/>
          <w:szCs w:val="24"/>
        </w:rPr>
        <w:t>бакалавр</w:t>
      </w:r>
    </w:p>
    <w:p w14:paraId="16788234" w14:textId="77777777" w:rsidR="00384E6D" w:rsidRPr="00345965" w:rsidRDefault="00384E6D" w:rsidP="00173C65">
      <w:pPr>
        <w:spacing w:after="0" w:line="240" w:lineRule="auto"/>
        <w:jc w:val="center"/>
        <w:rPr>
          <w:rFonts w:ascii="Times New Roman" w:eastAsia="Batang" w:hAnsi="Times New Roman" w:cs="Times New Roman"/>
          <w:i/>
          <w:sz w:val="24"/>
          <w:szCs w:val="24"/>
        </w:rPr>
      </w:pPr>
    </w:p>
    <w:p w14:paraId="09C422E2" w14:textId="77777777" w:rsidR="00173C65" w:rsidRPr="00345965" w:rsidRDefault="00173C65" w:rsidP="00173C65">
      <w:pPr>
        <w:spacing w:after="0" w:line="240" w:lineRule="auto"/>
        <w:jc w:val="center"/>
        <w:rPr>
          <w:rFonts w:ascii="Times New Roman" w:eastAsia="Batang" w:hAnsi="Times New Roman" w:cs="Times New Roman"/>
          <w:i/>
          <w:sz w:val="24"/>
          <w:szCs w:val="24"/>
        </w:rPr>
      </w:pPr>
      <w:r w:rsidRPr="00345965">
        <w:rPr>
          <w:rFonts w:ascii="Times New Roman" w:eastAsia="Batang" w:hAnsi="Times New Roman" w:cs="Times New Roman"/>
          <w:i/>
          <w:sz w:val="24"/>
          <w:szCs w:val="24"/>
        </w:rPr>
        <w:t>Владивостокский государственный университет экономики и сервиса</w:t>
      </w:r>
    </w:p>
    <w:p w14:paraId="4E14BA58" w14:textId="77777777" w:rsidR="00173C65" w:rsidRPr="00345965" w:rsidRDefault="00173C65" w:rsidP="00173C65">
      <w:pPr>
        <w:spacing w:after="0" w:line="240" w:lineRule="auto"/>
        <w:jc w:val="center"/>
        <w:rPr>
          <w:rFonts w:ascii="Times New Roman" w:eastAsia="Batang" w:hAnsi="Times New Roman" w:cs="Times New Roman"/>
          <w:i/>
          <w:sz w:val="24"/>
          <w:szCs w:val="24"/>
        </w:rPr>
      </w:pPr>
      <w:r w:rsidRPr="00345965">
        <w:rPr>
          <w:rFonts w:ascii="Times New Roman" w:eastAsia="Batang" w:hAnsi="Times New Roman" w:cs="Times New Roman"/>
          <w:i/>
          <w:sz w:val="24"/>
          <w:szCs w:val="24"/>
        </w:rPr>
        <w:t>Россия, Владивосток</w:t>
      </w:r>
    </w:p>
    <w:p w14:paraId="57A6A0F0" w14:textId="77777777" w:rsidR="00384E6D" w:rsidRPr="00345965" w:rsidRDefault="00384E6D" w:rsidP="00173C65">
      <w:pPr>
        <w:spacing w:after="0" w:line="240" w:lineRule="auto"/>
        <w:jc w:val="center"/>
        <w:rPr>
          <w:rFonts w:ascii="Times New Roman" w:eastAsia="Batang" w:hAnsi="Times New Roman" w:cs="Times New Roman"/>
          <w:sz w:val="24"/>
          <w:szCs w:val="24"/>
        </w:rPr>
      </w:pPr>
    </w:p>
    <w:p w14:paraId="6B7A8BE2" w14:textId="77777777" w:rsidR="00173C65" w:rsidRPr="007E1000" w:rsidRDefault="00173C65" w:rsidP="00173C65">
      <w:pPr>
        <w:spacing w:after="0" w:line="240" w:lineRule="auto"/>
        <w:jc w:val="center"/>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lang w:val="en-US"/>
        </w:rPr>
        <w:t>E</w:t>
      </w:r>
      <w:r w:rsidRPr="007E1000">
        <w:rPr>
          <w:rFonts w:ascii="Times New Roman" w:eastAsia="Batang" w:hAnsi="Times New Roman" w:cs="Times New Roman"/>
          <w:color w:val="000000" w:themeColor="text1"/>
          <w:sz w:val="24"/>
          <w:szCs w:val="24"/>
        </w:rPr>
        <w:t>-</w:t>
      </w:r>
      <w:r w:rsidRPr="00345965">
        <w:rPr>
          <w:rFonts w:ascii="Times New Roman" w:eastAsia="Batang" w:hAnsi="Times New Roman" w:cs="Times New Roman"/>
          <w:color w:val="000000" w:themeColor="text1"/>
          <w:sz w:val="24"/>
          <w:szCs w:val="24"/>
          <w:lang w:val="en-US"/>
        </w:rPr>
        <w:t>mail</w:t>
      </w:r>
      <w:r w:rsidRPr="007E1000">
        <w:rPr>
          <w:rFonts w:ascii="Times New Roman" w:eastAsia="Batang" w:hAnsi="Times New Roman" w:cs="Times New Roman"/>
          <w:color w:val="000000" w:themeColor="text1"/>
          <w:sz w:val="24"/>
          <w:szCs w:val="24"/>
        </w:rPr>
        <w:t xml:space="preserve">: </w:t>
      </w:r>
      <w:hyperlink r:id="rId47" w:history="1">
        <w:r w:rsidRPr="00345965">
          <w:rPr>
            <w:rStyle w:val="a4"/>
            <w:rFonts w:ascii="Times New Roman" w:eastAsia="Batang" w:hAnsi="Times New Roman" w:cs="Times New Roman"/>
            <w:color w:val="000000" w:themeColor="text1"/>
            <w:sz w:val="24"/>
            <w:szCs w:val="24"/>
            <w:lang w:val="en-US"/>
          </w:rPr>
          <w:t>katyusha</w:t>
        </w:r>
        <w:r w:rsidRPr="007E1000">
          <w:rPr>
            <w:rStyle w:val="a4"/>
            <w:rFonts w:ascii="Times New Roman" w:eastAsia="Batang" w:hAnsi="Times New Roman" w:cs="Times New Roman"/>
            <w:color w:val="000000" w:themeColor="text1"/>
            <w:sz w:val="24"/>
            <w:szCs w:val="24"/>
          </w:rPr>
          <w:t>98@</w:t>
        </w:r>
        <w:r w:rsidRPr="00345965">
          <w:rPr>
            <w:rStyle w:val="a4"/>
            <w:rFonts w:ascii="Times New Roman" w:eastAsia="Batang" w:hAnsi="Times New Roman" w:cs="Times New Roman"/>
            <w:color w:val="000000" w:themeColor="text1"/>
            <w:sz w:val="24"/>
            <w:szCs w:val="24"/>
            <w:lang w:val="en-US"/>
          </w:rPr>
          <w:t>mail</w:t>
        </w:r>
        <w:r w:rsidRPr="007E1000">
          <w:rPr>
            <w:rStyle w:val="a4"/>
            <w:rFonts w:ascii="Times New Roman" w:eastAsia="Batang" w:hAnsi="Times New Roman" w:cs="Times New Roman"/>
            <w:color w:val="000000" w:themeColor="text1"/>
            <w:sz w:val="24"/>
            <w:szCs w:val="24"/>
          </w:rPr>
          <w:t>.</w:t>
        </w:r>
        <w:r w:rsidRPr="00345965">
          <w:rPr>
            <w:rStyle w:val="a4"/>
            <w:rFonts w:ascii="Times New Roman" w:eastAsia="Batang" w:hAnsi="Times New Roman" w:cs="Times New Roman"/>
            <w:color w:val="000000" w:themeColor="text1"/>
            <w:sz w:val="24"/>
            <w:szCs w:val="24"/>
            <w:lang w:val="en-US"/>
          </w:rPr>
          <w:t>ru</w:t>
        </w:r>
      </w:hyperlink>
      <w:r w:rsidRPr="007E1000">
        <w:rPr>
          <w:rFonts w:ascii="Times New Roman" w:eastAsia="Batang" w:hAnsi="Times New Roman" w:cs="Times New Roman"/>
          <w:color w:val="000000" w:themeColor="text1"/>
          <w:sz w:val="24"/>
          <w:szCs w:val="24"/>
        </w:rPr>
        <w:t xml:space="preserve">; </w:t>
      </w:r>
      <w:r w:rsidRPr="00345965">
        <w:rPr>
          <w:rFonts w:ascii="Times New Roman" w:eastAsia="Batang" w:hAnsi="Times New Roman" w:cs="Times New Roman"/>
          <w:color w:val="000000" w:themeColor="text1"/>
          <w:sz w:val="24"/>
          <w:szCs w:val="24"/>
        </w:rPr>
        <w:t>тел</w:t>
      </w:r>
      <w:r w:rsidRPr="007E1000">
        <w:rPr>
          <w:rFonts w:ascii="Times New Roman" w:eastAsia="Batang" w:hAnsi="Times New Roman" w:cs="Times New Roman"/>
          <w:color w:val="000000" w:themeColor="text1"/>
          <w:sz w:val="24"/>
          <w:szCs w:val="24"/>
        </w:rPr>
        <w:t>.: +79149601271</w:t>
      </w:r>
    </w:p>
    <w:p w14:paraId="567289D7" w14:textId="77777777" w:rsidR="00173C65" w:rsidRPr="00345965" w:rsidRDefault="00173C65" w:rsidP="00173C65">
      <w:pPr>
        <w:spacing w:after="0" w:line="240" w:lineRule="auto"/>
        <w:jc w:val="center"/>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ул.Гоголя, 41, г.Владивосток, Приморский край, Россия, 690014</w:t>
      </w:r>
    </w:p>
    <w:p w14:paraId="7DF0CA62" w14:textId="77777777" w:rsidR="00173C65" w:rsidRPr="00345965" w:rsidRDefault="00173C65" w:rsidP="00173C65">
      <w:pPr>
        <w:spacing w:after="0" w:line="240" w:lineRule="auto"/>
        <w:jc w:val="center"/>
        <w:rPr>
          <w:rFonts w:ascii="Times New Roman" w:eastAsia="Batang" w:hAnsi="Times New Roman" w:cs="Times New Roman"/>
          <w:color w:val="000000" w:themeColor="text1"/>
          <w:sz w:val="24"/>
          <w:szCs w:val="24"/>
        </w:rPr>
      </w:pPr>
    </w:p>
    <w:p w14:paraId="44BA3426" w14:textId="77777777" w:rsidR="00173C65" w:rsidRPr="00345965" w:rsidRDefault="00173C65" w:rsidP="00173C65">
      <w:pPr>
        <w:spacing w:after="0" w:line="240" w:lineRule="auto"/>
        <w:jc w:val="center"/>
        <w:rPr>
          <w:rFonts w:ascii="Times New Roman" w:eastAsia="Batang" w:hAnsi="Times New Roman" w:cs="Times New Roman"/>
          <w:color w:val="000000" w:themeColor="text1"/>
          <w:sz w:val="24"/>
          <w:szCs w:val="24"/>
        </w:rPr>
      </w:pPr>
    </w:p>
    <w:p w14:paraId="29121B9A" w14:textId="77777777" w:rsidR="00163E4B" w:rsidRDefault="00173C65" w:rsidP="00163E4B">
      <w:pPr>
        <w:spacing w:after="0" w:line="240" w:lineRule="auto"/>
        <w:ind w:firstLine="709"/>
        <w:jc w:val="both"/>
        <w:rPr>
          <w:rFonts w:ascii="Times New Roman" w:eastAsia="Batang" w:hAnsi="Times New Roman" w:cs="Times New Roman"/>
          <w:i/>
          <w:sz w:val="24"/>
          <w:szCs w:val="24"/>
        </w:rPr>
      </w:pPr>
      <w:r w:rsidRPr="00345965">
        <w:rPr>
          <w:rFonts w:ascii="Times New Roman" w:eastAsia="Batang" w:hAnsi="Times New Roman" w:cs="Times New Roman"/>
          <w:i/>
          <w:sz w:val="24"/>
          <w:szCs w:val="24"/>
        </w:rPr>
        <w:t>Уже более 20 лет показатели рождаемости в России не покрывают показатели смертности. Особенно актуальна данная проблема в Дальневосточном федеральном округе, где заселенность людьми до сих пор сравнительно не высока. В связи с этим в текущем году государство приняло несколько нововведений, направленных на оптимизацию демографической ситуации в нашей стране.</w:t>
      </w:r>
    </w:p>
    <w:p w14:paraId="0BB41199" w14:textId="77777777" w:rsidR="00173C65" w:rsidRPr="00345965" w:rsidRDefault="00173C65" w:rsidP="00163E4B">
      <w:pPr>
        <w:spacing w:after="0" w:line="240" w:lineRule="auto"/>
        <w:ind w:firstLine="709"/>
        <w:jc w:val="both"/>
        <w:rPr>
          <w:rFonts w:ascii="Times New Roman" w:eastAsia="Batang" w:hAnsi="Times New Roman" w:cs="Times New Roman"/>
          <w:i/>
          <w:sz w:val="24"/>
          <w:szCs w:val="24"/>
        </w:rPr>
      </w:pPr>
      <w:r w:rsidRPr="00345965">
        <w:rPr>
          <w:rFonts w:ascii="Times New Roman" w:eastAsia="Batang" w:hAnsi="Times New Roman" w:cs="Times New Roman"/>
          <w:b/>
          <w:i/>
          <w:sz w:val="24"/>
          <w:szCs w:val="24"/>
        </w:rPr>
        <w:lastRenderedPageBreak/>
        <w:t xml:space="preserve">Ключевые слова и словосочетания: </w:t>
      </w:r>
      <w:r w:rsidRPr="00345965">
        <w:rPr>
          <w:rFonts w:ascii="Times New Roman" w:eastAsia="Batang" w:hAnsi="Times New Roman" w:cs="Times New Roman"/>
          <w:i/>
          <w:sz w:val="24"/>
          <w:szCs w:val="24"/>
        </w:rPr>
        <w:t>демографические тенденции, Россия, показатели рождаемости, Приморский край.</w:t>
      </w:r>
    </w:p>
    <w:p w14:paraId="175D53C2" w14:textId="77777777" w:rsidR="00384E6D" w:rsidRPr="00345965" w:rsidRDefault="00384E6D" w:rsidP="00173C65">
      <w:pPr>
        <w:spacing w:line="240" w:lineRule="auto"/>
        <w:ind w:firstLine="709"/>
        <w:jc w:val="center"/>
        <w:rPr>
          <w:rFonts w:ascii="Times New Roman" w:eastAsia="Batang" w:hAnsi="Times New Roman" w:cs="Times New Roman"/>
          <w:b/>
          <w:sz w:val="24"/>
          <w:szCs w:val="24"/>
        </w:rPr>
      </w:pPr>
    </w:p>
    <w:p w14:paraId="42914490" w14:textId="77777777" w:rsidR="00173C65" w:rsidRPr="00345965" w:rsidRDefault="00384E6D" w:rsidP="00173C65">
      <w:pPr>
        <w:spacing w:line="240" w:lineRule="auto"/>
        <w:ind w:firstLine="709"/>
        <w:jc w:val="center"/>
        <w:rPr>
          <w:rFonts w:ascii="Times New Roman" w:eastAsia="Batang" w:hAnsi="Times New Roman" w:cs="Times New Roman"/>
          <w:b/>
          <w:sz w:val="24"/>
          <w:szCs w:val="24"/>
          <w:lang w:val="en-US"/>
        </w:rPr>
      </w:pPr>
      <w:r w:rsidRPr="00345965">
        <w:rPr>
          <w:rFonts w:ascii="Times New Roman" w:eastAsia="Batang" w:hAnsi="Times New Roman" w:cs="Times New Roman"/>
          <w:b/>
          <w:sz w:val="24"/>
          <w:szCs w:val="24"/>
          <w:lang w:val="en-US"/>
        </w:rPr>
        <w:t>DEMOGRAPHIC TRENDS IN THE DEVELOPMENT OF FERTILITY IN PRIMORSKY KRAI</w:t>
      </w:r>
    </w:p>
    <w:p w14:paraId="665730CD" w14:textId="77777777" w:rsidR="00452B5C" w:rsidRPr="00163E4B" w:rsidRDefault="00173C65" w:rsidP="00163E4B">
      <w:pPr>
        <w:spacing w:after="0" w:line="240" w:lineRule="auto"/>
        <w:ind w:firstLine="709"/>
        <w:jc w:val="both"/>
        <w:rPr>
          <w:rFonts w:ascii="Times New Roman" w:eastAsia="Batang" w:hAnsi="Times New Roman" w:cs="Times New Roman"/>
          <w:i/>
          <w:sz w:val="24"/>
          <w:szCs w:val="24"/>
          <w:lang w:val="en-US"/>
        </w:rPr>
      </w:pPr>
      <w:r w:rsidRPr="00345965">
        <w:rPr>
          <w:rFonts w:ascii="Times New Roman" w:eastAsia="Batang" w:hAnsi="Times New Roman" w:cs="Times New Roman"/>
          <w:i/>
          <w:sz w:val="24"/>
          <w:szCs w:val="24"/>
          <w:lang w:val="en-US"/>
        </w:rPr>
        <w:t>For more than 20 years, fertility in Russia doesn’t cover mortality. This problem is particularly relevant in the far eastern Federal District, where the density is people still relatively low. In this regard, this year the State has several innovations aimed at optimization of the demogra</w:t>
      </w:r>
      <w:r w:rsidR="00163E4B">
        <w:rPr>
          <w:rFonts w:ascii="Times New Roman" w:eastAsia="Batang" w:hAnsi="Times New Roman" w:cs="Times New Roman"/>
          <w:i/>
          <w:sz w:val="24"/>
          <w:szCs w:val="24"/>
          <w:lang w:val="en-US"/>
        </w:rPr>
        <w:t xml:space="preserve">phic situation in our country. </w:t>
      </w:r>
    </w:p>
    <w:p w14:paraId="267A2FAE" w14:textId="77777777" w:rsidR="00173C65" w:rsidRPr="00345965" w:rsidRDefault="00173C65" w:rsidP="00384E6D">
      <w:pPr>
        <w:spacing w:after="0" w:line="240" w:lineRule="auto"/>
        <w:ind w:firstLine="709"/>
        <w:jc w:val="both"/>
        <w:rPr>
          <w:rFonts w:ascii="Times New Roman" w:eastAsia="Batang" w:hAnsi="Times New Roman" w:cs="Times New Roman"/>
          <w:i/>
          <w:sz w:val="24"/>
          <w:szCs w:val="24"/>
          <w:lang w:val="en-US"/>
        </w:rPr>
      </w:pPr>
      <w:r w:rsidRPr="00345965">
        <w:rPr>
          <w:rFonts w:ascii="Times New Roman" w:eastAsia="Batang" w:hAnsi="Times New Roman" w:cs="Times New Roman"/>
          <w:b/>
          <w:i/>
          <w:sz w:val="24"/>
          <w:szCs w:val="24"/>
          <w:lang w:val="en-US"/>
        </w:rPr>
        <w:t xml:space="preserve">Keywords: </w:t>
      </w:r>
      <w:r w:rsidRPr="00345965">
        <w:rPr>
          <w:rFonts w:ascii="Times New Roman" w:eastAsia="Batang" w:hAnsi="Times New Roman" w:cs="Times New Roman"/>
          <w:i/>
          <w:sz w:val="24"/>
          <w:szCs w:val="24"/>
          <w:lang w:val="en-US"/>
        </w:rPr>
        <w:t>demographic trends, Russia, indicators of fertility, Primorsky Krai.</w:t>
      </w:r>
    </w:p>
    <w:p w14:paraId="7DB1D1D4" w14:textId="77777777" w:rsidR="00384E6D" w:rsidRPr="00345965" w:rsidRDefault="00384E6D" w:rsidP="00173C65">
      <w:pPr>
        <w:spacing w:after="0" w:line="240" w:lineRule="auto"/>
        <w:ind w:firstLine="709"/>
        <w:jc w:val="both"/>
        <w:rPr>
          <w:rFonts w:ascii="Times New Roman" w:eastAsia="Batang" w:hAnsi="Times New Roman" w:cs="Times New Roman"/>
          <w:sz w:val="24"/>
          <w:szCs w:val="24"/>
          <w:lang w:val="en-US"/>
        </w:rPr>
      </w:pPr>
    </w:p>
    <w:p w14:paraId="5A8F261C" w14:textId="77777777" w:rsidR="00173C65" w:rsidRPr="00345965" w:rsidRDefault="00173C65" w:rsidP="00173C65">
      <w:pPr>
        <w:spacing w:after="0" w:line="240" w:lineRule="auto"/>
        <w:ind w:firstLine="709"/>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 xml:space="preserve">Проблема низкой рождаемости является актуальной в нашей стране на протяжении многих лет. Несмотря на определенное улучшение, связанное с относительным повышением уровня жизни в 2000-е года и некоторыми мерами государства в направлении стимулирования демографического роста, смертность в России до сих пор превышает рождаемость. На государственном уровне эту проблему в ноябре 2017 года прокомментировал В.В. Путин словами о том, что </w:t>
      </w:r>
      <w:r w:rsidRPr="00345965">
        <w:rPr>
          <w:rFonts w:ascii="Times New Roman" w:eastAsia="Batang" w:hAnsi="Times New Roman" w:cs="Times New Roman"/>
          <w:bCs/>
          <w:color w:val="000000" w:themeColor="text1"/>
          <w:sz w:val="24"/>
          <w:szCs w:val="24"/>
        </w:rPr>
        <w:t>необходимо принять комплекс мер, которые позволят не допустить снижения численности населения России. По словам главы государства, нужно провести работу и по снижению смертности, и по стимулированию рождаемости. «Фактически нам нужно перезагрузить нашу политику демографического развития</w:t>
      </w:r>
      <w:r w:rsidRPr="00345965">
        <w:rPr>
          <w:rFonts w:ascii="Times New Roman" w:eastAsia="Batang" w:hAnsi="Times New Roman" w:cs="Times New Roman"/>
          <w:b/>
          <w:bCs/>
          <w:color w:val="000000" w:themeColor="text1"/>
          <w:sz w:val="24"/>
          <w:szCs w:val="24"/>
        </w:rPr>
        <w:t xml:space="preserve">», - </w:t>
      </w:r>
      <w:r w:rsidRPr="00345965">
        <w:rPr>
          <w:rFonts w:ascii="Times New Roman" w:eastAsia="Batang" w:hAnsi="Times New Roman" w:cs="Times New Roman"/>
          <w:bCs/>
          <w:color w:val="000000" w:themeColor="text1"/>
          <w:sz w:val="24"/>
          <w:szCs w:val="24"/>
        </w:rPr>
        <w:t xml:space="preserve">заявил президент </w:t>
      </w:r>
      <w:r w:rsidRPr="00345965">
        <w:rPr>
          <w:rFonts w:ascii="Times New Roman" w:eastAsia="Batang" w:hAnsi="Times New Roman" w:cs="Times New Roman"/>
          <w:color w:val="000000" w:themeColor="text1"/>
          <w:sz w:val="24"/>
          <w:szCs w:val="24"/>
        </w:rPr>
        <w:t>[1].</w:t>
      </w:r>
    </w:p>
    <w:p w14:paraId="500400E5" w14:textId="77777777" w:rsidR="00173C65" w:rsidRPr="00345965" w:rsidRDefault="00173C65" w:rsidP="00173C65">
      <w:pPr>
        <w:spacing w:after="0" w:line="240" w:lineRule="auto"/>
        <w:ind w:firstLine="709"/>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 xml:space="preserve">Для понимания сути и масштабов проблемы проанализируем общий коэффициент рождаемости, отражающий число родившихся на 1000 человек населения (рис.1) [2]. В первую очередь, мы видим, что значение коэффициента в Приморском крае меньше, чем в целом по Дальневосточному федеральному округу в среднем на 1.2. Показатель рождаемости в целом по России так же опережает коэффициент в Приморском крае в среднем на 0.6. При этом мы видим, что с 2010 года общий коэффициент рождаемости в Приморском крае стремительно рос, и в 2014 году достиг значения 12.8. Однако с 2015 года число родившихся на 1000 человек стало уменьшаться и к 2016 году снизилось до 12.2. </w:t>
      </w:r>
    </w:p>
    <w:p w14:paraId="0841E4F5" w14:textId="77777777" w:rsidR="00173C65" w:rsidRPr="00345965" w:rsidRDefault="00173C65" w:rsidP="00173C65">
      <w:pPr>
        <w:spacing w:line="240" w:lineRule="auto"/>
        <w:ind w:firstLine="709"/>
        <w:jc w:val="center"/>
        <w:rPr>
          <w:rFonts w:ascii="Times New Roman" w:eastAsia="Batang" w:hAnsi="Times New Roman" w:cs="Times New Roman"/>
          <w:color w:val="000000" w:themeColor="text1"/>
          <w:sz w:val="24"/>
          <w:szCs w:val="24"/>
          <w:shd w:val="clear" w:color="auto" w:fill="D99594" w:themeFill="accent2" w:themeFillTint="99"/>
          <w:lang w:val="en-US"/>
        </w:rPr>
      </w:pPr>
      <w:r w:rsidRPr="00345965">
        <w:rPr>
          <w:rFonts w:ascii="Times New Roman" w:eastAsia="Batang" w:hAnsi="Times New Roman" w:cs="Times New Roman"/>
          <w:noProof/>
          <w:color w:val="000000" w:themeColor="text1"/>
          <w:sz w:val="24"/>
          <w:szCs w:val="24"/>
          <w:shd w:val="clear" w:color="auto" w:fill="D99594" w:themeFill="accent2" w:themeFillTint="99"/>
          <w:lang w:eastAsia="ru-RU"/>
        </w:rPr>
        <w:drawing>
          <wp:inline distT="0" distB="0" distL="0" distR="0" wp14:anchorId="1B3ACB4B" wp14:editId="07777777">
            <wp:extent cx="4796155" cy="3394075"/>
            <wp:effectExtent l="0" t="0" r="0" b="0"/>
            <wp:docPr id="44" name="Диаграмма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F6AF785" w14:textId="77777777" w:rsidR="00173C65" w:rsidRPr="00345965" w:rsidRDefault="00173C65" w:rsidP="00173C65">
      <w:pPr>
        <w:jc w:val="center"/>
        <w:rPr>
          <w:rFonts w:ascii="Times New Roman" w:hAnsi="Times New Roman" w:cs="Times New Roman"/>
          <w:color w:val="000000" w:themeColor="text1"/>
          <w:sz w:val="24"/>
          <w:szCs w:val="24"/>
        </w:rPr>
      </w:pPr>
      <w:r w:rsidRPr="00345965">
        <w:rPr>
          <w:rFonts w:ascii="Times New Roman" w:hAnsi="Times New Roman" w:cs="Times New Roman"/>
          <w:color w:val="000000" w:themeColor="text1"/>
          <w:sz w:val="24"/>
          <w:szCs w:val="24"/>
        </w:rPr>
        <w:t>Рис.1. Динамика общего коэффициента рождаемости</w:t>
      </w:r>
    </w:p>
    <w:p w14:paraId="271038CB" w14:textId="77777777" w:rsidR="00173C65" w:rsidRPr="00345965" w:rsidRDefault="00173C65" w:rsidP="00173C65">
      <w:pPr>
        <w:spacing w:after="0" w:line="240" w:lineRule="auto"/>
        <w:ind w:firstLine="709"/>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lastRenderedPageBreak/>
        <w:t xml:space="preserve">Нельзя назвать одну причину, из-за которой снижается рождаемость в Приморском крае. Нестабильность уровня жизни, репродуктивные принципы населения, низкие социальные гарантии со стороны государства, колебания доли женщин репродуктивного возраста – все это в совокупности дает нам низкие темпы рождаемости. </w:t>
      </w:r>
    </w:p>
    <w:p w14:paraId="7BA0A363" w14:textId="77777777" w:rsidR="00173C65" w:rsidRPr="00345965" w:rsidRDefault="00173C65" w:rsidP="00173C65">
      <w:pPr>
        <w:spacing w:after="0" w:line="240" w:lineRule="auto"/>
        <w:ind w:firstLine="708"/>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 xml:space="preserve">Для понимания ситуации недостаточно посмотреть лишь на общий коэффициент рождаемости. Необходимо учесть показатель младенческой смертности, который, как в нашем регионе, так и в целом в России, довольно значителен. На графике (рис.2) [2] наглядно видно, что младенческая смертность в Приморском крае находится примерно на одном уровне со смертностью по ДФО в целом, местами немного ее опережая. В 2013 году показатель в Приморском крае достиг значения 11.8, а затем приобрел активную тенденцию к уменьшению. </w:t>
      </w:r>
    </w:p>
    <w:p w14:paraId="711A9A35" w14:textId="77777777" w:rsidR="00173C65" w:rsidRPr="00345965" w:rsidRDefault="00173C65" w:rsidP="00173C65">
      <w:pPr>
        <w:spacing w:line="240" w:lineRule="auto"/>
        <w:ind w:firstLine="709"/>
        <w:jc w:val="center"/>
        <w:rPr>
          <w:rFonts w:ascii="Times New Roman" w:eastAsia="Batang" w:hAnsi="Times New Roman" w:cs="Times New Roman"/>
          <w:color w:val="000000" w:themeColor="text1"/>
          <w:sz w:val="24"/>
          <w:szCs w:val="24"/>
        </w:rPr>
      </w:pPr>
      <w:r w:rsidRPr="00345965">
        <w:rPr>
          <w:rFonts w:ascii="Times New Roman" w:eastAsia="Batang" w:hAnsi="Times New Roman" w:cs="Times New Roman"/>
          <w:noProof/>
          <w:color w:val="000000" w:themeColor="text1"/>
          <w:sz w:val="24"/>
          <w:szCs w:val="24"/>
          <w:lang w:eastAsia="ru-RU"/>
        </w:rPr>
        <w:drawing>
          <wp:inline distT="0" distB="0" distL="0" distR="0" wp14:anchorId="49378121" wp14:editId="07777777">
            <wp:extent cx="4392930" cy="3169285"/>
            <wp:effectExtent l="0" t="0" r="0" b="0"/>
            <wp:docPr id="45" name="Диаграмма 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D15E040" w14:textId="77777777" w:rsidR="00173C65" w:rsidRPr="00345965" w:rsidRDefault="00173C65" w:rsidP="00173C65">
      <w:pPr>
        <w:jc w:val="center"/>
        <w:rPr>
          <w:rFonts w:ascii="Times New Roman" w:hAnsi="Times New Roman" w:cs="Times New Roman"/>
          <w:color w:val="000000" w:themeColor="text1"/>
          <w:sz w:val="24"/>
          <w:szCs w:val="24"/>
        </w:rPr>
      </w:pPr>
      <w:r w:rsidRPr="00345965">
        <w:rPr>
          <w:rFonts w:ascii="Times New Roman" w:hAnsi="Times New Roman" w:cs="Times New Roman"/>
          <w:color w:val="000000" w:themeColor="text1"/>
          <w:sz w:val="24"/>
          <w:szCs w:val="24"/>
        </w:rPr>
        <w:t>Рис.2. Динамика коэффициента младенческой смертности</w:t>
      </w:r>
    </w:p>
    <w:p w14:paraId="3803AEE9" w14:textId="77777777" w:rsidR="00173C65" w:rsidRPr="00345965" w:rsidRDefault="00173C65" w:rsidP="00173C65">
      <w:pPr>
        <w:spacing w:after="0" w:line="240" w:lineRule="auto"/>
        <w:ind w:firstLine="708"/>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 xml:space="preserve">В значительной мере это связано с Приказом от 3 октября 2014 года № 854-О «О мероприятиях по снижению младенческой смертности», принятым Департаментом здравоохранения Приморского края. В соответствии с этим документов был проведен анализ причин младенческой смертности, разработан план мероприятий по ее снижению, усовершенствована работа акушерской службы [3]. Вследствие этого коэффициент младенческой смертности в 2016 году снизился до 6.6. </w:t>
      </w:r>
    </w:p>
    <w:p w14:paraId="277E6020" w14:textId="77777777" w:rsidR="00173C65" w:rsidRPr="00345965" w:rsidRDefault="00173C65" w:rsidP="00173C65">
      <w:pPr>
        <w:spacing w:after="0" w:line="240" w:lineRule="auto"/>
        <w:ind w:firstLine="709"/>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 xml:space="preserve">Суммарный коэффициент рождаемости (рис.3) [2] в Приморском крае с 2014 года находится примерно на одном уровне. До 2013 года этот показатель повышался более высокими темпами, что связано с более активной политикой государства. С введением в 2007 году материнского капитала, как формы государственной поддержки семей с детьми, демографическая ситуация улучшилась. Вместе с ежегодным увеличением пособия увеличивались и показатели рождаемости. Однако с 2015 года сумма материнского капитала достигла 453026 рублей и больше не повышалась. </w:t>
      </w:r>
    </w:p>
    <w:p w14:paraId="4EE333D4" w14:textId="77777777" w:rsidR="00173C65" w:rsidRPr="00345965" w:rsidRDefault="00173C65" w:rsidP="00173C65">
      <w:pPr>
        <w:spacing w:line="240" w:lineRule="auto"/>
        <w:ind w:firstLine="709"/>
        <w:jc w:val="center"/>
        <w:rPr>
          <w:rFonts w:ascii="Times New Roman" w:eastAsia="Batang" w:hAnsi="Times New Roman" w:cs="Times New Roman"/>
          <w:b/>
          <w:color w:val="000000" w:themeColor="text1"/>
          <w:sz w:val="24"/>
          <w:szCs w:val="24"/>
          <w:u w:val="single"/>
        </w:rPr>
      </w:pPr>
      <w:r w:rsidRPr="00345965">
        <w:rPr>
          <w:rFonts w:ascii="Times New Roman" w:eastAsia="Batang" w:hAnsi="Times New Roman" w:cs="Times New Roman"/>
          <w:b/>
          <w:noProof/>
          <w:color w:val="000000" w:themeColor="text1"/>
          <w:sz w:val="24"/>
          <w:szCs w:val="24"/>
          <w:lang w:eastAsia="ru-RU"/>
        </w:rPr>
        <w:lastRenderedPageBreak/>
        <w:drawing>
          <wp:inline distT="0" distB="0" distL="0" distR="0" wp14:anchorId="7F78D0E6" wp14:editId="07777777">
            <wp:extent cx="4739640" cy="3571875"/>
            <wp:effectExtent l="0" t="0" r="0" b="0"/>
            <wp:docPr id="46" name="Диаграмма 4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1EC720B" w14:textId="77777777" w:rsidR="00173C65" w:rsidRPr="00345965" w:rsidRDefault="00173C65" w:rsidP="00173C65">
      <w:pPr>
        <w:jc w:val="center"/>
        <w:rPr>
          <w:rFonts w:ascii="Times New Roman" w:hAnsi="Times New Roman" w:cs="Times New Roman"/>
          <w:color w:val="000000" w:themeColor="text1"/>
          <w:sz w:val="24"/>
          <w:szCs w:val="24"/>
        </w:rPr>
      </w:pPr>
      <w:r w:rsidRPr="00345965">
        <w:rPr>
          <w:rFonts w:ascii="Times New Roman" w:hAnsi="Times New Roman" w:cs="Times New Roman"/>
          <w:color w:val="000000" w:themeColor="text1"/>
          <w:sz w:val="24"/>
          <w:szCs w:val="24"/>
        </w:rPr>
        <w:t>Рис.3. Динамика суммарного коэффициента рождаемости</w:t>
      </w:r>
    </w:p>
    <w:p w14:paraId="152E6D18" w14:textId="77777777" w:rsidR="00173C65" w:rsidRPr="00345965" w:rsidRDefault="00173C65" w:rsidP="00173C65">
      <w:pPr>
        <w:spacing w:after="0" w:line="240" w:lineRule="auto"/>
        <w:ind w:firstLine="709"/>
        <w:jc w:val="both"/>
        <w:rPr>
          <w:rFonts w:ascii="Times New Roman" w:eastAsia="Batang"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По данным на 2016 год в Приморском крае суммарный коэффициент рождаемости составил 1.73. При этом по Дальневосточному федеральному округу данный показатель в период с 2010 по 2016 годы в среднем на 0.13 выше.</w:t>
      </w:r>
    </w:p>
    <w:p w14:paraId="60C3E924" w14:textId="77777777" w:rsidR="00173C65" w:rsidRPr="00345965" w:rsidRDefault="00173C65" w:rsidP="00173C65">
      <w:pPr>
        <w:spacing w:after="0" w:line="240" w:lineRule="auto"/>
        <w:ind w:firstLine="709"/>
        <w:jc w:val="both"/>
        <w:rPr>
          <w:rFonts w:ascii="Times New Roman" w:hAnsi="Times New Roman" w:cs="Times New Roman"/>
          <w:color w:val="000000" w:themeColor="text1"/>
          <w:sz w:val="24"/>
          <w:szCs w:val="24"/>
        </w:rPr>
      </w:pPr>
      <w:r w:rsidRPr="00345965">
        <w:rPr>
          <w:rFonts w:ascii="Times New Roman" w:eastAsia="Batang" w:hAnsi="Times New Roman" w:cs="Times New Roman"/>
          <w:color w:val="000000" w:themeColor="text1"/>
          <w:sz w:val="24"/>
          <w:szCs w:val="24"/>
        </w:rPr>
        <w:t xml:space="preserve">Основываясь на результатах статистического анализа рождаемости, можно сделать вывод об отрицательной тенденции в демографической ситуации Приморского края. Число детей, родившихся на 1000 человек населения, с 2014 года уменьшается. Положительным аспектом в данной проблеме является значительное уменьшение показателей младенческой смертности. Несмотря на это, все еще нельзя сказать о том, что </w:t>
      </w:r>
      <w:r w:rsidRPr="00345965">
        <w:rPr>
          <w:rFonts w:ascii="Times New Roman" w:hAnsi="Times New Roman" w:cs="Times New Roman"/>
          <w:color w:val="000000" w:themeColor="text1"/>
          <w:sz w:val="24"/>
          <w:szCs w:val="24"/>
        </w:rPr>
        <w:t xml:space="preserve">рождаемость в настоящее время покрывает потребности в восполнении населения Приморского края. В связи с этим 2018 году было внесено много изменений в законодательстве, направленных на стимулирование и поддержку рождаемости. </w:t>
      </w:r>
    </w:p>
    <w:p w14:paraId="7BA362AB" w14:textId="77777777" w:rsidR="00173C65" w:rsidRPr="00345965" w:rsidRDefault="00173C65" w:rsidP="00173C65">
      <w:pPr>
        <w:spacing w:after="0" w:line="240" w:lineRule="auto"/>
        <w:ind w:firstLine="709"/>
        <w:jc w:val="both"/>
        <w:rPr>
          <w:rFonts w:ascii="Times New Roman" w:hAnsi="Times New Roman" w:cs="Times New Roman"/>
          <w:color w:val="000000" w:themeColor="text1"/>
          <w:sz w:val="24"/>
          <w:szCs w:val="24"/>
        </w:rPr>
      </w:pPr>
      <w:r w:rsidRPr="00345965">
        <w:rPr>
          <w:rFonts w:ascii="Times New Roman" w:hAnsi="Times New Roman" w:cs="Times New Roman"/>
          <w:color w:val="000000" w:themeColor="text1"/>
          <w:sz w:val="24"/>
          <w:szCs w:val="24"/>
        </w:rPr>
        <w:t>1 января 2018 года вступил в силу новый закон № 418-ФЗ «О ежемесячных выплатах семьям, имеющим детей», согласно которому вводятся</w:t>
      </w:r>
      <w:r w:rsidRPr="00345965">
        <w:rPr>
          <w:rFonts w:ascii="Times New Roman" w:hAnsi="Times New Roman" w:cs="Times New Roman"/>
          <w:bCs/>
          <w:color w:val="000000" w:themeColor="text1"/>
          <w:sz w:val="24"/>
          <w:szCs w:val="24"/>
        </w:rPr>
        <w:t xml:space="preserve"> ежемесячные выплаты при рождении (усыновлении) первого и второго ребенка до полутора лет</w:t>
      </w:r>
      <w:r w:rsidRPr="00345965">
        <w:rPr>
          <w:rFonts w:ascii="Times New Roman" w:hAnsi="Times New Roman" w:cs="Times New Roman"/>
          <w:color w:val="000000" w:themeColor="text1"/>
          <w:sz w:val="24"/>
          <w:szCs w:val="24"/>
        </w:rPr>
        <w:t> в размере детского прожиточного минимума в регионе проживания [4]. Данные выплаты смогут получить семьи, родившие или усыновившие ребенка с 1 января 2018 года. Недостатком данной программы, является сравнительно небольшой период выплат, так как помощь оказывается до достижения ребенком полутора лет. Продление срока выплат, по крайней мере, до 3-х лет обеспечило бы большую поддержку семьям с детьми.</w:t>
      </w:r>
    </w:p>
    <w:p w14:paraId="3314B4FD" w14:textId="77777777" w:rsidR="00173C65" w:rsidRPr="00345965" w:rsidRDefault="00173C65" w:rsidP="00173C65">
      <w:pPr>
        <w:spacing w:after="0" w:line="240" w:lineRule="auto"/>
        <w:ind w:firstLine="709"/>
        <w:jc w:val="both"/>
        <w:rPr>
          <w:rFonts w:ascii="Times New Roman" w:hAnsi="Times New Roman" w:cs="Times New Roman"/>
          <w:color w:val="000000" w:themeColor="text1"/>
          <w:sz w:val="24"/>
          <w:szCs w:val="24"/>
        </w:rPr>
      </w:pPr>
      <w:r w:rsidRPr="00345965">
        <w:rPr>
          <w:rFonts w:ascii="Times New Roman" w:hAnsi="Times New Roman" w:cs="Times New Roman"/>
          <w:bCs/>
          <w:color w:val="000000" w:themeColor="text1"/>
          <w:sz w:val="24"/>
          <w:szCs w:val="24"/>
        </w:rPr>
        <w:t xml:space="preserve">В соответствие с Постановлением Правительства от 30.12.2017 № 1711 с 1 января 2018 года вступила в действие программа льготной ипотеки. Согласно этой программе российские семьи, в которых с 1 января 2018 года по 31 декабря 2022 года появится второй или третий ребенок, смогут получить ипотеку под 6% годовых, т.е. на льготных условиях. Более того, родители, уже имеющие действующую ипотеку, смогут рефинансировать остаток по кредиту под 6% за рождение в указанный период второго или третьего ребенка. И в первом, и во втором случае процентные ставки свыше 6 процентов берет на себя государство. Помимо очевидных плюсов данная программа имеет и недостаток. Она направлена на поддержку семей, имеющих двух и более детей. Включение поддержки семей </w:t>
      </w:r>
      <w:r w:rsidRPr="00345965">
        <w:rPr>
          <w:rFonts w:ascii="Times New Roman" w:hAnsi="Times New Roman" w:cs="Times New Roman"/>
          <w:bCs/>
          <w:color w:val="000000" w:themeColor="text1"/>
          <w:sz w:val="24"/>
          <w:szCs w:val="24"/>
        </w:rPr>
        <w:lastRenderedPageBreak/>
        <w:t>с одним ребенком сделало бы программу более эффективной в стимулировании рождаемости.</w:t>
      </w:r>
    </w:p>
    <w:p w14:paraId="1FD2E680" w14:textId="77777777" w:rsidR="00173C65" w:rsidRDefault="00173C65" w:rsidP="00173C65">
      <w:pPr>
        <w:spacing w:after="0" w:line="240" w:lineRule="auto"/>
        <w:ind w:firstLine="709"/>
        <w:jc w:val="both"/>
        <w:rPr>
          <w:rFonts w:ascii="Times New Roman" w:hAnsi="Times New Roman" w:cs="Times New Roman"/>
          <w:bCs/>
          <w:color w:val="000000" w:themeColor="text1"/>
          <w:sz w:val="24"/>
          <w:szCs w:val="24"/>
        </w:rPr>
      </w:pPr>
      <w:r w:rsidRPr="00345965">
        <w:rPr>
          <w:rFonts w:ascii="Times New Roman" w:hAnsi="Times New Roman" w:cs="Times New Roman"/>
          <w:bCs/>
          <w:color w:val="000000" w:themeColor="text1"/>
          <w:sz w:val="24"/>
          <w:szCs w:val="24"/>
        </w:rPr>
        <w:t>Это далеко не исчерпывающий перечень мер государства, направленных на решение проблемы низкой рождаемости в нашей стране и выхода из демографического кризиса. Но даже из нескольких рассмотренных есть основание полагать, что демографическая ситуация в нашей стране улучшится, а рождаемость приобретет тенденцию к росту.</w:t>
      </w:r>
    </w:p>
    <w:p w14:paraId="0D6BC734" w14:textId="77777777" w:rsidR="00345965" w:rsidRPr="00345965" w:rsidRDefault="007014C7" w:rsidP="00173C65">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noProof/>
          <w:color w:val="000000" w:themeColor="text1"/>
          <w:sz w:val="24"/>
          <w:szCs w:val="24"/>
          <w:lang w:eastAsia="ru-RU"/>
        </w:rPr>
        <w:pict w14:anchorId="04DB119E">
          <v:shape id="_x0000_s1226" type="#_x0000_t32" style="position:absolute;left:0;text-align:left;margin-left:.25pt;margin-top:7.65pt;width:298.05pt;height:0;z-index:251741184" o:connectortype="straight"/>
        </w:pict>
      </w:r>
    </w:p>
    <w:p w14:paraId="1B222B9D" w14:textId="77777777" w:rsidR="00173C65" w:rsidRPr="00345965" w:rsidRDefault="00173C65" w:rsidP="00202D58">
      <w:pPr>
        <w:numPr>
          <w:ilvl w:val="0"/>
          <w:numId w:val="45"/>
        </w:numPr>
        <w:spacing w:after="0" w:line="240" w:lineRule="auto"/>
        <w:ind w:left="0" w:firstLine="397"/>
        <w:jc w:val="both"/>
        <w:rPr>
          <w:rFonts w:ascii="Times New Roman" w:eastAsia="Times New Roman" w:hAnsi="Times New Roman" w:cs="Times New Roman"/>
          <w:sz w:val="24"/>
          <w:szCs w:val="24"/>
          <w:lang w:eastAsia="ru-RU"/>
        </w:rPr>
      </w:pPr>
      <w:r w:rsidRPr="00345965">
        <w:rPr>
          <w:rFonts w:ascii="Times New Roman" w:eastAsia="Times New Roman" w:hAnsi="Times New Roman" w:cs="Times New Roman"/>
          <w:sz w:val="24"/>
          <w:szCs w:val="24"/>
          <w:lang w:eastAsia="ru-RU"/>
        </w:rPr>
        <w:t xml:space="preserve">Заседание Координационного совета по реализации Национальной стратегии действий в интересах детей [Электронный ресурс] // Официальные сетевые ресурсы Президента России. –  Режим доступа: </w:t>
      </w:r>
      <w:hyperlink r:id="rId51" w:history="1">
        <w:r w:rsidRPr="00345965">
          <w:rPr>
            <w:rFonts w:ascii="Times New Roman" w:eastAsia="Times New Roman" w:hAnsi="Times New Roman" w:cs="Times New Roman"/>
            <w:sz w:val="24"/>
            <w:szCs w:val="24"/>
            <w:lang w:eastAsia="ru-RU"/>
          </w:rPr>
          <w:t>http://kremlin.ru/events/president/news/56228</w:t>
        </w:r>
      </w:hyperlink>
      <w:r w:rsidRPr="00345965">
        <w:rPr>
          <w:rFonts w:ascii="Times New Roman" w:eastAsia="Times New Roman" w:hAnsi="Times New Roman" w:cs="Times New Roman"/>
          <w:sz w:val="24"/>
          <w:szCs w:val="24"/>
          <w:lang w:eastAsia="ru-RU"/>
        </w:rPr>
        <w:t>.</w:t>
      </w:r>
    </w:p>
    <w:p w14:paraId="43EBFF67" w14:textId="77777777" w:rsidR="00173C65" w:rsidRPr="00345965" w:rsidRDefault="00173C65" w:rsidP="00202D58">
      <w:pPr>
        <w:numPr>
          <w:ilvl w:val="0"/>
          <w:numId w:val="45"/>
        </w:numPr>
        <w:spacing w:after="0" w:line="240" w:lineRule="auto"/>
        <w:ind w:left="0" w:firstLine="397"/>
        <w:jc w:val="both"/>
        <w:rPr>
          <w:rFonts w:ascii="Times New Roman" w:eastAsia="Times New Roman" w:hAnsi="Times New Roman" w:cs="Times New Roman"/>
          <w:sz w:val="24"/>
          <w:szCs w:val="24"/>
          <w:lang w:eastAsia="ru-RU"/>
        </w:rPr>
      </w:pPr>
      <w:r w:rsidRPr="00345965">
        <w:rPr>
          <w:rFonts w:ascii="Times New Roman" w:eastAsia="Times New Roman" w:hAnsi="Times New Roman" w:cs="Times New Roman"/>
          <w:sz w:val="24"/>
          <w:szCs w:val="24"/>
          <w:lang w:eastAsia="ru-RU"/>
        </w:rPr>
        <w:t xml:space="preserve">Регионы России. Социально-экономические показатели. 2017 год [Электронный ресурс] // Федеральная служба государственной статистики: официальный сайт. – Режим доступа: </w:t>
      </w:r>
      <w:hyperlink r:id="rId52" w:history="1">
        <w:r w:rsidRPr="00345965">
          <w:rPr>
            <w:rFonts w:ascii="Times New Roman" w:eastAsia="Times New Roman" w:hAnsi="Times New Roman" w:cs="Times New Roman"/>
            <w:sz w:val="24"/>
            <w:szCs w:val="24"/>
            <w:lang w:eastAsia="ru-RU"/>
          </w:rPr>
          <w:t>http://www.gks.ru/wps/wcm/connect/rosstat_main/rosstat/ru/statistics/publications/catalog/doc_1138623506156</w:t>
        </w:r>
      </w:hyperlink>
      <w:r w:rsidRPr="00345965">
        <w:rPr>
          <w:rFonts w:ascii="Times New Roman" w:eastAsia="Times New Roman" w:hAnsi="Times New Roman" w:cs="Times New Roman"/>
          <w:sz w:val="24"/>
          <w:szCs w:val="24"/>
          <w:lang w:eastAsia="ru-RU"/>
        </w:rPr>
        <w:t>.</w:t>
      </w:r>
    </w:p>
    <w:p w14:paraId="5399B65D" w14:textId="77777777" w:rsidR="00173C65" w:rsidRPr="00345965" w:rsidRDefault="00173C65" w:rsidP="00202D58">
      <w:pPr>
        <w:numPr>
          <w:ilvl w:val="0"/>
          <w:numId w:val="45"/>
        </w:numPr>
        <w:spacing w:after="0" w:line="240" w:lineRule="auto"/>
        <w:ind w:left="0" w:firstLine="397"/>
        <w:jc w:val="both"/>
        <w:rPr>
          <w:rFonts w:ascii="Times New Roman" w:eastAsia="Times New Roman" w:hAnsi="Times New Roman" w:cs="Times New Roman"/>
          <w:sz w:val="24"/>
          <w:szCs w:val="24"/>
          <w:lang w:eastAsia="ru-RU"/>
        </w:rPr>
      </w:pPr>
      <w:r w:rsidRPr="00345965">
        <w:rPr>
          <w:rFonts w:ascii="Times New Roman" w:eastAsia="Times New Roman" w:hAnsi="Times New Roman" w:cs="Times New Roman"/>
          <w:sz w:val="24"/>
          <w:szCs w:val="24"/>
          <w:lang w:eastAsia="ru-RU"/>
        </w:rPr>
        <w:t xml:space="preserve">Приказ «О мероприятиях по снижению младенческой смертности»:утв. Департаментом здравоохранения Приморского края от 03 октября 2014 года № 854-О [Электронный ресурс] // Официальный сайт Администрации Приморского края и органов исполнительной власти Приморского края. – Режим доступа: </w:t>
      </w:r>
      <w:hyperlink r:id="rId53" w:history="1">
        <w:r w:rsidRPr="00345965">
          <w:rPr>
            <w:rFonts w:ascii="Times New Roman" w:eastAsia="Times New Roman" w:hAnsi="Times New Roman" w:cs="Times New Roman"/>
            <w:sz w:val="24"/>
            <w:szCs w:val="24"/>
            <w:lang w:eastAsia="ru-RU"/>
          </w:rPr>
          <w:t>https://primorsky.ru/authorities/executive-agencies/departments/health/organizatsiya-okazaniya-meditsinskoy-pomoshchi/%D0%BF%D1%80%D0%B8%D0%BA%D0%B0%D0%B7%20854-%D0%BE%20%D0%BE%D1%82%2003.10.2014%20%D0%B3..pdf</w:t>
        </w:r>
      </w:hyperlink>
      <w:r w:rsidRPr="00345965">
        <w:rPr>
          <w:rFonts w:ascii="Times New Roman" w:eastAsia="Times New Roman" w:hAnsi="Times New Roman" w:cs="Times New Roman"/>
          <w:sz w:val="24"/>
          <w:szCs w:val="24"/>
          <w:lang w:eastAsia="ru-RU"/>
        </w:rPr>
        <w:t>.</w:t>
      </w:r>
    </w:p>
    <w:p w14:paraId="103981C6" w14:textId="77777777" w:rsidR="00173C65" w:rsidRPr="00345965" w:rsidRDefault="00173C65" w:rsidP="00202D58">
      <w:pPr>
        <w:numPr>
          <w:ilvl w:val="0"/>
          <w:numId w:val="45"/>
        </w:numPr>
        <w:spacing w:after="0" w:line="240" w:lineRule="auto"/>
        <w:ind w:left="0" w:firstLine="397"/>
        <w:jc w:val="both"/>
        <w:rPr>
          <w:rFonts w:ascii="Times New Roman" w:eastAsia="Times New Roman" w:hAnsi="Times New Roman" w:cs="Times New Roman"/>
          <w:sz w:val="24"/>
          <w:szCs w:val="24"/>
          <w:lang w:eastAsia="ru-RU"/>
        </w:rPr>
      </w:pPr>
      <w:r w:rsidRPr="00345965">
        <w:rPr>
          <w:rFonts w:ascii="Times New Roman" w:eastAsia="Times New Roman" w:hAnsi="Times New Roman" w:cs="Times New Roman"/>
          <w:sz w:val="24"/>
          <w:szCs w:val="24"/>
          <w:lang w:eastAsia="ru-RU"/>
        </w:rPr>
        <w:t xml:space="preserve">Федеральный закон «О ежемесячных выплатах семьям, имеющим детей» от 28.12.2017 N 418-ФЗ [Электронный ресурс] // «КонсультантПлюс» – законодательство РФ: кодексы, указы, постановления Правительства Российской Федерации, нормативные акты. – Режим доступа:  </w:t>
      </w:r>
      <w:hyperlink r:id="rId54" w:anchor="0424679658802658" w:history="1">
        <w:r w:rsidRPr="00345965">
          <w:rPr>
            <w:rFonts w:ascii="Times New Roman" w:eastAsia="Times New Roman" w:hAnsi="Times New Roman" w:cs="Times New Roman"/>
            <w:sz w:val="24"/>
            <w:szCs w:val="24"/>
            <w:lang w:eastAsia="ru-RU"/>
          </w:rPr>
          <w:t>http://www.consultant.ru/cons/cgi/online.cgi?req=doc&amp;base=LAW&amp;n=286470&amp;fld=134&amp;dst=1000000001,0&amp;rnd=0.5027197317445953#0424679658802658</w:t>
        </w:r>
      </w:hyperlink>
    </w:p>
    <w:p w14:paraId="34A104AC" w14:textId="77777777" w:rsidR="00384E6D" w:rsidRPr="00345965" w:rsidRDefault="00384E6D" w:rsidP="00173C65">
      <w:pPr>
        <w:widowControl w:val="0"/>
        <w:suppressAutoHyphens/>
        <w:spacing w:after="120" w:line="240" w:lineRule="auto"/>
        <w:rPr>
          <w:rFonts w:ascii="Times New Roman" w:hAnsi="Times New Roman" w:cs="Times New Roman"/>
          <w:sz w:val="24"/>
          <w:szCs w:val="24"/>
        </w:rPr>
      </w:pPr>
    </w:p>
    <w:p w14:paraId="47DD7732" w14:textId="77777777" w:rsidR="00173C65" w:rsidRPr="00452B5C" w:rsidRDefault="00173C65" w:rsidP="00173C65">
      <w:pPr>
        <w:widowControl w:val="0"/>
        <w:suppressAutoHyphens/>
        <w:spacing w:after="120" w:line="240" w:lineRule="auto"/>
        <w:rPr>
          <w:rFonts w:ascii="Times New Roman" w:hAnsi="Times New Roman" w:cs="Times New Roman"/>
          <w:b/>
          <w:sz w:val="24"/>
          <w:szCs w:val="24"/>
        </w:rPr>
      </w:pPr>
      <w:r w:rsidRPr="00452B5C">
        <w:rPr>
          <w:rFonts w:ascii="Times New Roman" w:hAnsi="Times New Roman" w:cs="Times New Roman"/>
          <w:b/>
          <w:sz w:val="24"/>
          <w:szCs w:val="24"/>
        </w:rPr>
        <w:t xml:space="preserve">Рубрика: Экономика </w:t>
      </w:r>
    </w:p>
    <w:p w14:paraId="4409C231" w14:textId="77777777" w:rsidR="00173C65" w:rsidRPr="00452B5C" w:rsidRDefault="00173C65" w:rsidP="00173C65">
      <w:pPr>
        <w:widowControl w:val="0"/>
        <w:suppressAutoHyphens/>
        <w:spacing w:after="120" w:line="240" w:lineRule="auto"/>
        <w:rPr>
          <w:rFonts w:ascii="Times New Roman" w:hAnsi="Times New Roman" w:cs="Times New Roman"/>
          <w:sz w:val="24"/>
          <w:szCs w:val="24"/>
        </w:rPr>
      </w:pPr>
      <w:r w:rsidRPr="00452B5C">
        <w:rPr>
          <w:rFonts w:ascii="Times New Roman" w:hAnsi="Times New Roman" w:cs="Times New Roman"/>
          <w:sz w:val="24"/>
          <w:szCs w:val="24"/>
        </w:rPr>
        <w:t>УДК 338</w:t>
      </w:r>
    </w:p>
    <w:p w14:paraId="30B0979D" w14:textId="77777777" w:rsidR="00173C65" w:rsidRPr="00452B5C" w:rsidRDefault="005507F6" w:rsidP="00173C65">
      <w:pPr>
        <w:widowControl w:val="0"/>
        <w:suppressAutoHyphens/>
        <w:spacing w:after="240" w:line="240" w:lineRule="auto"/>
        <w:jc w:val="center"/>
        <w:rPr>
          <w:rFonts w:ascii="Times New Roman" w:hAnsi="Times New Roman" w:cs="Times New Roman"/>
          <w:sz w:val="24"/>
          <w:szCs w:val="24"/>
        </w:rPr>
      </w:pPr>
      <w:r w:rsidRPr="00452B5C">
        <w:rPr>
          <w:rFonts w:ascii="Times New Roman" w:hAnsi="Times New Roman" w:cs="Times New Roman"/>
          <w:b/>
          <w:sz w:val="24"/>
          <w:szCs w:val="24"/>
        </w:rPr>
        <w:t>СРАВНЕНИЕ МЕТОДОВ ОЦЕНКИ ФИНАНСОВОГО СОСТОЯНИЯ ПРЕДПРИЯТИЯ</w:t>
      </w:r>
    </w:p>
    <w:p w14:paraId="617DBDB4" w14:textId="77777777" w:rsidR="00173C65" w:rsidRPr="00452B5C" w:rsidRDefault="00163E4B" w:rsidP="00173C6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Спичак Валерия Павловна</w:t>
      </w:r>
    </w:p>
    <w:p w14:paraId="4EB1DA59" w14:textId="77777777" w:rsidR="00173C65" w:rsidRPr="00452B5C" w:rsidRDefault="00173C65" w:rsidP="00173C65">
      <w:pPr>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бакалавр</w:t>
      </w:r>
    </w:p>
    <w:p w14:paraId="114B4F84" w14:textId="77777777" w:rsidR="005507F6" w:rsidRPr="00452B5C" w:rsidRDefault="005507F6" w:rsidP="00173C65">
      <w:pPr>
        <w:spacing w:after="0" w:line="240" w:lineRule="auto"/>
        <w:jc w:val="center"/>
        <w:rPr>
          <w:rFonts w:ascii="Times New Roman" w:hAnsi="Times New Roman" w:cs="Times New Roman"/>
          <w:i/>
          <w:sz w:val="24"/>
          <w:szCs w:val="24"/>
        </w:rPr>
      </w:pPr>
    </w:p>
    <w:p w14:paraId="0D66BEF6" w14:textId="77777777" w:rsidR="00173C65" w:rsidRPr="00452B5C" w:rsidRDefault="00173C65" w:rsidP="00173C65">
      <w:pPr>
        <w:spacing w:after="0" w:line="240" w:lineRule="auto"/>
        <w:jc w:val="center"/>
        <w:rPr>
          <w:rFonts w:ascii="Times New Roman" w:hAnsi="Times New Roman" w:cs="Times New Roman"/>
          <w:sz w:val="24"/>
          <w:szCs w:val="24"/>
        </w:rPr>
      </w:pPr>
      <w:r w:rsidRPr="00452B5C">
        <w:rPr>
          <w:rFonts w:ascii="Times New Roman" w:hAnsi="Times New Roman" w:cs="Times New Roman"/>
          <w:i/>
          <w:sz w:val="24"/>
          <w:szCs w:val="24"/>
        </w:rPr>
        <w:t>Владивостокский государственный университет экономики и сервиса,</w:t>
      </w:r>
    </w:p>
    <w:p w14:paraId="78D63752" w14:textId="77777777" w:rsidR="00173C65" w:rsidRPr="00452B5C" w:rsidRDefault="00173C65" w:rsidP="00173C65">
      <w:pPr>
        <w:spacing w:after="0" w:line="240" w:lineRule="auto"/>
        <w:jc w:val="center"/>
        <w:rPr>
          <w:rFonts w:ascii="Times New Roman" w:hAnsi="Times New Roman" w:cs="Times New Roman"/>
          <w:sz w:val="24"/>
          <w:szCs w:val="24"/>
        </w:rPr>
      </w:pPr>
      <w:r w:rsidRPr="00452B5C">
        <w:rPr>
          <w:rFonts w:ascii="Times New Roman" w:hAnsi="Times New Roman" w:cs="Times New Roman"/>
          <w:i/>
          <w:sz w:val="24"/>
          <w:szCs w:val="24"/>
        </w:rPr>
        <w:t>Россия, Владивосток</w:t>
      </w:r>
    </w:p>
    <w:p w14:paraId="1AABDC09" w14:textId="77777777" w:rsidR="005507F6" w:rsidRPr="00452B5C" w:rsidRDefault="005507F6" w:rsidP="00173C65">
      <w:pPr>
        <w:spacing w:after="0" w:line="240" w:lineRule="auto"/>
        <w:jc w:val="center"/>
        <w:rPr>
          <w:rFonts w:ascii="Times New Roman" w:hAnsi="Times New Roman" w:cs="Times New Roman"/>
          <w:sz w:val="24"/>
          <w:szCs w:val="24"/>
        </w:rPr>
      </w:pPr>
    </w:p>
    <w:p w14:paraId="06AEF82B" w14:textId="77777777" w:rsidR="00173C65" w:rsidRPr="00452B5C" w:rsidRDefault="00173C65" w:rsidP="00173C65">
      <w:pPr>
        <w:spacing w:after="0" w:line="240" w:lineRule="auto"/>
        <w:jc w:val="center"/>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Е-</w:t>
      </w:r>
      <w:r w:rsidRPr="00452B5C">
        <w:rPr>
          <w:rFonts w:ascii="Times New Roman" w:hAnsi="Times New Roman" w:cs="Times New Roman"/>
          <w:color w:val="000000" w:themeColor="text1"/>
          <w:sz w:val="24"/>
          <w:szCs w:val="24"/>
          <w:lang w:val="en-US"/>
        </w:rPr>
        <w:t>mail</w:t>
      </w:r>
      <w:r w:rsidRPr="00452B5C">
        <w:rPr>
          <w:rFonts w:ascii="Times New Roman" w:hAnsi="Times New Roman" w:cs="Times New Roman"/>
          <w:color w:val="000000" w:themeColor="text1"/>
          <w:sz w:val="24"/>
          <w:szCs w:val="24"/>
        </w:rPr>
        <w:t>:</w:t>
      </w:r>
      <w:hyperlink r:id="rId55" w:history="1">
        <w:r w:rsidRPr="00452B5C">
          <w:rPr>
            <w:rFonts w:ascii="Times New Roman" w:hAnsi="Times New Roman" w:cs="Times New Roman"/>
            <w:color w:val="000000" w:themeColor="text1"/>
            <w:sz w:val="24"/>
            <w:szCs w:val="24"/>
            <w:u w:val="single"/>
            <w:lang w:val="en-US"/>
          </w:rPr>
          <w:t>Valeriya</w:t>
        </w:r>
        <w:r w:rsidRPr="00452B5C">
          <w:rPr>
            <w:rFonts w:ascii="Times New Roman" w:hAnsi="Times New Roman" w:cs="Times New Roman"/>
            <w:color w:val="000000" w:themeColor="text1"/>
            <w:sz w:val="24"/>
            <w:szCs w:val="24"/>
            <w:u w:val="single"/>
          </w:rPr>
          <w:t>.</w:t>
        </w:r>
        <w:r w:rsidRPr="00452B5C">
          <w:rPr>
            <w:rFonts w:ascii="Times New Roman" w:hAnsi="Times New Roman" w:cs="Times New Roman"/>
            <w:color w:val="000000" w:themeColor="text1"/>
            <w:sz w:val="24"/>
            <w:szCs w:val="24"/>
            <w:u w:val="single"/>
            <w:lang w:val="en-US"/>
          </w:rPr>
          <w:t>Spichak</w:t>
        </w:r>
        <w:r w:rsidRPr="00452B5C">
          <w:rPr>
            <w:rFonts w:ascii="Times New Roman" w:hAnsi="Times New Roman" w:cs="Times New Roman"/>
            <w:color w:val="000000" w:themeColor="text1"/>
            <w:sz w:val="24"/>
            <w:szCs w:val="24"/>
            <w:u w:val="single"/>
          </w:rPr>
          <w:t>96@</w:t>
        </w:r>
        <w:r w:rsidRPr="00452B5C">
          <w:rPr>
            <w:rFonts w:ascii="Times New Roman" w:hAnsi="Times New Roman" w:cs="Times New Roman"/>
            <w:color w:val="000000" w:themeColor="text1"/>
            <w:sz w:val="24"/>
            <w:szCs w:val="24"/>
            <w:u w:val="single"/>
            <w:lang w:val="en-US"/>
          </w:rPr>
          <w:t>vvsu</w:t>
        </w:r>
        <w:r w:rsidRPr="00452B5C">
          <w:rPr>
            <w:rFonts w:ascii="Times New Roman" w:hAnsi="Times New Roman" w:cs="Times New Roman"/>
            <w:color w:val="000000" w:themeColor="text1"/>
            <w:sz w:val="24"/>
            <w:szCs w:val="24"/>
            <w:u w:val="single"/>
          </w:rPr>
          <w:t>.</w:t>
        </w:r>
        <w:r w:rsidRPr="00452B5C">
          <w:rPr>
            <w:rFonts w:ascii="Times New Roman" w:hAnsi="Times New Roman" w:cs="Times New Roman"/>
            <w:color w:val="000000" w:themeColor="text1"/>
            <w:sz w:val="24"/>
            <w:szCs w:val="24"/>
            <w:u w:val="single"/>
            <w:lang w:val="en-US"/>
          </w:rPr>
          <w:t>ru</w:t>
        </w:r>
      </w:hyperlink>
      <w:r w:rsidRPr="00452B5C">
        <w:rPr>
          <w:rFonts w:ascii="Times New Roman" w:hAnsi="Times New Roman" w:cs="Times New Roman"/>
          <w:color w:val="000000" w:themeColor="text1"/>
          <w:sz w:val="24"/>
          <w:szCs w:val="24"/>
        </w:rPr>
        <w:t>; тел.: +79502986767</w:t>
      </w:r>
    </w:p>
    <w:p w14:paraId="64E42E85" w14:textId="77777777" w:rsidR="00173C65" w:rsidRPr="00452B5C" w:rsidRDefault="00173C65" w:rsidP="00173C65">
      <w:pPr>
        <w:widowControl w:val="0"/>
        <w:spacing w:after="400" w:line="240" w:lineRule="auto"/>
        <w:ind w:firstLine="709"/>
        <w:jc w:val="center"/>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ул. Гоголя, 41, г. Владивосток, Приморский край, Россия, 690014</w:t>
      </w:r>
    </w:p>
    <w:p w14:paraId="6C4F84D0" w14:textId="77777777" w:rsidR="00452B5C" w:rsidRPr="00163E4B" w:rsidRDefault="00173C65" w:rsidP="00163E4B">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i/>
          <w:sz w:val="24"/>
          <w:szCs w:val="24"/>
        </w:rPr>
        <w:t>В современных условиях рыночной экономики финансовое состояние является важной экономической характеристикой деятельности предприятия. Для ее объективной и разносторонней оценки используются различные методы. В статье рассматриваются методы оценки финансового состояния, определяется их значимость, роль. Выбор подходящих методов оценки позволяет определить наиболее точное финансовое состояние предприятия и, следовательно, принять дальнейшие управленческие решения.</w:t>
      </w:r>
    </w:p>
    <w:p w14:paraId="662EC381" w14:textId="77777777" w:rsidR="005507F6" w:rsidRPr="00163E4B" w:rsidRDefault="00173C65" w:rsidP="00163E4B">
      <w:pPr>
        <w:widowControl w:val="0"/>
        <w:spacing w:line="240" w:lineRule="auto"/>
        <w:ind w:firstLine="709"/>
        <w:jc w:val="both"/>
        <w:rPr>
          <w:rFonts w:ascii="Times New Roman" w:hAnsi="Times New Roman" w:cs="Times New Roman"/>
          <w:i/>
          <w:sz w:val="24"/>
          <w:szCs w:val="24"/>
        </w:rPr>
      </w:pPr>
      <w:r w:rsidRPr="00452B5C">
        <w:rPr>
          <w:rFonts w:ascii="Times New Roman" w:hAnsi="Times New Roman" w:cs="Times New Roman"/>
          <w:b/>
          <w:i/>
          <w:sz w:val="24"/>
          <w:szCs w:val="24"/>
        </w:rPr>
        <w:t xml:space="preserve">Ключевые слова и словосочетания: </w:t>
      </w:r>
      <w:r w:rsidRPr="00452B5C">
        <w:rPr>
          <w:rFonts w:ascii="Times New Roman" w:hAnsi="Times New Roman" w:cs="Times New Roman"/>
          <w:i/>
          <w:sz w:val="24"/>
          <w:szCs w:val="24"/>
        </w:rPr>
        <w:t xml:space="preserve">финансовое состояние, методы оценки, финансовый анализ, детальный и системный подход, горизонтальный и вертикальный анализ, коэффициентный метод, абсолютные и относительные показатели, </w:t>
      </w:r>
      <w:r w:rsidRPr="00452B5C">
        <w:rPr>
          <w:rFonts w:ascii="Times New Roman" w:hAnsi="Times New Roman" w:cs="Times New Roman"/>
          <w:i/>
          <w:sz w:val="24"/>
          <w:szCs w:val="24"/>
        </w:rPr>
        <w:lastRenderedPageBreak/>
        <w:t>платежеспособность, ликвидность, финансовая устойчивость, оценка рента</w:t>
      </w:r>
      <w:r w:rsidR="00163E4B">
        <w:rPr>
          <w:rFonts w:ascii="Times New Roman" w:hAnsi="Times New Roman" w:cs="Times New Roman"/>
          <w:i/>
          <w:sz w:val="24"/>
          <w:szCs w:val="24"/>
        </w:rPr>
        <w:t>бельности и деловой активности.</w:t>
      </w:r>
    </w:p>
    <w:p w14:paraId="78AD4679" w14:textId="77777777" w:rsidR="00173C65" w:rsidRPr="00452B5C" w:rsidRDefault="005507F6" w:rsidP="00163E4B">
      <w:pPr>
        <w:widowControl w:val="0"/>
        <w:spacing w:line="240" w:lineRule="auto"/>
        <w:ind w:firstLine="709"/>
        <w:jc w:val="center"/>
        <w:rPr>
          <w:rFonts w:ascii="Times New Roman" w:hAnsi="Times New Roman" w:cs="Times New Roman"/>
          <w:b/>
          <w:sz w:val="24"/>
          <w:szCs w:val="24"/>
          <w:lang w:val="en-US"/>
        </w:rPr>
      </w:pPr>
      <w:r w:rsidRPr="00452B5C">
        <w:rPr>
          <w:rFonts w:ascii="Times New Roman" w:hAnsi="Times New Roman" w:cs="Times New Roman"/>
          <w:b/>
          <w:sz w:val="24"/>
          <w:szCs w:val="24"/>
          <w:lang w:val="en-US"/>
        </w:rPr>
        <w:t>COMPARISON OF METHODS FOR ASSESSING THE FINANCIAL CONDITION</w:t>
      </w:r>
    </w:p>
    <w:p w14:paraId="7D9A4632" w14:textId="77777777" w:rsidR="00452B5C" w:rsidRPr="00163E4B" w:rsidRDefault="00173C65" w:rsidP="00163E4B">
      <w:pPr>
        <w:widowControl w:val="0"/>
        <w:spacing w:after="0" w:line="240" w:lineRule="auto"/>
        <w:ind w:firstLine="709"/>
        <w:jc w:val="both"/>
        <w:rPr>
          <w:rFonts w:ascii="Times New Roman" w:hAnsi="Times New Roman" w:cs="Times New Roman"/>
          <w:sz w:val="24"/>
          <w:szCs w:val="24"/>
          <w:lang w:val="en-US"/>
        </w:rPr>
      </w:pPr>
      <w:r w:rsidRPr="00452B5C">
        <w:rPr>
          <w:rFonts w:ascii="Times New Roman" w:hAnsi="Times New Roman" w:cs="Times New Roman"/>
          <w:i/>
          <w:sz w:val="24"/>
          <w:szCs w:val="24"/>
          <w:lang w:val="en-US"/>
        </w:rPr>
        <w:t>In modern conditions of market economy the financial state is an important economic feature of activities of the enterprise. Different methods are used to evaluate it objectively and comprehensively. This article discusses the methods of assessing the financial condition, determines their importance and role. The choice of the most appropriate valuation methods allows to determine the most accurate financial condition of the enterprise and, consequently, to make further administrative decisions.</w:t>
      </w:r>
    </w:p>
    <w:p w14:paraId="54A659A1" w14:textId="77777777" w:rsidR="00173C65" w:rsidRPr="00452B5C" w:rsidRDefault="00173C65" w:rsidP="005507F6">
      <w:pPr>
        <w:widowControl w:val="0"/>
        <w:spacing w:after="0" w:line="240" w:lineRule="auto"/>
        <w:ind w:firstLine="709"/>
        <w:jc w:val="both"/>
        <w:rPr>
          <w:rFonts w:ascii="Times New Roman" w:hAnsi="Times New Roman" w:cs="Times New Roman"/>
          <w:sz w:val="24"/>
          <w:szCs w:val="24"/>
          <w:lang w:val="en-US"/>
        </w:rPr>
      </w:pPr>
      <w:r w:rsidRPr="00452B5C">
        <w:rPr>
          <w:rFonts w:ascii="Times New Roman" w:hAnsi="Times New Roman" w:cs="Times New Roman"/>
          <w:b/>
          <w:i/>
          <w:sz w:val="24"/>
          <w:szCs w:val="24"/>
          <w:lang w:val="en-US"/>
        </w:rPr>
        <w:t xml:space="preserve">Keywords: </w:t>
      </w:r>
      <w:r w:rsidRPr="00452B5C">
        <w:rPr>
          <w:rFonts w:ascii="Times New Roman" w:hAnsi="Times New Roman" w:cs="Times New Roman"/>
          <w:i/>
          <w:sz w:val="24"/>
          <w:szCs w:val="24"/>
          <w:lang w:val="en-US"/>
        </w:rPr>
        <w:t>financial condition, assessment methods, financial analysis, detailed and systematic approaches, horizontal and vertical analysis, coefficient method, absolute and relative performance, solvency, liquidity, financial stability, profitability and business activity assessment.</w:t>
      </w:r>
    </w:p>
    <w:p w14:paraId="3F82752B" w14:textId="77777777" w:rsidR="005507F6" w:rsidRPr="00452B5C" w:rsidRDefault="005507F6" w:rsidP="00173C65">
      <w:pPr>
        <w:widowControl w:val="0"/>
        <w:spacing w:after="0" w:line="240" w:lineRule="auto"/>
        <w:ind w:firstLine="709"/>
        <w:jc w:val="both"/>
        <w:rPr>
          <w:rFonts w:ascii="Times New Roman" w:hAnsi="Times New Roman" w:cs="Times New Roman"/>
          <w:sz w:val="24"/>
          <w:szCs w:val="24"/>
          <w:lang w:val="en-US"/>
        </w:rPr>
      </w:pPr>
    </w:p>
    <w:p w14:paraId="35088F76"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На современном этапе рыночной экономки стабильное финансовое состояние предприятия является залогом успеха экономической деятельности этого предприятия. Для того чтобы повышать эффективность деятельности предприятия необходимо проводить анализ финансового состояния с помощью различных методов его оценки. </w:t>
      </w:r>
    </w:p>
    <w:p w14:paraId="4688BA73"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Анализ финансового состояния позволяет повысить эффективность принятия управленческих решений, а также выявить проблемные стороны деятельности предприятия и принять необходимые решения для их улучшения [1].</w:t>
      </w:r>
    </w:p>
    <w:p w14:paraId="14C5B1D9"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Понятие «финансовое состояние предприятия» имеет различные трактовки, но все они сводятся к единому смыслу, которое и определяет что такое «финансовое состояние». </w:t>
      </w:r>
    </w:p>
    <w:p w14:paraId="4B03B33D"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Финансовое состояние предприятия – это экономическая категория, которая представляет собой степень способности организации финансировать свою деятельность, определяет обеспеченность организации ресурсами, необходимыми для ее функционирования, целесообразностью их размещения и эффективностью их использования, а также характеризующаяся системой финансовых показателей, каждый из которых отражает реальные и допустимые возможности предприятия [2].</w:t>
      </w:r>
    </w:p>
    <w:p w14:paraId="5241B18E"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Анализ финансового состояния или финансовый анализ – это часть общего анализа экономической деятельности предприятия, которая состоит из ряда методов для оценки финансового состояния предприятия. Главной целью финансового анализа является получение показателей, для того чтобы своевременно выявить и устранить недостатки в экономической деятельности предприятия [3].</w:t>
      </w:r>
    </w:p>
    <w:p w14:paraId="124ABE24"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Актуальность данной статьи заключается в значимости определения и сравнения методов оценки финансового состояния предприятия. Объективная и разносторонняя оценка финансового состояния предприятия является необходимым условием при разработке финансовой политики и управленческих решений предприятия, а также эффективного управления экономической деятельностью предприятия. Выбор наиболее подходящих методов оценки финансового состояния показателей и критериев – это необходимые условия для того, чтобы результаты оценки отражали реальную картину финансового состояния предприятия [2]. </w:t>
      </w:r>
    </w:p>
    <w:p w14:paraId="6C409391"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Целью данного исследования является изучение и сравнение методов оценки финансового состояния предприятия. </w:t>
      </w:r>
    </w:p>
    <w:p w14:paraId="095506D3"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Для достижения поставленной цели необходимо выполнить следующие задачи: рассмотреть методы оценки финансового состояния; определить их роль, значение и различия.</w:t>
      </w:r>
    </w:p>
    <w:p w14:paraId="5C53686B"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Объектом исследования является финансовое состояние предприятия. </w:t>
      </w:r>
    </w:p>
    <w:p w14:paraId="5CB9548F"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Предметом исследования являются методы оценки финансового состояния предприятия.</w:t>
      </w:r>
    </w:p>
    <w:p w14:paraId="46729C68"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Информационной базой для оценки финансового состояния предприятия бухгалтерская отчетность, чтобы с точностью провести охарактеризовать финансовое </w:t>
      </w:r>
      <w:r w:rsidRPr="00452B5C">
        <w:rPr>
          <w:rFonts w:ascii="Times New Roman" w:hAnsi="Times New Roman" w:cs="Times New Roman"/>
          <w:sz w:val="24"/>
          <w:szCs w:val="24"/>
        </w:rPr>
        <w:lastRenderedPageBreak/>
        <w:t>состояние, необходимо иметь достоверную отчетную информацию.</w:t>
      </w:r>
    </w:p>
    <w:p w14:paraId="2EFD9596"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Разработкой методов оценки финансового состояния занимались различные представители экономической науки. Среди них необходимо выделить Савицкую Г.В., Бочарова В.В., Илышеву Н.Н., Шеремета А.Д. и многих других представителей экономических наук [4]. </w:t>
      </w:r>
    </w:p>
    <w:p w14:paraId="4634B720"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На сегодняшний день оценка финансового состояния предприятия не остается без внимания молодых ученых, так как данный вопрос до сих  пор актуален в современных условиях экономики.</w:t>
      </w:r>
    </w:p>
    <w:p w14:paraId="576FBEEE"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Проведение анализа финансового состояния определит факторы, которые негативно влияют на финансовое состояние предприятия. Факторы, влияющие на финансовое состояние предприятия можно поделить на две группы – это управляемые (внутренние) факторы и неуправляемые (внешние) факторы [5]. </w:t>
      </w:r>
    </w:p>
    <w:p w14:paraId="66B79C7D"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К управляемым факторам относятся те критерии, которые влияют на финансовое состояние изнутри. Например, гибкость структуры капитала предприятия, целенаправленное увеличение доходов над расходами, с целью повышения платежеспособности, реализация конкурентоспособной продукции или услуг, то есть ужесточаются условия конкуренции [5]. </w:t>
      </w:r>
    </w:p>
    <w:p w14:paraId="53927AF0"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К неуправляемым факторам относятся те критерии, которые влияют на предприятие внешне, то есть зависящие не только от самого предприятия. Например, кредитная, налоговая, таможенная политика государства, уровень безработицы в стране, положение предприятия на рынке, стабильное финансовое состояние предприятия конкурентов [5]. </w:t>
      </w:r>
    </w:p>
    <w:p w14:paraId="08253012"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На данный момент разработано множество различных методов оценки, которые позволяют рассмотреть финансовое состояние предприятия с той или иной степенью детализации [4]. Данные разработки привели к необходимости систематизировать методы оценки финансового состояния.</w:t>
      </w:r>
    </w:p>
    <w:p w14:paraId="7F3C2A11"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Выделяют два основных подхода к оценке финансового состояния предприятия – это детальный и системный.</w:t>
      </w:r>
    </w:p>
    <w:p w14:paraId="624A1B44"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К детальному подходу относятся методы качественного и коэффициентного анализа, то есть, проводится путем оценки каждого из необходимых составляющих финансового состояния в отдельности на основе совокупности экономических показателей [4].</w:t>
      </w:r>
    </w:p>
    <w:p w14:paraId="09A11DBA"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Системный подход характеризуется обобщенными результатами методик интегральной оценки, которые дают возможность обобщить результаты и определить основные стратегические возможности финансовых решений для определенного предприятия [4]. К данному подходу можно отнести модель прогнозирования банкротства на заданный интервал времени, балльно-рейтинговые методики, метод оценки финансового состояния, разработанный на основе теории нечетких множеств [2]. Стоит отметить, что представленные методики характеризуется наличием различных методов, которые имеют свою специфику [4].</w:t>
      </w:r>
    </w:p>
    <w:p w14:paraId="742A635D"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Методы качественного анализа базируются в основном на исследовании структуры и динамики бухгалтерской отчетности. В краткосрочном периоде выявляются тенденции изменения и определяются причины каких-либо отклонений [4]. К данному методу можно отнести вертикальный анализ и горизонтальный анализ, трендовый анализ, сравнительный анализ. </w:t>
      </w:r>
    </w:p>
    <w:p w14:paraId="25C70901"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Методы коэффициентного анализа базируются в основном на расчетах относительных показателей, то есть финансовых коэффициентов. Данные методы характеризуют финансовое состояние за определенный период в различных сферах финансового положения предприятия [6]. В данном анализе можно выделить несколько групп основных показателей для оценки финансового состояния – это коэффициенты финансовой устойчивости, ликвидности, платежеспособности, а также коэффициенты рентабельности и деловой активности [4]. </w:t>
      </w:r>
    </w:p>
    <w:p w14:paraId="67563616"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Горизонтальный анализ или анализ динамики заключается в сравнении каждой статьи любой формы бухгалтерской отчетности с предыдущим периодом [7]. Для анализа необходимо найти абсолютное и относительное (темп роста) отклонения между </w:t>
      </w:r>
      <w:r w:rsidRPr="00452B5C">
        <w:rPr>
          <w:rFonts w:ascii="Times New Roman" w:hAnsi="Times New Roman" w:cs="Times New Roman"/>
          <w:sz w:val="24"/>
          <w:szCs w:val="24"/>
        </w:rPr>
        <w:lastRenderedPageBreak/>
        <w:t>показателями стаей отчетности. Полученный результат позволяет проанализировать динамику показателей за указанный период, а также позволяет спрогнозировать их значения на будущий период [7].</w:t>
      </w:r>
    </w:p>
    <w:p w14:paraId="068E6443"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Трендовый анализ можно считать аналогом горизонтального анализа. При данном анализе каждая статья необходимой для анализа формы отчетности сравнивается с рядом предыдущих периодов и определяется тренд, то есть определенная тенденция динамики показателя, которое исключает влияние случайных факторов. С помощью данного анализа, возможно, спрогнозировать будущие показатели отчетности [7]. </w:t>
      </w:r>
    </w:p>
    <w:p w14:paraId="7460E634"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Вертикальный (структурный) анализ заключается в отражении долей каждой статьи в итоге анализируемой формы отчетности. В бухгалтерском балансе за итог берется валюта баланса, в отчете о финансовых результатах итогом обычно является выручка. Целью данного анализа является определение удельного веса отдельных статей в итоге, а также оценка их изменений [7]. С помощью данного анализа определяется структура итога финансовых показателей с определением влияния каждого показателя на результат.</w:t>
      </w:r>
    </w:p>
    <w:p w14:paraId="5C82C3FD"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Горизонтальный и вертикальный анализ взаимодополняют друг друга и вместе дают более точное представление о результатах анализа финансового состояния. </w:t>
      </w:r>
    </w:p>
    <w:p w14:paraId="544B14CE"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Сравнительный анализ проводится на базе горизонтального и вертикального анализа. С помощью данного анализа можно охарактеризовать как структуру анализируемой формы бухгалтерской отчетности, а также и динамику показателей [7]. Сравнительный анализ систематизирует показатели горизонтального и вертикального анализа, который приводит к определенным аналитическим данным. </w:t>
      </w:r>
    </w:p>
    <w:p w14:paraId="425F9E53"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Финансовая устойчивость является одной из ключевых характеристик финансового состояния предприятия, которая отражает степень безопасности вложения денежных средств в это предприятие [8]. В основе нахождения финансовой устойчивости лежит расчет абсолютных и относительных показателей, определяющие финансовое состояние предприятия, его платежеспособность и имеющиеся финансовые риски.</w:t>
      </w:r>
    </w:p>
    <w:p w14:paraId="1B1CDB71"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Нахождение финансовой устойчивости с помощью абсолютных показателей определяет в каком размере и какие источники средств используются для покрытия затрат и запасов организации [9]. С точки зрения данного метода, он наиболее полно характеризует финансовое состояние и финансовую устойчивость организации [10].</w:t>
      </w:r>
    </w:p>
    <w:p w14:paraId="44E59906"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Суть данного метода заключается в том, что на основе показателей наличия источников формирования запасов, определяются показатели обеспеченности запасов источниками их формирования [9]. По данным показателям определяется трехмерная модель, с помощью которой можно выделить тип финансовой устойчивости организации. В таблице 1 представлена характеристика типов финансовой устойчивости организации [8].</w:t>
      </w:r>
    </w:p>
    <w:p w14:paraId="2500471E"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Основными показателями обеспеченности запасов источниками их формирования, с учетом финансовых рисков, можно считать излишки и недостатки денежных средств, а именно излишек и недостаток:</w:t>
      </w:r>
    </w:p>
    <w:p w14:paraId="0E53A04F" w14:textId="77777777" w:rsidR="00173C65" w:rsidRPr="00452B5C" w:rsidRDefault="00173C65" w:rsidP="00202D58">
      <w:pPr>
        <w:widowControl w:val="0"/>
        <w:numPr>
          <w:ilvl w:val="0"/>
          <w:numId w:val="12"/>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52B5C">
        <w:rPr>
          <w:rFonts w:ascii="Times New Roman" w:hAnsi="Times New Roman" w:cs="Times New Roman"/>
          <w:sz w:val="24"/>
          <w:szCs w:val="24"/>
        </w:rPr>
        <w:t>наличия собственных средств в обороте предприятия (СОС);</w:t>
      </w:r>
    </w:p>
    <w:p w14:paraId="07E5C523" w14:textId="77777777" w:rsidR="00173C65" w:rsidRPr="00452B5C" w:rsidRDefault="00173C65" w:rsidP="00202D58">
      <w:pPr>
        <w:widowControl w:val="0"/>
        <w:numPr>
          <w:ilvl w:val="0"/>
          <w:numId w:val="12"/>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наличия собственных средств в обороте и долгосрочных заемных источников для формирования запасов (СДИ); </w:t>
      </w:r>
    </w:p>
    <w:p w14:paraId="3A63FE73" w14:textId="77777777" w:rsidR="00173C65" w:rsidRPr="00452B5C" w:rsidRDefault="00173C65" w:rsidP="00202D58">
      <w:pPr>
        <w:widowControl w:val="0"/>
        <w:numPr>
          <w:ilvl w:val="0"/>
          <w:numId w:val="12"/>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52B5C">
        <w:rPr>
          <w:rFonts w:ascii="Times New Roman" w:hAnsi="Times New Roman" w:cs="Times New Roman"/>
          <w:sz w:val="24"/>
          <w:szCs w:val="24"/>
        </w:rPr>
        <w:t>общей величины основных источников средств, для формирования запасов (ОИЗ).</w:t>
      </w:r>
    </w:p>
    <w:p w14:paraId="29D569E4" w14:textId="77777777" w:rsidR="00173C65" w:rsidRPr="00452B5C" w:rsidRDefault="00173C65" w:rsidP="00173C65">
      <w:pPr>
        <w:widowControl w:val="0"/>
        <w:spacing w:after="0" w:line="240" w:lineRule="auto"/>
        <w:jc w:val="right"/>
        <w:rPr>
          <w:rFonts w:ascii="Times New Roman" w:hAnsi="Times New Roman" w:cs="Times New Roman"/>
          <w:sz w:val="24"/>
          <w:szCs w:val="24"/>
        </w:rPr>
      </w:pPr>
      <w:r w:rsidRPr="00452B5C">
        <w:rPr>
          <w:rFonts w:ascii="Times New Roman" w:hAnsi="Times New Roman" w:cs="Times New Roman"/>
          <w:i/>
          <w:sz w:val="24"/>
          <w:szCs w:val="24"/>
        </w:rPr>
        <w:t>Таблица 1</w:t>
      </w:r>
    </w:p>
    <w:p w14:paraId="0E26FBA2" w14:textId="77777777" w:rsidR="00173C65" w:rsidRPr="00452B5C" w:rsidRDefault="00173C65" w:rsidP="00173C65">
      <w:pPr>
        <w:widowControl w:val="0"/>
        <w:spacing w:after="120" w:line="240" w:lineRule="auto"/>
        <w:jc w:val="center"/>
        <w:rPr>
          <w:rFonts w:ascii="Times New Roman" w:hAnsi="Times New Roman" w:cs="Times New Roman"/>
          <w:sz w:val="24"/>
          <w:szCs w:val="24"/>
        </w:rPr>
      </w:pPr>
      <w:r w:rsidRPr="00452B5C">
        <w:rPr>
          <w:rFonts w:ascii="Times New Roman" w:hAnsi="Times New Roman" w:cs="Times New Roman"/>
          <w:b/>
          <w:sz w:val="24"/>
          <w:szCs w:val="24"/>
        </w:rPr>
        <w:t>Характеристика типов финансовой устойчивости</w:t>
      </w:r>
    </w:p>
    <w:tbl>
      <w:tblPr>
        <w:tblW w:w="0" w:type="auto"/>
        <w:tblInd w:w="108" w:type="dxa"/>
        <w:tblLayout w:type="fixed"/>
        <w:tblCellMar>
          <w:left w:w="0" w:type="dxa"/>
          <w:right w:w="0" w:type="dxa"/>
        </w:tblCellMar>
        <w:tblLook w:val="0000" w:firstRow="0" w:lastRow="0" w:firstColumn="0" w:lastColumn="0" w:noHBand="0" w:noVBand="0"/>
      </w:tblPr>
      <w:tblGrid>
        <w:gridCol w:w="3826"/>
        <w:gridCol w:w="5811"/>
      </w:tblGrid>
      <w:tr w:rsidR="00173C65" w:rsidRPr="00452B5C" w14:paraId="26EB8357" w14:textId="77777777" w:rsidTr="00A57174">
        <w:trPr>
          <w:trHeight w:val="414"/>
        </w:trPr>
        <w:tc>
          <w:tcPr>
            <w:tcW w:w="3826"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3EFF605" w14:textId="77777777" w:rsidR="00173C65" w:rsidRPr="00452B5C" w:rsidRDefault="00173C65" w:rsidP="00A57174">
            <w:pPr>
              <w:widowControl w:val="0"/>
              <w:spacing w:after="0" w:line="240" w:lineRule="auto"/>
              <w:ind w:firstLine="709"/>
              <w:rPr>
                <w:rFonts w:ascii="Times New Roman" w:hAnsi="Times New Roman" w:cs="Times New Roman"/>
                <w:sz w:val="24"/>
                <w:szCs w:val="24"/>
              </w:rPr>
            </w:pPr>
            <w:r w:rsidRPr="00452B5C">
              <w:rPr>
                <w:rFonts w:ascii="Times New Roman" w:hAnsi="Times New Roman" w:cs="Times New Roman"/>
                <w:sz w:val="24"/>
                <w:szCs w:val="24"/>
              </w:rPr>
              <w:t>Тип финансового состояния</w:t>
            </w:r>
          </w:p>
        </w:tc>
        <w:tc>
          <w:tcPr>
            <w:tcW w:w="5811"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1014CAD" w14:textId="77777777" w:rsidR="00173C65" w:rsidRPr="00452B5C" w:rsidRDefault="00173C65" w:rsidP="00A57174">
            <w:pPr>
              <w:widowControl w:val="0"/>
              <w:spacing w:after="0" w:line="240" w:lineRule="auto"/>
              <w:ind w:firstLine="709"/>
              <w:rPr>
                <w:rFonts w:ascii="Times New Roman" w:hAnsi="Times New Roman" w:cs="Times New Roman"/>
                <w:sz w:val="24"/>
                <w:szCs w:val="24"/>
              </w:rPr>
            </w:pPr>
            <w:r w:rsidRPr="00452B5C">
              <w:rPr>
                <w:rFonts w:ascii="Times New Roman" w:hAnsi="Times New Roman" w:cs="Times New Roman"/>
                <w:sz w:val="24"/>
                <w:szCs w:val="24"/>
              </w:rPr>
              <w:t>Характеристика</w:t>
            </w:r>
          </w:p>
        </w:tc>
      </w:tr>
      <w:tr w:rsidR="00173C65" w:rsidRPr="00452B5C" w14:paraId="4C1422C3" w14:textId="77777777" w:rsidTr="00A57174">
        <w:trPr>
          <w:trHeight w:val="755"/>
        </w:trPr>
        <w:tc>
          <w:tcPr>
            <w:tcW w:w="3826"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15A2D9D9"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Абсолютная устойчивость, модель {1;1;1}</w:t>
            </w:r>
          </w:p>
        </w:tc>
        <w:tc>
          <w:tcPr>
            <w:tcW w:w="5811"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5128E894"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Характеризует высокий уровень платежеспособности, организация не зависит от кредиторов</w:t>
            </w:r>
          </w:p>
        </w:tc>
      </w:tr>
      <w:tr w:rsidR="00173C65" w:rsidRPr="00452B5C" w14:paraId="720BC6FB" w14:textId="77777777" w:rsidTr="00A57174">
        <w:trPr>
          <w:trHeight w:val="414"/>
        </w:trPr>
        <w:tc>
          <w:tcPr>
            <w:tcW w:w="3826"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5678C36"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Нормальная устойчивость, модель {0;1;1}</w:t>
            </w:r>
          </w:p>
        </w:tc>
        <w:tc>
          <w:tcPr>
            <w:tcW w:w="5811"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36E11E1"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Характеризует нормальную платежеспособность и разумное использование заемных средств</w:t>
            </w:r>
          </w:p>
        </w:tc>
      </w:tr>
      <w:tr w:rsidR="00173C65" w:rsidRPr="00452B5C" w14:paraId="61789272" w14:textId="77777777" w:rsidTr="00A57174">
        <w:trPr>
          <w:trHeight w:val="414"/>
        </w:trPr>
        <w:tc>
          <w:tcPr>
            <w:tcW w:w="3826"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496E8909"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 xml:space="preserve">Неустойчивое финансовое </w:t>
            </w:r>
            <w:r w:rsidRPr="00452B5C">
              <w:rPr>
                <w:rFonts w:ascii="Times New Roman" w:hAnsi="Times New Roman" w:cs="Times New Roman"/>
                <w:sz w:val="24"/>
                <w:szCs w:val="24"/>
              </w:rPr>
              <w:lastRenderedPageBreak/>
              <w:t>состояние, модель {0;0;1}</w:t>
            </w:r>
          </w:p>
        </w:tc>
        <w:tc>
          <w:tcPr>
            <w:tcW w:w="5811"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6769FF1"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lastRenderedPageBreak/>
              <w:t xml:space="preserve">Характеризует нарушение платежеспособности и </w:t>
            </w:r>
            <w:r w:rsidRPr="00452B5C">
              <w:rPr>
                <w:rFonts w:ascii="Times New Roman" w:hAnsi="Times New Roman" w:cs="Times New Roman"/>
                <w:sz w:val="24"/>
                <w:szCs w:val="24"/>
              </w:rPr>
              <w:lastRenderedPageBreak/>
              <w:t>потребность в привлечении дополнительных средств</w:t>
            </w:r>
          </w:p>
        </w:tc>
      </w:tr>
      <w:tr w:rsidR="00173C65" w:rsidRPr="00452B5C" w14:paraId="3582575F" w14:textId="77777777" w:rsidTr="00A57174">
        <w:trPr>
          <w:trHeight w:val="414"/>
        </w:trPr>
        <w:tc>
          <w:tcPr>
            <w:tcW w:w="3826"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B01FF38"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lastRenderedPageBreak/>
              <w:t>Кризисное финансовое состояние, модель {0;0;0}</w:t>
            </w:r>
          </w:p>
        </w:tc>
        <w:tc>
          <w:tcPr>
            <w:tcW w:w="5811"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48B88573"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Характеризует неплатежеспособность организации и близкую грань к банкротству</w:t>
            </w:r>
          </w:p>
        </w:tc>
      </w:tr>
    </w:tbl>
    <w:p w14:paraId="47E7B39D" w14:textId="77777777" w:rsidR="00173C65" w:rsidRPr="00452B5C" w:rsidRDefault="00173C65" w:rsidP="00173C65">
      <w:pPr>
        <w:widowControl w:val="0"/>
        <w:spacing w:before="120"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Относительные показатели коэффициентного метода финансовой устойчивости определяют степень зависимости предприятия от внешних инвесторов и кредиторов [8]. Данный метод можно отнести к аналитическим методам расчета, так как рассчитываются коэффициенты, характеризующие финансовую устойчивость организации [10]. В таблице 2 представлены коэффициенты финансовой устойчивости и их характеристика [10,11].</w:t>
      </w:r>
    </w:p>
    <w:p w14:paraId="694CC234" w14:textId="77777777" w:rsidR="00173C65" w:rsidRPr="00452B5C" w:rsidRDefault="00173C65" w:rsidP="00173C65">
      <w:pPr>
        <w:widowControl w:val="0"/>
        <w:spacing w:after="0" w:line="240" w:lineRule="auto"/>
        <w:jc w:val="right"/>
        <w:rPr>
          <w:rFonts w:ascii="Times New Roman" w:hAnsi="Times New Roman" w:cs="Times New Roman"/>
          <w:sz w:val="24"/>
          <w:szCs w:val="24"/>
        </w:rPr>
      </w:pPr>
      <w:r w:rsidRPr="00452B5C">
        <w:rPr>
          <w:rFonts w:ascii="Times New Roman" w:hAnsi="Times New Roman" w:cs="Times New Roman"/>
          <w:i/>
          <w:sz w:val="24"/>
          <w:szCs w:val="24"/>
        </w:rPr>
        <w:t>Таблица 2</w:t>
      </w:r>
    </w:p>
    <w:p w14:paraId="29119AA0" w14:textId="77777777" w:rsidR="00173C65" w:rsidRPr="00452B5C" w:rsidRDefault="00173C65" w:rsidP="00173C65">
      <w:pPr>
        <w:widowControl w:val="0"/>
        <w:spacing w:after="120" w:line="240" w:lineRule="auto"/>
        <w:jc w:val="center"/>
        <w:rPr>
          <w:rFonts w:ascii="Times New Roman" w:hAnsi="Times New Roman" w:cs="Times New Roman"/>
          <w:sz w:val="24"/>
          <w:szCs w:val="24"/>
        </w:rPr>
      </w:pPr>
      <w:r w:rsidRPr="00452B5C">
        <w:rPr>
          <w:rFonts w:ascii="Times New Roman" w:hAnsi="Times New Roman" w:cs="Times New Roman"/>
          <w:b/>
          <w:sz w:val="24"/>
          <w:szCs w:val="24"/>
        </w:rPr>
        <w:t>Коэффициенты финансовой устойчивости</w:t>
      </w:r>
    </w:p>
    <w:tbl>
      <w:tblPr>
        <w:tblW w:w="0" w:type="auto"/>
        <w:tblInd w:w="108" w:type="dxa"/>
        <w:tblLayout w:type="fixed"/>
        <w:tblCellMar>
          <w:left w:w="0" w:type="dxa"/>
          <w:right w:w="0" w:type="dxa"/>
        </w:tblCellMar>
        <w:tblLook w:val="0000" w:firstRow="0" w:lastRow="0" w:firstColumn="0" w:lastColumn="0" w:noHBand="0" w:noVBand="0"/>
      </w:tblPr>
      <w:tblGrid>
        <w:gridCol w:w="2840"/>
        <w:gridCol w:w="6797"/>
      </w:tblGrid>
      <w:tr w:rsidR="00173C65" w:rsidRPr="00452B5C" w14:paraId="620E2579"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14D632BE" w14:textId="77777777" w:rsidR="00173C65" w:rsidRPr="00452B5C" w:rsidRDefault="00173C65" w:rsidP="00A57174">
            <w:pPr>
              <w:widowControl w:val="0"/>
              <w:spacing w:after="0" w:line="240" w:lineRule="auto"/>
              <w:ind w:firstLine="34"/>
              <w:jc w:val="center"/>
              <w:rPr>
                <w:rFonts w:ascii="Times New Roman" w:hAnsi="Times New Roman" w:cs="Times New Roman"/>
                <w:sz w:val="24"/>
                <w:szCs w:val="24"/>
              </w:rPr>
            </w:pPr>
            <w:r w:rsidRPr="00452B5C">
              <w:rPr>
                <w:rFonts w:ascii="Times New Roman" w:hAnsi="Times New Roman" w:cs="Times New Roman"/>
                <w:sz w:val="24"/>
                <w:szCs w:val="24"/>
              </w:rPr>
              <w:t>Коэффициенты</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E87F268" w14:textId="77777777" w:rsidR="00173C65" w:rsidRPr="00452B5C" w:rsidRDefault="00173C65" w:rsidP="00A57174">
            <w:pPr>
              <w:widowControl w:val="0"/>
              <w:spacing w:after="0" w:line="240" w:lineRule="auto"/>
              <w:ind w:firstLine="34"/>
              <w:jc w:val="center"/>
              <w:rPr>
                <w:rFonts w:ascii="Times New Roman" w:hAnsi="Times New Roman" w:cs="Times New Roman"/>
                <w:sz w:val="24"/>
                <w:szCs w:val="24"/>
              </w:rPr>
            </w:pPr>
            <w:r w:rsidRPr="00452B5C">
              <w:rPr>
                <w:rFonts w:ascii="Times New Roman" w:hAnsi="Times New Roman" w:cs="Times New Roman"/>
                <w:sz w:val="24"/>
                <w:szCs w:val="24"/>
              </w:rPr>
              <w:t>Характеристика</w:t>
            </w:r>
          </w:p>
        </w:tc>
      </w:tr>
      <w:tr w:rsidR="00173C65" w:rsidRPr="00452B5C" w14:paraId="55E407BF"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9783393"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Коэффициент автономии или коэффициент финансовой независимости</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5ABEA37"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Показывает независимость предприятия от внешних источников финансирования, рекомендуемое нормативное значение – ≥ 0,5</w:t>
            </w:r>
          </w:p>
        </w:tc>
      </w:tr>
      <w:tr w:rsidR="00173C65" w:rsidRPr="00452B5C" w14:paraId="5EE7C108"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B95AF84"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Коэффициент финансовой зависимости</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362926A"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Показывает, в какой степени организация зависит от внешних источников финансирования, снижение показателя считается положительным</w:t>
            </w:r>
          </w:p>
        </w:tc>
      </w:tr>
      <w:tr w:rsidR="00173C65" w:rsidRPr="00452B5C" w14:paraId="12D4133B"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519391D7"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Коэффициент самофинансирования</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41C49B2"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Показывает, какая часть собственных средств формируется за счет заемного капитала, рекомендуемое значение – ≥ 1,0</w:t>
            </w:r>
          </w:p>
        </w:tc>
      </w:tr>
      <w:tr w:rsidR="00173C65" w:rsidRPr="00452B5C" w14:paraId="1D79DC85"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2514E78"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Коэффициент финансовой напряженности</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6BDF531"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Показывает долю заемного капитала в общей сумме капитала, рекомендуемое нормативное значение – ≤ 0,5</w:t>
            </w:r>
          </w:p>
        </w:tc>
      </w:tr>
      <w:tr w:rsidR="00173C65" w:rsidRPr="00452B5C" w14:paraId="71689117"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A7FA072"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Коэффициент обеспеченности собственными оборотными средствами</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BCE2B38"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Показывает, какая доля оборотных активов обеспечивается собственными оборотными средствами, рекомендуемое нормативное значение – ≥ 0,1</w:t>
            </w:r>
          </w:p>
        </w:tc>
      </w:tr>
      <w:tr w:rsidR="00173C65" w:rsidRPr="00452B5C" w14:paraId="5279F110"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8ED9394"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Коэффициент маневренности</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C90D318"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Показывает долю собственных оборотных средств в собственном капитале, то есть, какая часть собственных средств находится в свободном расположении, рекомендуемое нормативное значение – 0,2 – 0,5</w:t>
            </w:r>
          </w:p>
        </w:tc>
      </w:tr>
      <w:tr w:rsidR="00173C65" w:rsidRPr="00452B5C" w14:paraId="0EAEB47B"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00B21F33"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Коэффициент соотношения мобильных и иммобилизованных активов</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07FB23D"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Показывает, сколько внеоборотных активов приходится на один рубль оборотных активов, индивидуален для каждого предприятия</w:t>
            </w:r>
          </w:p>
        </w:tc>
      </w:tr>
      <w:tr w:rsidR="00173C65" w:rsidRPr="00452B5C" w14:paraId="3CD1D7CD" w14:textId="77777777" w:rsidTr="00A57174">
        <w:tc>
          <w:tcPr>
            <w:tcW w:w="284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77A57DD"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Коэффициент финансовой устойчивости</w:t>
            </w:r>
          </w:p>
        </w:tc>
        <w:tc>
          <w:tcPr>
            <w:tcW w:w="67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B23E1E7"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Показывает, какая часть актива финансируется за счет устойчивых источников, рекомендуемое нормативное значение – ≥ 0,6</w:t>
            </w:r>
          </w:p>
        </w:tc>
      </w:tr>
    </w:tbl>
    <w:p w14:paraId="1D247401" w14:textId="77777777" w:rsidR="00173C65" w:rsidRPr="00452B5C" w:rsidRDefault="00173C65" w:rsidP="00173C65">
      <w:pPr>
        <w:widowControl w:val="0"/>
        <w:spacing w:before="120"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Финансовая устойчивость предприятия тесно взаимосвязана с анализом платежеспособности и ликвидности.</w:t>
      </w:r>
    </w:p>
    <w:p w14:paraId="27471BE5"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Платежеспособность предприятия можно охарактеризовать как возможность и способность предприятия своевременно и полностью погашать свои обязательства перед поставщиками (партнеры, государство). Предприятие будет считаться платежеспособным, если оборотные активы будут больше или равны краткосрочным обязательствам [7]. </w:t>
      </w:r>
    </w:p>
    <w:p w14:paraId="44E6A439"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Ликвидность предприятия более емкое понятие, которое можно охарактеризовать как способность предприятия быстро и без финансовых потерь преобразовать активы в денежные средства. </w:t>
      </w:r>
    </w:p>
    <w:p w14:paraId="35B5B839"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На практике платежеспособность предприятия выражается с помощью через ликвидность баланса [7]. Ликвидность баланса определяется как нахождение денежных средств только за счет внутренних источников предприятия, то есть реализации товаров или </w:t>
      </w:r>
      <w:r w:rsidRPr="00452B5C">
        <w:rPr>
          <w:rFonts w:ascii="Times New Roman" w:hAnsi="Times New Roman" w:cs="Times New Roman"/>
          <w:sz w:val="24"/>
          <w:szCs w:val="24"/>
        </w:rPr>
        <w:lastRenderedPageBreak/>
        <w:t xml:space="preserve">услуг, предприятие может также привлекать заемные средства [8]. </w:t>
      </w:r>
    </w:p>
    <w:p w14:paraId="2FEECC23"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Анализ ликвидности баланса заключается в сравнении средств по активу с пассивом, которые группируются по степени срочности их погашения [8]. Модель оценки анализа ликвидности баланса представлена в таблице 3, для более точного результата анализируемым периодом является три года.</w:t>
      </w:r>
    </w:p>
    <w:p w14:paraId="78ED110C"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Условием типа состояния ликвидности будут являться следующие неравенства:</w:t>
      </w:r>
    </w:p>
    <w:p w14:paraId="4F4D185E" w14:textId="77777777" w:rsidR="00173C65" w:rsidRPr="00452B5C" w:rsidRDefault="007014C7" w:rsidP="00202D58">
      <w:pPr>
        <w:pStyle w:val="a7"/>
        <w:widowControl w:val="0"/>
        <w:numPr>
          <w:ilvl w:val="0"/>
          <w:numId w:val="8"/>
        </w:numPr>
        <w:autoSpaceDE w:val="0"/>
        <w:autoSpaceDN w:val="0"/>
        <w:adjustRightInd w:val="0"/>
        <w:ind w:left="1789"/>
        <w:jc w:val="both"/>
        <w:rPr>
          <w:rFonts w:ascii="Times New Roman" w:hAnsi="Times New Roman" w:cs="Times New Roman"/>
        </w:rPr>
      </w:pPr>
      <m:oMath>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1</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1</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2</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2</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3</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3</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4</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4</m:t>
            </m:r>
          </m:sub>
        </m:sSub>
      </m:oMath>
      <w:r w:rsidR="00173C65" w:rsidRPr="00452B5C">
        <w:rPr>
          <w:rFonts w:ascii="Times New Roman" w:hAnsi="Times New Roman" w:cs="Times New Roman"/>
        </w:rPr>
        <w:t xml:space="preserve"> – тип абсолютной ликвидности;</w:t>
      </w:r>
    </w:p>
    <w:p w14:paraId="49035878" w14:textId="77777777" w:rsidR="00173C65" w:rsidRPr="00452B5C" w:rsidRDefault="007014C7" w:rsidP="00202D58">
      <w:pPr>
        <w:pStyle w:val="a7"/>
        <w:widowControl w:val="0"/>
        <w:numPr>
          <w:ilvl w:val="0"/>
          <w:numId w:val="8"/>
        </w:numPr>
        <w:autoSpaceDE w:val="0"/>
        <w:autoSpaceDN w:val="0"/>
        <w:adjustRightInd w:val="0"/>
        <w:ind w:left="1789"/>
        <w:jc w:val="both"/>
        <w:rPr>
          <w:rFonts w:ascii="Times New Roman" w:hAnsi="Times New Roman" w:cs="Times New Roman"/>
        </w:rPr>
      </w:pPr>
      <m:oMath>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1</m:t>
            </m:r>
          </m:sub>
        </m:sSub>
        <m:r>
          <m:rPr>
            <m:sty m:val="p"/>
          </m:rPr>
          <w:rPr>
            <w:rFonts w:ascii="Cambria Math" w:hAnsi="Times New Roman" w:cs="Times New Roman"/>
          </w:rPr>
          <m:t>&lt;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1</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2</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2</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3</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3</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4</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4</m:t>
            </m:r>
          </m:sub>
        </m:sSub>
      </m:oMath>
      <w:r w:rsidR="00173C65" w:rsidRPr="00452B5C">
        <w:rPr>
          <w:rFonts w:ascii="Times New Roman" w:hAnsi="Times New Roman" w:cs="Times New Roman"/>
        </w:rPr>
        <w:t xml:space="preserve"> – тип допустимой ликвидности;</w:t>
      </w:r>
    </w:p>
    <w:p w14:paraId="07E3498C" w14:textId="77777777" w:rsidR="00173C65" w:rsidRPr="00452B5C" w:rsidRDefault="007014C7" w:rsidP="00202D58">
      <w:pPr>
        <w:pStyle w:val="a7"/>
        <w:widowControl w:val="0"/>
        <w:numPr>
          <w:ilvl w:val="0"/>
          <w:numId w:val="8"/>
        </w:numPr>
        <w:autoSpaceDE w:val="0"/>
        <w:autoSpaceDN w:val="0"/>
        <w:adjustRightInd w:val="0"/>
        <w:ind w:left="1789"/>
        <w:jc w:val="both"/>
        <w:rPr>
          <w:rFonts w:ascii="Times New Roman" w:hAnsi="Times New Roman" w:cs="Times New Roman"/>
        </w:rPr>
      </w:pPr>
      <m:oMath>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1</m:t>
            </m:r>
          </m:sub>
        </m:sSub>
        <m:r>
          <m:rPr>
            <m:sty m:val="p"/>
          </m:rPr>
          <w:rPr>
            <w:rFonts w:ascii="Cambria Math" w:hAnsi="Times New Roman" w:cs="Times New Roman"/>
          </w:rPr>
          <m:t>&lt;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1</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2</m:t>
            </m:r>
          </m:sub>
        </m:sSub>
        <m:r>
          <m:rPr>
            <m:sty m:val="p"/>
          </m:rPr>
          <w:rPr>
            <w:rFonts w:ascii="Cambria Math" w:hAnsi="Times New Roman" w:cs="Times New Roman"/>
          </w:rPr>
          <m:t>&lt;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2</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3</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3</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4</m:t>
            </m:r>
          </m:sub>
        </m:sSub>
        <m:r>
          <m:rPr>
            <m:sty m:val="p"/>
          </m:rPr>
          <w:rPr>
            <w:rFonts w:ascii="Times New Roman"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4</m:t>
            </m:r>
          </m:sub>
        </m:sSub>
      </m:oMath>
      <w:r w:rsidR="00173C65" w:rsidRPr="00452B5C">
        <w:rPr>
          <w:rFonts w:ascii="Times New Roman" w:hAnsi="Times New Roman" w:cs="Times New Roman"/>
        </w:rPr>
        <w:t xml:space="preserve"> – тип нарушенной ликвидности;</w:t>
      </w:r>
    </w:p>
    <w:p w14:paraId="026D709A" w14:textId="77777777" w:rsidR="00173C65" w:rsidRPr="00452B5C" w:rsidRDefault="007014C7" w:rsidP="00202D58">
      <w:pPr>
        <w:pStyle w:val="a7"/>
        <w:widowControl w:val="0"/>
        <w:numPr>
          <w:ilvl w:val="0"/>
          <w:numId w:val="8"/>
        </w:numPr>
        <w:autoSpaceDE w:val="0"/>
        <w:autoSpaceDN w:val="0"/>
        <w:adjustRightInd w:val="0"/>
        <w:ind w:left="1789"/>
        <w:jc w:val="both"/>
        <w:rPr>
          <w:rFonts w:ascii="Times New Roman" w:hAnsi="Times New Roman" w:cs="Times New Roman"/>
        </w:rPr>
      </w:pPr>
      <m:oMath>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1</m:t>
            </m:r>
          </m:sub>
        </m:sSub>
        <m:r>
          <m:rPr>
            <m:sty m:val="p"/>
          </m:rPr>
          <w:rPr>
            <w:rFonts w:ascii="Cambria Math" w:hAnsi="Times New Roman" w:cs="Times New Roman"/>
          </w:rPr>
          <m:t>&lt;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1</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2</m:t>
            </m:r>
          </m:sub>
        </m:sSub>
        <m:r>
          <m:rPr>
            <m:sty m:val="p"/>
          </m:rPr>
          <w:rPr>
            <w:rFonts w:ascii="Cambria Math" w:hAnsi="Times New Roman" w:cs="Times New Roman"/>
          </w:rPr>
          <m:t>&lt;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2</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3</m:t>
            </m:r>
          </m:sub>
        </m:sSub>
        <m:r>
          <m:rPr>
            <m:sty m:val="p"/>
          </m:rPr>
          <w:rPr>
            <w:rFonts w:ascii="Cambria Math" w:hAnsi="Times New Roman" w:cs="Times New Roman"/>
          </w:rPr>
          <m:t>&lt;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3</m:t>
            </m:r>
          </m:sub>
        </m:sSub>
        <m:r>
          <m:rPr>
            <m:sty m:val="p"/>
          </m:rPr>
          <w:rPr>
            <w:rFonts w:ascii="Cambria Math" w:hAnsi="Times New Roman" w:cs="Times New Roman"/>
          </w:rPr>
          <m:t>;</m:t>
        </m:r>
        <m:sSub>
          <m:sSubPr>
            <m:ctrlPr>
              <w:rPr>
                <w:rFonts w:ascii="Cambria Math" w:hAnsi="Times New Roman" w:cs="Times New Roman"/>
              </w:rPr>
            </m:ctrlPr>
          </m:sSubPr>
          <m:e>
            <m:r>
              <m:rPr>
                <m:sty m:val="p"/>
              </m:rPr>
              <w:rPr>
                <w:rFonts w:ascii="Times New Roman" w:hAnsi="Times New Roman" w:cs="Times New Roman"/>
              </w:rPr>
              <m:t>А</m:t>
            </m:r>
          </m:e>
          <m:sub>
            <m:r>
              <m:rPr>
                <m:sty m:val="p"/>
              </m:rPr>
              <w:rPr>
                <w:rFonts w:ascii="Cambria Math" w:hAnsi="Times New Roman" w:cs="Times New Roman"/>
              </w:rPr>
              <m:t>4</m:t>
            </m:r>
          </m:sub>
        </m:sSub>
        <m:r>
          <m:rPr>
            <m:sty m:val="p"/>
          </m:rPr>
          <w:rPr>
            <w:rFonts w:ascii="Cambria Math" w:hAnsi="Times New Roman" w:cs="Times New Roman"/>
          </w:rPr>
          <m:t>&gt;</m:t>
        </m:r>
        <m:sSub>
          <m:sSubPr>
            <m:ctrlPr>
              <w:rPr>
                <w:rFonts w:ascii="Cambria Math" w:hAnsi="Times New Roman" w:cs="Times New Roman"/>
              </w:rPr>
            </m:ctrlPr>
          </m:sSubPr>
          <m:e>
            <m:r>
              <m:rPr>
                <m:sty m:val="p"/>
              </m:rPr>
              <w:rPr>
                <w:rFonts w:ascii="Times New Roman" w:hAnsi="Times New Roman" w:cs="Times New Roman"/>
              </w:rPr>
              <m:t>П</m:t>
            </m:r>
          </m:e>
          <m:sub>
            <m:r>
              <m:rPr>
                <m:sty m:val="p"/>
              </m:rPr>
              <w:rPr>
                <w:rFonts w:ascii="Cambria Math" w:hAnsi="Times New Roman" w:cs="Times New Roman"/>
              </w:rPr>
              <m:t>4</m:t>
            </m:r>
          </m:sub>
        </m:sSub>
      </m:oMath>
      <w:r w:rsidR="00173C65" w:rsidRPr="00452B5C">
        <w:rPr>
          <w:rFonts w:ascii="Times New Roman" w:hAnsi="Times New Roman" w:cs="Times New Roman"/>
        </w:rPr>
        <w:t xml:space="preserve"> – тип критической ликвидности.</w:t>
      </w:r>
    </w:p>
    <w:p w14:paraId="5757ECDA" w14:textId="77777777" w:rsidR="00173C65" w:rsidRPr="00452B5C" w:rsidRDefault="00173C65" w:rsidP="00173C65">
      <w:pPr>
        <w:widowControl w:val="0"/>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Абсолютная ликвидность будет только в том случае, если будет соблюдаться первое условие и выполнение первых трех неравенств. Сравнение </w:t>
      </w:r>
      <m:oMath>
        <m:sSub>
          <m:sSubPr>
            <m:ctrlPr>
              <w:rPr>
                <w:rFonts w:ascii="Cambria Math" w:hAnsi="Times New Roman" w:cs="Times New Roman"/>
                <w:sz w:val="24"/>
                <w:szCs w:val="24"/>
              </w:rPr>
            </m:ctrlPr>
          </m:sSubPr>
          <m:e>
            <m:r>
              <m:rPr>
                <m:sty m:val="p"/>
              </m:rPr>
              <w:rPr>
                <w:rFonts w:ascii="Times New Roman" w:hAnsi="Times New Roman" w:cs="Times New Roman"/>
                <w:sz w:val="24"/>
                <w:szCs w:val="24"/>
              </w:rPr>
              <m:t>А</m:t>
            </m:r>
          </m:e>
          <m:sub>
            <m:r>
              <m:rPr>
                <m:sty m:val="p"/>
              </m:rPr>
              <w:rPr>
                <w:rFonts w:ascii="Cambria Math" w:hAnsi="Times New Roman" w:cs="Times New Roman"/>
                <w:sz w:val="24"/>
                <w:szCs w:val="24"/>
              </w:rPr>
              <m:t>1</m:t>
            </m:r>
          </m:sub>
        </m:sSub>
        <m:r>
          <m:rPr>
            <m:sty m:val="p"/>
          </m:rPr>
          <w:rPr>
            <w:rFonts w:ascii="Times New Roman" w:hAnsi="Times New Roman" w:cs="Times New Roman"/>
            <w:sz w:val="24"/>
            <w:szCs w:val="24"/>
          </w:rPr>
          <m:t>с</m:t>
        </m:r>
        <m:sSub>
          <m:sSubPr>
            <m:ctrlPr>
              <w:rPr>
                <w:rFonts w:ascii="Cambria Math" w:hAnsi="Times New Roman" w:cs="Times New Roman"/>
                <w:sz w:val="24"/>
                <w:szCs w:val="24"/>
              </w:rPr>
            </m:ctrlPr>
          </m:sSubPr>
          <m:e>
            <m:r>
              <m:rPr>
                <m:sty m:val="p"/>
              </m:rPr>
              <w:rPr>
                <w:rFonts w:ascii="Times New Roman" w:hAnsi="Times New Roman" w:cs="Times New Roman"/>
                <w:sz w:val="24"/>
                <w:szCs w:val="24"/>
              </w:rPr>
              <m:t>П</m:t>
            </m:r>
          </m:e>
          <m:sub>
            <m:r>
              <m:rPr>
                <m:sty m:val="p"/>
              </m:rPr>
              <w:rPr>
                <w:rFonts w:ascii="Cambria Math" w:hAnsi="Times New Roman" w:cs="Times New Roman"/>
                <w:sz w:val="24"/>
                <w:szCs w:val="24"/>
              </w:rPr>
              <m:t>1</m:t>
            </m:r>
          </m:sub>
        </m:sSub>
        <m:sSub>
          <m:sSubPr>
            <m:ctrlPr>
              <w:rPr>
                <w:rFonts w:ascii="Cambria Math" w:hAnsi="Times New Roman" w:cs="Times New Roman"/>
                <w:sz w:val="24"/>
                <w:szCs w:val="24"/>
              </w:rPr>
            </m:ctrlPr>
          </m:sSubPr>
          <m:e>
            <m:r>
              <m:rPr>
                <m:sty m:val="p"/>
              </m:rPr>
              <w:rPr>
                <w:rFonts w:ascii="Times New Roman" w:hAnsi="Times New Roman" w:cs="Times New Roman"/>
                <w:sz w:val="24"/>
                <w:szCs w:val="24"/>
              </w:rPr>
              <m:t>А</m:t>
            </m:r>
          </m:e>
          <m:sub>
            <m:r>
              <m:rPr>
                <m:sty m:val="p"/>
              </m:rPr>
              <w:rPr>
                <w:rFonts w:ascii="Cambria Math" w:hAnsi="Times New Roman" w:cs="Times New Roman"/>
                <w:sz w:val="24"/>
                <w:szCs w:val="24"/>
              </w:rPr>
              <m:t>2</m:t>
            </m:r>
          </m:sub>
        </m:sSub>
        <m:r>
          <m:rPr>
            <m:sty m:val="p"/>
          </m:rPr>
          <w:rPr>
            <w:rFonts w:ascii="Times New Roman" w:hAnsi="Times New Roman" w:cs="Times New Roman"/>
            <w:sz w:val="24"/>
            <w:szCs w:val="24"/>
          </w:rPr>
          <m:t>с</m:t>
        </m:r>
        <m:sSub>
          <m:sSubPr>
            <m:ctrlPr>
              <w:rPr>
                <w:rFonts w:ascii="Cambria Math" w:hAnsi="Times New Roman" w:cs="Times New Roman"/>
                <w:sz w:val="24"/>
                <w:szCs w:val="24"/>
              </w:rPr>
            </m:ctrlPr>
          </m:sSubPr>
          <m:e>
            <m:r>
              <m:rPr>
                <m:sty m:val="p"/>
              </m:rPr>
              <w:rPr>
                <w:rFonts w:ascii="Times New Roman" w:hAnsi="Times New Roman" w:cs="Times New Roman"/>
                <w:sz w:val="24"/>
                <w:szCs w:val="24"/>
              </w:rPr>
              <m:t>П</m:t>
            </m:r>
          </m:e>
          <m:sub>
            <m:r>
              <m:rPr>
                <m:sty m:val="p"/>
              </m:rPr>
              <w:rPr>
                <w:rFonts w:ascii="Cambria Math" w:hAnsi="Times New Roman" w:cs="Times New Roman"/>
                <w:sz w:val="24"/>
                <w:szCs w:val="24"/>
              </w:rPr>
              <m:t>2</m:t>
            </m:r>
          </m:sub>
        </m:sSub>
      </m:oMath>
      <w:r w:rsidRPr="00452B5C">
        <w:rPr>
          <w:rFonts w:ascii="Times New Roman" w:hAnsi="Times New Roman" w:cs="Times New Roman"/>
          <w:sz w:val="24"/>
          <w:szCs w:val="24"/>
        </w:rPr>
        <w:t xml:space="preserve"> позволяет определить текущую ликвидность предприятия, что свидетельствует о платежеспособности предприятия на ближайшее время, а сравнение </w:t>
      </w:r>
      <m:oMath>
        <m:sSub>
          <m:sSubPr>
            <m:ctrlPr>
              <w:rPr>
                <w:rFonts w:ascii="Cambria Math" w:hAnsi="Times New Roman" w:cs="Times New Roman"/>
                <w:sz w:val="24"/>
                <w:szCs w:val="24"/>
              </w:rPr>
            </m:ctrlPr>
          </m:sSubPr>
          <m:e>
            <m:r>
              <m:rPr>
                <m:sty m:val="p"/>
              </m:rPr>
              <w:rPr>
                <w:rFonts w:ascii="Times New Roman" w:hAnsi="Times New Roman" w:cs="Times New Roman"/>
                <w:sz w:val="24"/>
                <w:szCs w:val="24"/>
              </w:rPr>
              <m:t>А</m:t>
            </m:r>
          </m:e>
          <m:sub>
            <m:r>
              <m:rPr>
                <m:sty m:val="p"/>
              </m:rPr>
              <w:rPr>
                <w:rFonts w:ascii="Cambria Math" w:hAnsi="Times New Roman" w:cs="Times New Roman"/>
                <w:sz w:val="24"/>
                <w:szCs w:val="24"/>
              </w:rPr>
              <m:t>3</m:t>
            </m:r>
          </m:sub>
        </m:sSub>
        <m:r>
          <m:rPr>
            <m:sty m:val="p"/>
          </m:rPr>
          <w:rPr>
            <w:rFonts w:ascii="Times New Roman" w:hAnsi="Times New Roman" w:cs="Times New Roman"/>
            <w:sz w:val="24"/>
            <w:szCs w:val="24"/>
          </w:rPr>
          <m:t>с</m:t>
        </m:r>
        <m:sSub>
          <m:sSubPr>
            <m:ctrlPr>
              <w:rPr>
                <w:rFonts w:ascii="Cambria Math" w:hAnsi="Times New Roman" w:cs="Times New Roman"/>
                <w:sz w:val="24"/>
                <w:szCs w:val="24"/>
              </w:rPr>
            </m:ctrlPr>
          </m:sSubPr>
          <m:e>
            <m:r>
              <m:rPr>
                <m:sty m:val="p"/>
              </m:rPr>
              <w:rPr>
                <w:rFonts w:ascii="Times New Roman" w:hAnsi="Times New Roman" w:cs="Times New Roman"/>
                <w:sz w:val="24"/>
                <w:szCs w:val="24"/>
              </w:rPr>
              <m:t>П</m:t>
            </m:r>
          </m:e>
          <m:sub>
            <m:r>
              <m:rPr>
                <m:sty m:val="p"/>
              </m:rPr>
              <w:rPr>
                <w:rFonts w:ascii="Cambria Math" w:hAnsi="Times New Roman" w:cs="Times New Roman"/>
                <w:sz w:val="24"/>
                <w:szCs w:val="24"/>
              </w:rPr>
              <m:t>3</m:t>
            </m:r>
          </m:sub>
        </m:sSub>
      </m:oMath>
      <w:r w:rsidRPr="00452B5C">
        <w:rPr>
          <w:rFonts w:ascii="Times New Roman" w:hAnsi="Times New Roman" w:cs="Times New Roman"/>
          <w:sz w:val="24"/>
          <w:szCs w:val="24"/>
        </w:rPr>
        <w:t>дает информацию о текущей ликвидности, исходя из чего делается прогноз долгосрочной платежеспособности [7].</w:t>
      </w:r>
    </w:p>
    <w:p w14:paraId="26F49741" w14:textId="77777777" w:rsidR="00173C65" w:rsidRPr="00452B5C" w:rsidRDefault="00173C65" w:rsidP="00173C65">
      <w:pPr>
        <w:widowControl w:val="0"/>
        <w:spacing w:after="0" w:line="240" w:lineRule="auto"/>
        <w:jc w:val="right"/>
        <w:rPr>
          <w:rFonts w:ascii="Times New Roman" w:hAnsi="Times New Roman" w:cs="Times New Roman"/>
          <w:sz w:val="24"/>
          <w:szCs w:val="24"/>
        </w:rPr>
      </w:pPr>
      <w:r w:rsidRPr="00452B5C">
        <w:rPr>
          <w:rFonts w:ascii="Times New Roman" w:hAnsi="Times New Roman" w:cs="Times New Roman"/>
          <w:i/>
          <w:sz w:val="24"/>
          <w:szCs w:val="24"/>
        </w:rPr>
        <w:t>Таблица 3</w:t>
      </w:r>
    </w:p>
    <w:p w14:paraId="15671B96" w14:textId="77777777" w:rsidR="00173C65" w:rsidRPr="00452B5C" w:rsidRDefault="00173C65" w:rsidP="00173C65">
      <w:pPr>
        <w:widowControl w:val="0"/>
        <w:spacing w:after="120" w:line="240" w:lineRule="auto"/>
        <w:jc w:val="center"/>
        <w:rPr>
          <w:rFonts w:ascii="Times New Roman" w:hAnsi="Times New Roman" w:cs="Times New Roman"/>
          <w:sz w:val="24"/>
          <w:szCs w:val="24"/>
        </w:rPr>
      </w:pPr>
      <w:r w:rsidRPr="00452B5C">
        <w:rPr>
          <w:rFonts w:ascii="Times New Roman" w:hAnsi="Times New Roman" w:cs="Times New Roman"/>
          <w:b/>
          <w:sz w:val="24"/>
          <w:szCs w:val="24"/>
        </w:rPr>
        <w:t>Модель оценки анализа ликвидности баланса (абсолютные показатели)</w:t>
      </w:r>
    </w:p>
    <w:tbl>
      <w:tblPr>
        <w:tblW w:w="0" w:type="auto"/>
        <w:tblInd w:w="108" w:type="dxa"/>
        <w:tblLayout w:type="fixed"/>
        <w:tblCellMar>
          <w:left w:w="0" w:type="dxa"/>
          <w:right w:w="0" w:type="dxa"/>
        </w:tblCellMar>
        <w:tblLook w:val="0000" w:firstRow="0" w:lastRow="0" w:firstColumn="0" w:lastColumn="0" w:noHBand="0" w:noVBand="0"/>
      </w:tblPr>
      <w:tblGrid>
        <w:gridCol w:w="3259"/>
        <w:gridCol w:w="1560"/>
        <w:gridCol w:w="3260"/>
        <w:gridCol w:w="1559"/>
      </w:tblGrid>
      <w:tr w:rsidR="00173C65" w:rsidRPr="00452B5C" w14:paraId="27C58281" w14:textId="77777777" w:rsidTr="00A57174">
        <w:tc>
          <w:tcPr>
            <w:tcW w:w="4819" w:type="dxa"/>
            <w:gridSpan w:val="2"/>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8935DDA" w14:textId="77777777" w:rsidR="00173C65" w:rsidRPr="00452B5C" w:rsidRDefault="00173C65" w:rsidP="00A57174">
            <w:pPr>
              <w:widowControl w:val="0"/>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Активы</w:t>
            </w:r>
          </w:p>
        </w:tc>
        <w:tc>
          <w:tcPr>
            <w:tcW w:w="4818" w:type="dxa"/>
            <w:gridSpan w:val="2"/>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ADEA455" w14:textId="77777777" w:rsidR="00173C65" w:rsidRPr="00452B5C" w:rsidRDefault="00173C65" w:rsidP="00A57174">
            <w:pPr>
              <w:widowControl w:val="0"/>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Пассивы</w:t>
            </w:r>
          </w:p>
        </w:tc>
      </w:tr>
      <w:tr w:rsidR="00173C65" w:rsidRPr="00452B5C" w14:paraId="78CB97DF" w14:textId="77777777" w:rsidTr="00A57174">
        <w:tc>
          <w:tcPr>
            <w:tcW w:w="32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4BA8009A" w14:textId="77777777" w:rsidR="00173C65" w:rsidRPr="00452B5C" w:rsidRDefault="00173C65" w:rsidP="00A57174">
            <w:pPr>
              <w:widowControl w:val="0"/>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Группа баланса</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FC20CB1" w14:textId="77777777" w:rsidR="00173C65" w:rsidRPr="00452B5C" w:rsidRDefault="00173C65" w:rsidP="00A57174">
            <w:pPr>
              <w:widowControl w:val="0"/>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Условное обозначение</w:t>
            </w:r>
          </w:p>
        </w:tc>
        <w:tc>
          <w:tcPr>
            <w:tcW w:w="326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5DADF707" w14:textId="77777777" w:rsidR="00173C65" w:rsidRPr="00452B5C" w:rsidRDefault="00173C65" w:rsidP="00A57174">
            <w:pPr>
              <w:widowControl w:val="0"/>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Группа баланса</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0828CEF3" w14:textId="77777777" w:rsidR="00173C65" w:rsidRPr="00452B5C" w:rsidRDefault="00173C65" w:rsidP="00A57174">
            <w:pPr>
              <w:widowControl w:val="0"/>
              <w:spacing w:after="0" w:line="240" w:lineRule="auto"/>
              <w:jc w:val="center"/>
              <w:rPr>
                <w:rFonts w:ascii="Times New Roman" w:hAnsi="Times New Roman" w:cs="Times New Roman"/>
                <w:sz w:val="24"/>
                <w:szCs w:val="24"/>
              </w:rPr>
            </w:pPr>
            <w:r w:rsidRPr="00452B5C">
              <w:rPr>
                <w:rFonts w:ascii="Times New Roman" w:hAnsi="Times New Roman" w:cs="Times New Roman"/>
                <w:sz w:val="24"/>
                <w:szCs w:val="24"/>
              </w:rPr>
              <w:t>Условное обозначение</w:t>
            </w:r>
          </w:p>
        </w:tc>
      </w:tr>
      <w:tr w:rsidR="00173C65" w:rsidRPr="00452B5C" w14:paraId="12CCE67B" w14:textId="77777777" w:rsidTr="00A57174">
        <w:trPr>
          <w:trHeight w:val="463"/>
        </w:trPr>
        <w:tc>
          <w:tcPr>
            <w:tcW w:w="32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9D2427D"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Быстрореализуемые активы</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01A62B6"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А</m:t>
                    </m:r>
                  </m:e>
                  <m:sub>
                    <m:r>
                      <m:rPr>
                        <m:sty m:val="p"/>
                      </m:rPr>
                      <w:rPr>
                        <w:rFonts w:ascii="Cambria Math" w:hAnsi="Times New Roman" w:cs="Times New Roman"/>
                        <w:sz w:val="24"/>
                        <w:szCs w:val="24"/>
                      </w:rPr>
                      <m:t>1</m:t>
                    </m:r>
                  </m:sub>
                </m:sSub>
              </m:oMath>
            </m:oMathPara>
          </w:p>
        </w:tc>
        <w:tc>
          <w:tcPr>
            <w:tcW w:w="326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951BC8C"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 xml:space="preserve">Наиболее срочные обязательства </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9DFF3A4"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П</m:t>
                    </m:r>
                  </m:e>
                  <m:sub>
                    <m:r>
                      <m:rPr>
                        <m:sty m:val="p"/>
                      </m:rPr>
                      <w:rPr>
                        <w:rFonts w:ascii="Cambria Math" w:hAnsi="Times New Roman" w:cs="Times New Roman"/>
                        <w:sz w:val="24"/>
                        <w:szCs w:val="24"/>
                      </w:rPr>
                      <m:t>1</m:t>
                    </m:r>
                  </m:sub>
                </m:sSub>
              </m:oMath>
            </m:oMathPara>
          </w:p>
        </w:tc>
      </w:tr>
      <w:tr w:rsidR="00173C65" w:rsidRPr="00452B5C" w14:paraId="73CD09CB" w14:textId="77777777" w:rsidTr="00A57174">
        <w:tc>
          <w:tcPr>
            <w:tcW w:w="32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F5F85E7"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Среднереализуемые активы</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0F76538B"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А</m:t>
                    </m:r>
                  </m:e>
                  <m:sub>
                    <m:r>
                      <m:rPr>
                        <m:sty m:val="p"/>
                      </m:rPr>
                      <w:rPr>
                        <w:rFonts w:ascii="Cambria Math" w:hAnsi="Times New Roman" w:cs="Times New Roman"/>
                        <w:sz w:val="24"/>
                        <w:szCs w:val="24"/>
                      </w:rPr>
                      <m:t>2</m:t>
                    </m:r>
                  </m:sub>
                </m:sSub>
              </m:oMath>
            </m:oMathPara>
          </w:p>
        </w:tc>
        <w:tc>
          <w:tcPr>
            <w:tcW w:w="326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5A5FAFF9"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 xml:space="preserve">Краткосрочные обязательства </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07749AEF"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П</m:t>
                    </m:r>
                  </m:e>
                  <m:sub>
                    <m:r>
                      <m:rPr>
                        <m:sty m:val="p"/>
                      </m:rPr>
                      <w:rPr>
                        <w:rFonts w:ascii="Cambria Math" w:hAnsi="Times New Roman" w:cs="Times New Roman"/>
                        <w:sz w:val="24"/>
                        <w:szCs w:val="24"/>
                      </w:rPr>
                      <m:t>2</m:t>
                    </m:r>
                  </m:sub>
                </m:sSub>
              </m:oMath>
            </m:oMathPara>
          </w:p>
        </w:tc>
      </w:tr>
      <w:tr w:rsidR="00173C65" w:rsidRPr="00452B5C" w14:paraId="7622CEE1" w14:textId="77777777" w:rsidTr="00A57174">
        <w:tc>
          <w:tcPr>
            <w:tcW w:w="32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07D557BB"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Медленно реализуемые активы</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E48C879"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А</m:t>
                    </m:r>
                  </m:e>
                  <m:sub>
                    <m:r>
                      <m:rPr>
                        <m:sty m:val="p"/>
                      </m:rPr>
                      <w:rPr>
                        <w:rFonts w:ascii="Cambria Math" w:hAnsi="Times New Roman" w:cs="Times New Roman"/>
                        <w:sz w:val="24"/>
                        <w:szCs w:val="24"/>
                      </w:rPr>
                      <m:t>3</m:t>
                    </m:r>
                  </m:sub>
                </m:sSub>
              </m:oMath>
            </m:oMathPara>
          </w:p>
        </w:tc>
        <w:tc>
          <w:tcPr>
            <w:tcW w:w="326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4A87F6D"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 xml:space="preserve">Долгосрочные обязательства </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CAC0746"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П</m:t>
                    </m:r>
                  </m:e>
                  <m:sub>
                    <m:r>
                      <m:rPr>
                        <m:sty m:val="p"/>
                      </m:rPr>
                      <w:rPr>
                        <w:rFonts w:ascii="Cambria Math" w:hAnsi="Times New Roman" w:cs="Times New Roman"/>
                        <w:sz w:val="24"/>
                        <w:szCs w:val="24"/>
                      </w:rPr>
                      <m:t>3</m:t>
                    </m:r>
                  </m:sub>
                </m:sSub>
              </m:oMath>
            </m:oMathPara>
          </w:p>
        </w:tc>
      </w:tr>
      <w:tr w:rsidR="00173C65" w:rsidRPr="00452B5C" w14:paraId="42C545E7" w14:textId="77777777" w:rsidTr="00A57174">
        <w:tc>
          <w:tcPr>
            <w:tcW w:w="32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57B7CA3"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 xml:space="preserve">Труднореализуемые активы </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A41F3AE"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А</m:t>
                    </m:r>
                  </m:e>
                  <m:sub>
                    <m:r>
                      <m:rPr>
                        <m:sty m:val="p"/>
                      </m:rPr>
                      <w:rPr>
                        <w:rFonts w:ascii="Cambria Math" w:hAnsi="Times New Roman" w:cs="Times New Roman"/>
                        <w:sz w:val="24"/>
                        <w:szCs w:val="24"/>
                      </w:rPr>
                      <m:t>4</m:t>
                    </m:r>
                  </m:sub>
                </m:sSub>
              </m:oMath>
            </m:oMathPara>
          </w:p>
        </w:tc>
        <w:tc>
          <w:tcPr>
            <w:tcW w:w="3260"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61881E2" w14:textId="77777777" w:rsidR="00173C65" w:rsidRPr="00452B5C" w:rsidRDefault="00173C65" w:rsidP="00A57174">
            <w:pPr>
              <w:spacing w:after="0" w:line="240" w:lineRule="auto"/>
              <w:rPr>
                <w:rFonts w:ascii="Times New Roman" w:hAnsi="Times New Roman" w:cs="Times New Roman"/>
                <w:sz w:val="24"/>
                <w:szCs w:val="24"/>
              </w:rPr>
            </w:pPr>
            <w:r w:rsidRPr="00452B5C">
              <w:rPr>
                <w:rFonts w:ascii="Times New Roman" w:hAnsi="Times New Roman" w:cs="Times New Roman"/>
                <w:color w:val="000000"/>
                <w:sz w:val="24"/>
                <w:szCs w:val="24"/>
                <w:lang w:eastAsia="ru-RU"/>
              </w:rPr>
              <w:t xml:space="preserve">Постоянные (фиксированные) пассивы </w:t>
            </w:r>
          </w:p>
        </w:tc>
        <w:tc>
          <w:tcPr>
            <w:tcW w:w="155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916EFE5" w14:textId="77777777" w:rsidR="00173C65" w:rsidRPr="00452B5C" w:rsidRDefault="007014C7" w:rsidP="00A57174">
            <w:pPr>
              <w:widowControl w:val="0"/>
              <w:spacing w:after="0" w:line="240" w:lineRule="auto"/>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П</m:t>
                    </m:r>
                  </m:e>
                  <m:sub>
                    <m:r>
                      <m:rPr>
                        <m:sty m:val="p"/>
                      </m:rPr>
                      <w:rPr>
                        <w:rFonts w:ascii="Cambria Math" w:hAnsi="Times New Roman" w:cs="Times New Roman"/>
                        <w:sz w:val="24"/>
                        <w:szCs w:val="24"/>
                      </w:rPr>
                      <m:t>4</m:t>
                    </m:r>
                  </m:sub>
                </m:sSub>
              </m:oMath>
            </m:oMathPara>
          </w:p>
        </w:tc>
      </w:tr>
    </w:tbl>
    <w:p w14:paraId="466B6485" w14:textId="77777777" w:rsidR="00173C65" w:rsidRPr="00452B5C" w:rsidRDefault="00173C65" w:rsidP="00173C65">
      <w:pPr>
        <w:widowControl w:val="0"/>
        <w:spacing w:before="120"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Для оценки платежеспособности и ликвидности предприятия рассчитывают также относительные показатели. Как и в оценке финансовой устойчивости, относительные показатели являются аналитическими методами расчета [8], то есть производится расчет коэффициентов (таблица 4).</w:t>
      </w:r>
    </w:p>
    <w:p w14:paraId="542D1D9D" w14:textId="77777777" w:rsidR="00173C65" w:rsidRPr="00452B5C" w:rsidRDefault="00173C65" w:rsidP="00173C65">
      <w:pPr>
        <w:widowControl w:val="0"/>
        <w:spacing w:after="0" w:line="240" w:lineRule="auto"/>
        <w:jc w:val="right"/>
        <w:rPr>
          <w:rFonts w:ascii="Times New Roman" w:hAnsi="Times New Roman" w:cs="Times New Roman"/>
          <w:sz w:val="24"/>
          <w:szCs w:val="24"/>
        </w:rPr>
      </w:pPr>
      <w:r w:rsidRPr="00452B5C">
        <w:rPr>
          <w:rFonts w:ascii="Times New Roman" w:hAnsi="Times New Roman" w:cs="Times New Roman"/>
          <w:i/>
          <w:sz w:val="24"/>
          <w:szCs w:val="24"/>
        </w:rPr>
        <w:t xml:space="preserve">Таблица 4 </w:t>
      </w:r>
    </w:p>
    <w:p w14:paraId="011DF6E3" w14:textId="77777777" w:rsidR="00173C65" w:rsidRPr="00452B5C" w:rsidRDefault="00173C65" w:rsidP="00173C65">
      <w:pPr>
        <w:widowControl w:val="0"/>
        <w:spacing w:after="120" w:line="240" w:lineRule="auto"/>
        <w:jc w:val="center"/>
        <w:rPr>
          <w:rFonts w:ascii="Times New Roman" w:hAnsi="Times New Roman" w:cs="Times New Roman"/>
          <w:sz w:val="24"/>
          <w:szCs w:val="24"/>
        </w:rPr>
      </w:pPr>
      <w:r w:rsidRPr="00452B5C">
        <w:rPr>
          <w:rFonts w:ascii="Times New Roman" w:hAnsi="Times New Roman" w:cs="Times New Roman"/>
          <w:b/>
          <w:sz w:val="24"/>
          <w:szCs w:val="24"/>
        </w:rPr>
        <w:t>Коэффициенты платежеспособности и ликвидности</w:t>
      </w:r>
    </w:p>
    <w:tbl>
      <w:tblPr>
        <w:tblW w:w="0" w:type="auto"/>
        <w:tblInd w:w="108" w:type="dxa"/>
        <w:tblLayout w:type="fixed"/>
        <w:tblCellMar>
          <w:left w:w="0" w:type="dxa"/>
          <w:right w:w="0" w:type="dxa"/>
        </w:tblCellMar>
        <w:tblLook w:val="0000" w:firstRow="0" w:lastRow="0" w:firstColumn="0" w:lastColumn="0" w:noHBand="0" w:noVBand="0"/>
      </w:tblPr>
      <w:tblGrid>
        <w:gridCol w:w="3118"/>
        <w:gridCol w:w="6519"/>
      </w:tblGrid>
      <w:tr w:rsidR="00173C65" w:rsidRPr="00452B5C" w14:paraId="11B1E994"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2100329" w14:textId="77777777" w:rsidR="00173C65" w:rsidRPr="00452B5C" w:rsidRDefault="00173C65" w:rsidP="00A57174">
            <w:pPr>
              <w:widowControl w:val="0"/>
              <w:spacing w:after="0" w:line="240" w:lineRule="auto"/>
              <w:ind w:firstLine="34"/>
              <w:jc w:val="center"/>
              <w:rPr>
                <w:rFonts w:ascii="Times New Roman" w:hAnsi="Times New Roman" w:cs="Times New Roman"/>
                <w:sz w:val="24"/>
                <w:szCs w:val="24"/>
              </w:rPr>
            </w:pPr>
            <w:r w:rsidRPr="00452B5C">
              <w:rPr>
                <w:rFonts w:ascii="Times New Roman" w:hAnsi="Times New Roman" w:cs="Times New Roman"/>
                <w:sz w:val="24"/>
                <w:szCs w:val="24"/>
              </w:rPr>
              <w:t>Коэффициенты</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494E7554" w14:textId="77777777" w:rsidR="00173C65" w:rsidRPr="00452B5C" w:rsidRDefault="00173C65" w:rsidP="00A57174">
            <w:pPr>
              <w:widowControl w:val="0"/>
              <w:spacing w:after="0" w:line="240" w:lineRule="auto"/>
              <w:ind w:firstLine="34"/>
              <w:jc w:val="center"/>
              <w:rPr>
                <w:rFonts w:ascii="Times New Roman" w:hAnsi="Times New Roman" w:cs="Times New Roman"/>
                <w:sz w:val="24"/>
                <w:szCs w:val="24"/>
              </w:rPr>
            </w:pPr>
            <w:r w:rsidRPr="00452B5C">
              <w:rPr>
                <w:rFonts w:ascii="Times New Roman" w:hAnsi="Times New Roman" w:cs="Times New Roman"/>
                <w:sz w:val="24"/>
                <w:szCs w:val="24"/>
              </w:rPr>
              <w:t>Характеристика</w:t>
            </w:r>
          </w:p>
        </w:tc>
      </w:tr>
      <w:tr w:rsidR="00173C65" w:rsidRPr="00452B5C" w14:paraId="285A7704"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EF0813C"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Коэффициент абсолютной ликвидности</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35894FC"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Показывает на ближайшее время часть погашения краткосрочной задолженности, рекомендуемое нормативное значение – 0,15 – 0,2. Низкое значение показывает снижение платежеспособности</w:t>
            </w:r>
          </w:p>
        </w:tc>
      </w:tr>
    </w:tbl>
    <w:p w14:paraId="08A32213" w14:textId="77777777" w:rsidR="00173C65" w:rsidRPr="00452B5C" w:rsidRDefault="00173C65" w:rsidP="00173C65">
      <w:pPr>
        <w:widowControl w:val="0"/>
        <w:spacing w:after="120" w:line="240" w:lineRule="auto"/>
        <w:jc w:val="both"/>
        <w:rPr>
          <w:rFonts w:ascii="Times New Roman" w:hAnsi="Times New Roman" w:cs="Times New Roman"/>
          <w:sz w:val="24"/>
          <w:szCs w:val="24"/>
        </w:rPr>
      </w:pPr>
      <w:r w:rsidRPr="00452B5C">
        <w:rPr>
          <w:rFonts w:ascii="Times New Roman" w:hAnsi="Times New Roman" w:cs="Times New Roman"/>
          <w:sz w:val="24"/>
          <w:szCs w:val="24"/>
        </w:rPr>
        <w:t>Продолжение таблицы 4</w:t>
      </w:r>
    </w:p>
    <w:tbl>
      <w:tblPr>
        <w:tblW w:w="0" w:type="auto"/>
        <w:tblInd w:w="108" w:type="dxa"/>
        <w:tblLayout w:type="fixed"/>
        <w:tblCellMar>
          <w:left w:w="0" w:type="dxa"/>
          <w:right w:w="0" w:type="dxa"/>
        </w:tblCellMar>
        <w:tblLook w:val="0000" w:firstRow="0" w:lastRow="0" w:firstColumn="0" w:lastColumn="0" w:noHBand="0" w:noVBand="0"/>
      </w:tblPr>
      <w:tblGrid>
        <w:gridCol w:w="3118"/>
        <w:gridCol w:w="6519"/>
      </w:tblGrid>
      <w:tr w:rsidR="00173C65" w:rsidRPr="00452B5C" w14:paraId="69B6E252"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66316B91" w14:textId="77777777" w:rsidR="00173C65" w:rsidRPr="00452B5C" w:rsidRDefault="00173C65" w:rsidP="00A57174">
            <w:pPr>
              <w:widowControl w:val="0"/>
              <w:spacing w:after="0" w:line="240" w:lineRule="auto"/>
              <w:ind w:firstLine="34"/>
              <w:jc w:val="center"/>
              <w:rPr>
                <w:rFonts w:ascii="Times New Roman" w:hAnsi="Times New Roman" w:cs="Times New Roman"/>
                <w:sz w:val="24"/>
                <w:szCs w:val="24"/>
              </w:rPr>
            </w:pPr>
            <w:r w:rsidRPr="00452B5C">
              <w:rPr>
                <w:rFonts w:ascii="Times New Roman" w:hAnsi="Times New Roman" w:cs="Times New Roman"/>
                <w:sz w:val="24"/>
                <w:szCs w:val="24"/>
              </w:rPr>
              <w:t>Коэффициенты</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1175A539" w14:textId="77777777" w:rsidR="00173C65" w:rsidRPr="00452B5C" w:rsidRDefault="00173C65" w:rsidP="00A57174">
            <w:pPr>
              <w:widowControl w:val="0"/>
              <w:spacing w:after="0" w:line="240" w:lineRule="auto"/>
              <w:ind w:firstLine="34"/>
              <w:jc w:val="center"/>
              <w:rPr>
                <w:rFonts w:ascii="Times New Roman" w:hAnsi="Times New Roman" w:cs="Times New Roman"/>
                <w:sz w:val="24"/>
                <w:szCs w:val="24"/>
              </w:rPr>
            </w:pPr>
            <w:r w:rsidRPr="00452B5C">
              <w:rPr>
                <w:rFonts w:ascii="Times New Roman" w:hAnsi="Times New Roman" w:cs="Times New Roman"/>
                <w:sz w:val="24"/>
                <w:szCs w:val="24"/>
              </w:rPr>
              <w:t>Характеристика</w:t>
            </w:r>
          </w:p>
        </w:tc>
      </w:tr>
      <w:tr w:rsidR="00173C65" w:rsidRPr="00452B5C" w14:paraId="22EEB220"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362EE79F"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Коэффициент текущей ликвидности</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FB432E8"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Показывает прогноз платежных способностей предприятия в условиях проведения расчетов с дебиторами, рекомендуемое нормативное значение – 0,5 – 0,8</w:t>
            </w:r>
          </w:p>
        </w:tc>
      </w:tr>
      <w:tr w:rsidR="00173C65" w:rsidRPr="00452B5C" w14:paraId="2E55AEF4"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2DB929A7"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Коэффициент общей ликвидности</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765B1EC" w14:textId="77777777" w:rsidR="00173C65" w:rsidRPr="00452B5C" w:rsidRDefault="00173C65" w:rsidP="00A57174">
            <w:pPr>
              <w:widowControl w:val="0"/>
              <w:spacing w:after="0" w:line="240" w:lineRule="auto"/>
              <w:ind w:firstLine="34"/>
              <w:rPr>
                <w:rFonts w:ascii="Times New Roman" w:hAnsi="Times New Roman" w:cs="Times New Roman"/>
                <w:sz w:val="24"/>
                <w:szCs w:val="24"/>
              </w:rPr>
            </w:pPr>
            <w:r w:rsidRPr="00452B5C">
              <w:rPr>
                <w:rFonts w:ascii="Times New Roman" w:hAnsi="Times New Roman" w:cs="Times New Roman"/>
                <w:sz w:val="24"/>
                <w:szCs w:val="24"/>
              </w:rPr>
              <w:t>Показывает достаточность оборотных средств для покрытия краткосрочных обязательств, рекомендуемое нормативное значение – 1,0 – 2,0</w:t>
            </w:r>
          </w:p>
        </w:tc>
      </w:tr>
      <w:tr w:rsidR="00173C65" w:rsidRPr="00452B5C" w14:paraId="3CA232DA"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4F14F7D4"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Коэффициент ликвидности при мобилизации средств</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66410B7"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Показывает степень зависимости платежеспособности от запасов, рекомендуемое нормативное значение – 0,5 – 0,7</w:t>
            </w:r>
          </w:p>
        </w:tc>
      </w:tr>
      <w:tr w:rsidR="00173C65" w:rsidRPr="00452B5C" w14:paraId="64D54679" w14:textId="77777777" w:rsidTr="00A57174">
        <w:tc>
          <w:tcPr>
            <w:tcW w:w="3118" w:type="dxa"/>
            <w:tcBorders>
              <w:top w:val="single" w:sz="4" w:space="0" w:color="00000A"/>
              <w:left w:val="single" w:sz="4" w:space="0" w:color="00000A"/>
              <w:bottom w:val="single" w:sz="4" w:space="0" w:color="00000A"/>
              <w:right w:val="single" w:sz="4" w:space="0" w:color="00000A"/>
            </w:tcBorders>
            <w:tcMar>
              <w:left w:w="113" w:type="dxa"/>
              <w:right w:w="108" w:type="dxa"/>
            </w:tcMar>
            <w:vAlign w:val="center"/>
          </w:tcPr>
          <w:p w14:paraId="7A2D4ABF"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t xml:space="preserve">Коэффициент </w:t>
            </w:r>
            <w:r w:rsidRPr="00452B5C">
              <w:rPr>
                <w:rFonts w:ascii="Times New Roman" w:hAnsi="Times New Roman" w:cs="Times New Roman"/>
                <w:sz w:val="24"/>
                <w:szCs w:val="24"/>
              </w:rPr>
              <w:lastRenderedPageBreak/>
              <w:t>платежеспособности</w:t>
            </w:r>
          </w:p>
        </w:tc>
        <w:tc>
          <w:tcPr>
            <w:tcW w:w="651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EE906BE" w14:textId="77777777" w:rsidR="00173C65" w:rsidRPr="00452B5C" w:rsidRDefault="00173C65" w:rsidP="00A57174">
            <w:pPr>
              <w:widowControl w:val="0"/>
              <w:spacing w:after="0" w:line="240" w:lineRule="auto"/>
              <w:rPr>
                <w:rFonts w:ascii="Times New Roman" w:hAnsi="Times New Roman" w:cs="Times New Roman"/>
                <w:sz w:val="24"/>
                <w:szCs w:val="24"/>
              </w:rPr>
            </w:pPr>
            <w:r w:rsidRPr="00452B5C">
              <w:rPr>
                <w:rFonts w:ascii="Times New Roman" w:hAnsi="Times New Roman" w:cs="Times New Roman"/>
                <w:sz w:val="24"/>
                <w:szCs w:val="24"/>
              </w:rPr>
              <w:lastRenderedPageBreak/>
              <w:t xml:space="preserve">Показывает способность предприятия покрыть </w:t>
            </w:r>
            <w:r w:rsidRPr="00452B5C">
              <w:rPr>
                <w:rFonts w:ascii="Times New Roman" w:hAnsi="Times New Roman" w:cs="Times New Roman"/>
                <w:sz w:val="24"/>
                <w:szCs w:val="24"/>
              </w:rPr>
              <w:lastRenderedPageBreak/>
              <w:t>краткосрочные долговые обязательства за счет чистых оборотных активов</w:t>
            </w:r>
          </w:p>
        </w:tc>
      </w:tr>
    </w:tbl>
    <w:p w14:paraId="07A54604" w14:textId="77777777" w:rsidR="00173C65" w:rsidRPr="00452B5C" w:rsidRDefault="00173C65" w:rsidP="00173C65">
      <w:pPr>
        <w:widowControl w:val="0"/>
        <w:spacing w:before="120"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lastRenderedPageBreak/>
        <w:t xml:space="preserve">Показатели оценки деловой активности являются еще одни способом оценки финансового состояния предприятия. Анализ деловой активности заключается в определении динамики показателей оборачиваемости капитала [9]. </w:t>
      </w:r>
    </w:p>
    <w:p w14:paraId="7FE15BEE" w14:textId="77777777" w:rsidR="00173C65" w:rsidRPr="00452B5C" w:rsidRDefault="00173C65" w:rsidP="00173C65">
      <w:pPr>
        <w:widowControl w:val="0"/>
        <w:spacing w:after="0" w:line="240" w:lineRule="auto"/>
        <w:ind w:firstLine="709"/>
        <w:contextualSpacing/>
        <w:jc w:val="both"/>
        <w:rPr>
          <w:rFonts w:ascii="Times New Roman" w:hAnsi="Times New Roman" w:cs="Times New Roman"/>
          <w:sz w:val="24"/>
          <w:szCs w:val="24"/>
        </w:rPr>
      </w:pPr>
      <w:r w:rsidRPr="00452B5C">
        <w:rPr>
          <w:rFonts w:ascii="Times New Roman" w:hAnsi="Times New Roman" w:cs="Times New Roman"/>
          <w:sz w:val="24"/>
          <w:szCs w:val="24"/>
        </w:rPr>
        <w:t>Оборачиваемость капитала считается одним из важнейших показателей, которые характеризуют интенсивность использования ресурсов предприятия и скорость их оборота [9].</w:t>
      </w:r>
    </w:p>
    <w:p w14:paraId="3827C5A2" w14:textId="77777777" w:rsidR="00173C65" w:rsidRPr="00452B5C" w:rsidRDefault="00173C65" w:rsidP="00173C65">
      <w:pPr>
        <w:widowControl w:val="0"/>
        <w:spacing w:after="0" w:line="240" w:lineRule="auto"/>
        <w:ind w:firstLine="709"/>
        <w:contextualSpacing/>
        <w:jc w:val="both"/>
        <w:rPr>
          <w:rFonts w:ascii="Times New Roman" w:hAnsi="Times New Roman" w:cs="Times New Roman"/>
          <w:sz w:val="24"/>
          <w:szCs w:val="24"/>
        </w:rPr>
      </w:pPr>
      <w:r w:rsidRPr="00452B5C">
        <w:rPr>
          <w:rFonts w:ascii="Times New Roman" w:hAnsi="Times New Roman" w:cs="Times New Roman"/>
          <w:sz w:val="24"/>
          <w:szCs w:val="24"/>
        </w:rPr>
        <w:t xml:space="preserve">В процессе данного анализа более детально изучаются показатели оборачиваемости капитала, а также устанавливается, на каких стадиях произошло изменение движения средств. Коэффициенты деловой активности имеют немаловажное значение для любого предприятия, они показывают скорость оборота за анализируемый период. Выделяют следующие коэффициенты: </w:t>
      </w:r>
    </w:p>
    <w:p w14:paraId="38282939" w14:textId="77777777" w:rsidR="00173C65" w:rsidRPr="00452B5C" w:rsidRDefault="00173C65" w:rsidP="00202D58">
      <w:pPr>
        <w:pStyle w:val="a7"/>
        <w:widowControl w:val="0"/>
        <w:numPr>
          <w:ilvl w:val="0"/>
          <w:numId w:val="10"/>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коэффициенты оборачиваемости активов (оборотных и внеоборотных);</w:t>
      </w:r>
    </w:p>
    <w:p w14:paraId="24CC94D4" w14:textId="77777777" w:rsidR="00173C65" w:rsidRPr="00452B5C" w:rsidRDefault="00173C65" w:rsidP="00202D58">
      <w:pPr>
        <w:pStyle w:val="a7"/>
        <w:widowControl w:val="0"/>
        <w:numPr>
          <w:ilvl w:val="0"/>
          <w:numId w:val="10"/>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коэффициент оборачиваемости запасов;</w:t>
      </w:r>
    </w:p>
    <w:p w14:paraId="17C1BD23" w14:textId="77777777" w:rsidR="00173C65" w:rsidRPr="00452B5C" w:rsidRDefault="00173C65" w:rsidP="00202D58">
      <w:pPr>
        <w:pStyle w:val="a7"/>
        <w:widowControl w:val="0"/>
        <w:numPr>
          <w:ilvl w:val="0"/>
          <w:numId w:val="10"/>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 xml:space="preserve">коэффициент оборачиваемости кредиторской и дебиторской задолженности; </w:t>
      </w:r>
    </w:p>
    <w:p w14:paraId="5DDEEE55" w14:textId="77777777" w:rsidR="00173C65" w:rsidRPr="00452B5C" w:rsidRDefault="00173C65" w:rsidP="00202D58">
      <w:pPr>
        <w:pStyle w:val="a7"/>
        <w:widowControl w:val="0"/>
        <w:numPr>
          <w:ilvl w:val="0"/>
          <w:numId w:val="10"/>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 xml:space="preserve">коэффициент оборачиваемости собственного капитала.  </w:t>
      </w:r>
    </w:p>
    <w:p w14:paraId="055C351F"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 xml:space="preserve">Для каждых коэффициентов находится продолжительность одного оборота, который показывает продолжительность одного оборота в днях. Находится путем соотношения количества дней в расчетном периоде (год – 365, полугодие – 180, квартал – 90) и коэффициент оборачиваемости. </w:t>
      </w:r>
    </w:p>
    <w:p w14:paraId="272C46C0"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Анализ рентабельности показывает экономическую эффективность деятельности предприятия. В общем виде показатель экономической эффективности определяется соотношением экономического эффекта и ресурсов или затрат [7]. Экономическим эффектом, то есть в числителе указываются показатели: прибыли (чистая прибыль, прибыль от продаж, прибыль до налогообложения). В знаменателе указываются показатели: активы (имущество), себестоимость от реализации, инвестиции, собственный капитал, обязательства и издержек.</w:t>
      </w:r>
    </w:p>
    <w:p w14:paraId="4D35DE10"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Рентабельность характеризует эффективность использования ресурсов или затрат на единицу актива, издержек и так далее. Коэффициенты рентабельности необходимо находить в динамике за ряд лет, чтобы выявить тенденции их изменения [9].</w:t>
      </w:r>
    </w:p>
    <w:p w14:paraId="6E26DAE8"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Есть еще множество методов оценки финансового состояния, например факторный анализ.</w:t>
      </w:r>
    </w:p>
    <w:p w14:paraId="6A6316E6"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 xml:space="preserve">Факторный анализ предполагает анализ влияния отдельных факторов на финансовые показатели. Для осуществления данного анализа, изначально определяют факторы, которые влияют на результативные показатели деятельности предприятия, при этом учитывают, что факторы могут нести положительный или отрицательный характер [2]. </w:t>
      </w:r>
    </w:p>
    <w:p w14:paraId="515DFC0A"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 xml:space="preserve">Методы системного подхода в современных условиях рыночной экономики стали часто встречаться на практике, тем самым зарекомендовал себя. </w:t>
      </w:r>
    </w:p>
    <w:p w14:paraId="73008154"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Модель прогнозирования возможного банкротства предприятия имеет три основных вида анализа, которые позволяют выявить возможное наступление банкротства [2]:</w:t>
      </w:r>
    </w:p>
    <w:p w14:paraId="4C1B594A" w14:textId="77777777" w:rsidR="00173C65" w:rsidRPr="00452B5C" w:rsidRDefault="00173C65" w:rsidP="00202D58">
      <w:pPr>
        <w:pStyle w:val="a7"/>
        <w:widowControl w:val="0"/>
        <w:numPr>
          <w:ilvl w:val="0"/>
          <w:numId w:val="11"/>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формализованный, который базируются на использовании системы финансовых коэффициентов, динамика данных коэффициентов и будет являться свидетельством о финансовом состоянии предприятия;</w:t>
      </w:r>
    </w:p>
    <w:p w14:paraId="07E75E23" w14:textId="77777777" w:rsidR="00173C65" w:rsidRPr="00452B5C" w:rsidRDefault="00173C65" w:rsidP="00202D58">
      <w:pPr>
        <w:pStyle w:val="a7"/>
        <w:widowControl w:val="0"/>
        <w:numPr>
          <w:ilvl w:val="0"/>
          <w:numId w:val="11"/>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неформализованный, данный вид предполагает анализ качественных показателей, содержащих перечень критических значений оценки возможного банкротства предприятия;</w:t>
      </w:r>
    </w:p>
    <w:p w14:paraId="4FB1DB2A" w14:textId="77777777" w:rsidR="00173C65" w:rsidRPr="00452B5C" w:rsidRDefault="00173C65" w:rsidP="00202D58">
      <w:pPr>
        <w:pStyle w:val="a7"/>
        <w:widowControl w:val="0"/>
        <w:numPr>
          <w:ilvl w:val="0"/>
          <w:numId w:val="11"/>
        </w:numPr>
        <w:tabs>
          <w:tab w:val="left" w:pos="993"/>
        </w:tabs>
        <w:autoSpaceDE w:val="0"/>
        <w:autoSpaceDN w:val="0"/>
        <w:adjustRightInd w:val="0"/>
        <w:ind w:left="0" w:firstLine="709"/>
        <w:jc w:val="both"/>
        <w:rPr>
          <w:rFonts w:ascii="Times New Roman" w:hAnsi="Times New Roman" w:cs="Times New Roman"/>
        </w:rPr>
      </w:pPr>
      <w:r w:rsidRPr="00452B5C">
        <w:rPr>
          <w:rFonts w:ascii="Times New Roman" w:hAnsi="Times New Roman" w:cs="Times New Roman"/>
        </w:rPr>
        <w:t>комплексный, который включает в себя два предыдущих вида.</w:t>
      </w:r>
    </w:p>
    <w:p w14:paraId="6817F15A"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 xml:space="preserve">Бальнно-рейтинговые методики используются на основе выбранных отдельных финансовых показателей финансово-хозяйственной и производственной деятельности предприятия, таких как производственном потенциале, рентабельности продукции, эффективности использования производственных и финансовых ресурсов, состоянии и </w:t>
      </w:r>
      <w:r w:rsidRPr="00452B5C">
        <w:rPr>
          <w:rFonts w:ascii="Times New Roman" w:hAnsi="Times New Roman" w:cs="Times New Roman"/>
        </w:rPr>
        <w:lastRenderedPageBreak/>
        <w:t xml:space="preserve">размещении средств, источниках их финансирования и других показателях предприятия [2]. </w:t>
      </w:r>
    </w:p>
    <w:p w14:paraId="3DFC1B94"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Однако, эти два метода имеют и недостатки. Они основаны на стандартизации ситуации, когда по результатам оценки анализируемое предприятие относят к определенной группе, то есть относят к аналогичным случаям, не учитывая уникальности. Также, совокупность показателей для оценки четко определена и нет возможности выбора [2].</w:t>
      </w:r>
    </w:p>
    <w:p w14:paraId="686CC5A3"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В современных условиях экономики существует различные методы оценки финансового состояния предприятия. Каждый метод имеет свои достоинства и недостатки, а в совокупности нескольких методов можно дать более полную оценку финансового состояния [11]. С помощью перечисленных методов можно определить параметры, позволяющие объективно оценить финансовое состояние предприятия [6].</w:t>
      </w:r>
    </w:p>
    <w:p w14:paraId="6A27E109"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Многие методы схожи между собой, а многие дополняют друг друга, поэтому при проведении оценки финансового состояния многие аналитики используют комбинированные методы оценки, позволяющие обеспечить высокую точность результатов анализа.</w:t>
      </w:r>
    </w:p>
    <w:p w14:paraId="3D12E8FC" w14:textId="77777777" w:rsidR="00173C65" w:rsidRPr="00452B5C" w:rsidRDefault="00173C65" w:rsidP="00173C65">
      <w:pPr>
        <w:pStyle w:val="a7"/>
        <w:widowControl w:val="0"/>
        <w:ind w:left="0" w:firstLine="709"/>
        <w:jc w:val="both"/>
        <w:rPr>
          <w:rFonts w:ascii="Times New Roman" w:hAnsi="Times New Roman" w:cs="Times New Roman"/>
        </w:rPr>
      </w:pPr>
      <w:r w:rsidRPr="00452B5C">
        <w:rPr>
          <w:rFonts w:ascii="Times New Roman" w:hAnsi="Times New Roman" w:cs="Times New Roman"/>
        </w:rPr>
        <w:t xml:space="preserve">Оценка финансового состояния предприятия, позволит определить на какие аспекты нужно обратить внимание, чтобы на их основе можно было принять управленческие решения для дальнейшей деятельности предприятия. </w:t>
      </w:r>
    </w:p>
    <w:p w14:paraId="7E487EBD" w14:textId="77777777" w:rsidR="00173C65" w:rsidRPr="00452B5C" w:rsidRDefault="00173C65" w:rsidP="00173C65">
      <w:pPr>
        <w:widowControl w:val="0"/>
        <w:spacing w:after="0" w:line="240" w:lineRule="auto"/>
        <w:jc w:val="both"/>
        <w:rPr>
          <w:rFonts w:ascii="Times New Roman" w:hAnsi="Times New Roman" w:cs="Times New Roman"/>
          <w:sz w:val="24"/>
          <w:szCs w:val="24"/>
        </w:rPr>
      </w:pPr>
      <w:r w:rsidRPr="00452B5C">
        <w:rPr>
          <w:rFonts w:ascii="Times New Roman" w:hAnsi="Times New Roman" w:cs="Times New Roman"/>
          <w:sz w:val="24"/>
          <w:szCs w:val="24"/>
        </w:rPr>
        <w:t>___________________________________________</w:t>
      </w:r>
    </w:p>
    <w:p w14:paraId="3B2F79FB"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Воробьева Е.И., Блажевич О.Г., Кирильчук Н.А., Сафонова Н.С. Методы финансового анализа для оценки состояния предприятия // Научный вестник: финансы, банки, инвестиции. – 2016. – №2(35). – С. 5-13. </w:t>
      </w:r>
    </w:p>
    <w:p w14:paraId="2690EA34"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Ризоев Ф.У. Классификация методов оценки финансового состояния коммерческих организаций // Экономика и бизнес: теория и практика. – 2015. –  №10. – С. 117-121.</w:t>
      </w:r>
    </w:p>
    <w:p w14:paraId="29F5E980"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 Пучкова Н.В. Анализ методов оценки финансового состояния организации // Журнал: Символ науки. – 2016. – №3-1(15). – С. 131-134.</w:t>
      </w:r>
    </w:p>
    <w:p w14:paraId="7A473891"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Козина А.А. Горбунова А.В. Классификация методов оценки финансового состояния // Теория и практика актуальных научных исследования. – 2017. – С. 79-82.</w:t>
      </w:r>
    </w:p>
    <w:p w14:paraId="34AB7DE0"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Мовсесян А.А., Стародубцева О.А. Анализ методов оценки финансового состояния организации // Производственный менеджмент: теория, методология, практика. – 2016. №8. – С. 86-90.</w:t>
      </w:r>
    </w:p>
    <w:p w14:paraId="4903B5A3"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Малюкова Е.С. Методы и приемы оценки финансового состояния предприятия // Научная гипотеза. – 2017. – №3. – С. 18-23.</w:t>
      </w:r>
    </w:p>
    <w:p w14:paraId="200438BD"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Бочаров В.В. Комплексный финансовый анализ / В.В. Бочаров. – М.: СПб: Питер. – 2017. – 432 с.</w:t>
      </w:r>
    </w:p>
    <w:p w14:paraId="46A107BE"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Савицкая Г.В. Анализ хозяйственной деятельности предприятия / Г.В. Савицкая. –М.: НИЦ ИНФРА-М. – 2016. – 378 с.</w:t>
      </w:r>
    </w:p>
    <w:p w14:paraId="354F1EB3"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Губина О.В. Анализ финансово-хозяйственной деятельности / О.В. Губина, В.Е. Губин. – М.: ИД «ФОРУМ» - ИНФРА-М. – 2013. – 329 с.</w:t>
      </w:r>
    </w:p>
    <w:p w14:paraId="031F0E74"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Косухина Е.А. Методы оценки финансовой устойчивости фирмы [Электронный ресурс] / Е.А. Косухина. // Учебные материалы. – Режим доступа:  </w:t>
      </w:r>
      <w:hyperlink r:id="rId56" w:history="1">
        <w:r w:rsidRPr="00452B5C">
          <w:rPr>
            <w:rFonts w:ascii="Times New Roman" w:eastAsia="Times New Roman" w:hAnsi="Times New Roman" w:cs="Times New Roman"/>
            <w:sz w:val="24"/>
            <w:szCs w:val="24"/>
            <w:lang w:eastAsia="ru-RU"/>
          </w:rPr>
          <w:t>http://works.doklad.ru/view/PtMQIwUW6js.html</w:t>
        </w:r>
      </w:hyperlink>
    </w:p>
    <w:p w14:paraId="247C1FB5" w14:textId="77777777" w:rsidR="00173C65" w:rsidRPr="00452B5C" w:rsidRDefault="00173C65" w:rsidP="00202D58">
      <w:pPr>
        <w:numPr>
          <w:ilvl w:val="0"/>
          <w:numId w:val="9"/>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Охотников А.А. Стародубцева О.А. Анализ методов оценки финансового состояния предприятия // Производственный менеджмент: теория, методология, практика. – 2016. – С. 94-99.</w:t>
      </w:r>
    </w:p>
    <w:p w14:paraId="6CA203BD" w14:textId="77777777" w:rsidR="00173C65" w:rsidRDefault="00173C65" w:rsidP="00173C65">
      <w:pPr>
        <w:rPr>
          <w:rFonts w:ascii="Times New Roman" w:hAnsi="Times New Roman"/>
          <w:sz w:val="24"/>
          <w:szCs w:val="24"/>
        </w:rPr>
      </w:pPr>
    </w:p>
    <w:p w14:paraId="1EEB5C65" w14:textId="77777777" w:rsidR="00163E4B" w:rsidRDefault="00163E4B" w:rsidP="00173C65">
      <w:pPr>
        <w:rPr>
          <w:rFonts w:ascii="Times New Roman" w:hAnsi="Times New Roman"/>
          <w:sz w:val="24"/>
          <w:szCs w:val="24"/>
        </w:rPr>
      </w:pPr>
    </w:p>
    <w:p w14:paraId="750A3B60" w14:textId="77777777" w:rsidR="00173C65" w:rsidRPr="00452B5C" w:rsidRDefault="00173C65" w:rsidP="005507F6">
      <w:pPr>
        <w:spacing w:line="240" w:lineRule="auto"/>
        <w:rPr>
          <w:rFonts w:ascii="Times New Roman" w:hAnsi="Times New Roman" w:cs="Times New Roman"/>
          <w:b/>
          <w:sz w:val="24"/>
          <w:szCs w:val="24"/>
        </w:rPr>
      </w:pPr>
      <w:r w:rsidRPr="00452B5C">
        <w:rPr>
          <w:rFonts w:ascii="Times New Roman" w:hAnsi="Times New Roman" w:cs="Times New Roman"/>
          <w:b/>
          <w:sz w:val="24"/>
          <w:szCs w:val="24"/>
        </w:rPr>
        <w:t>Рубрика: Бухгалтерский учет, статистика</w:t>
      </w:r>
    </w:p>
    <w:p w14:paraId="502FC991" w14:textId="77777777" w:rsidR="00173C65" w:rsidRPr="00452B5C" w:rsidRDefault="00173C65" w:rsidP="005507F6">
      <w:pPr>
        <w:spacing w:line="240" w:lineRule="auto"/>
        <w:rPr>
          <w:rFonts w:ascii="Times New Roman" w:hAnsi="Times New Roman" w:cs="Times New Roman"/>
          <w:sz w:val="24"/>
          <w:szCs w:val="24"/>
        </w:rPr>
      </w:pPr>
      <w:r w:rsidRPr="00452B5C">
        <w:rPr>
          <w:rFonts w:ascii="Times New Roman" w:hAnsi="Times New Roman" w:cs="Times New Roman"/>
          <w:sz w:val="24"/>
          <w:szCs w:val="24"/>
        </w:rPr>
        <w:t>УДК 368.8</w:t>
      </w:r>
    </w:p>
    <w:p w14:paraId="7245811F" w14:textId="77777777" w:rsidR="00173C65" w:rsidRPr="00452B5C" w:rsidRDefault="005507F6" w:rsidP="00173C65">
      <w:pPr>
        <w:suppressAutoHyphens/>
        <w:jc w:val="center"/>
        <w:rPr>
          <w:rFonts w:ascii="Times New Roman" w:hAnsi="Times New Roman" w:cs="Times New Roman"/>
          <w:b/>
          <w:sz w:val="24"/>
          <w:szCs w:val="24"/>
        </w:rPr>
      </w:pPr>
      <w:r w:rsidRPr="00452B5C">
        <w:rPr>
          <w:rFonts w:ascii="Times New Roman" w:hAnsi="Times New Roman" w:cs="Times New Roman"/>
          <w:b/>
          <w:sz w:val="24"/>
          <w:szCs w:val="24"/>
        </w:rPr>
        <w:t>НОВЫЕ СТАНДАРТЫ В ОБЛАСТИ БУХГАЛТЕРСКОГО УЧЕТА И ОТЧЕТНОСТИ ДЛЯ БЮДЖЕТНЫХ ОРГАНИЗАЦИЙ</w:t>
      </w:r>
    </w:p>
    <w:p w14:paraId="0DAF98F3" w14:textId="77777777" w:rsidR="00173C65" w:rsidRPr="00452B5C" w:rsidRDefault="00173C65" w:rsidP="00173C65">
      <w:pPr>
        <w:spacing w:after="0"/>
        <w:jc w:val="center"/>
        <w:rPr>
          <w:rFonts w:ascii="Times New Roman" w:hAnsi="Times New Roman" w:cs="Times New Roman"/>
          <w:b/>
          <w:sz w:val="24"/>
          <w:szCs w:val="24"/>
        </w:rPr>
      </w:pPr>
      <w:r w:rsidRPr="00452B5C">
        <w:rPr>
          <w:rFonts w:ascii="Times New Roman" w:hAnsi="Times New Roman" w:cs="Times New Roman"/>
          <w:b/>
          <w:sz w:val="24"/>
          <w:szCs w:val="24"/>
        </w:rPr>
        <w:lastRenderedPageBreak/>
        <w:t xml:space="preserve">Смирнова Екатерина Александровна, Шоева Ольга Андреевна,                          </w:t>
      </w:r>
    </w:p>
    <w:p w14:paraId="091DECF1" w14:textId="77777777" w:rsidR="00173C65" w:rsidRPr="00452B5C" w:rsidRDefault="00173C65" w:rsidP="00173C65">
      <w:pPr>
        <w:spacing w:after="0"/>
        <w:jc w:val="center"/>
        <w:rPr>
          <w:rFonts w:ascii="Times New Roman" w:hAnsi="Times New Roman" w:cs="Times New Roman"/>
          <w:sz w:val="24"/>
          <w:szCs w:val="24"/>
        </w:rPr>
      </w:pPr>
      <w:r w:rsidRPr="00452B5C">
        <w:rPr>
          <w:rFonts w:ascii="Times New Roman" w:hAnsi="Times New Roman" w:cs="Times New Roman"/>
          <w:sz w:val="24"/>
          <w:szCs w:val="24"/>
        </w:rPr>
        <w:t xml:space="preserve">       бакалавр</w:t>
      </w:r>
    </w:p>
    <w:p w14:paraId="0A6959E7" w14:textId="77777777" w:rsidR="005507F6" w:rsidRPr="00452B5C" w:rsidRDefault="00173C65" w:rsidP="00173C65">
      <w:pPr>
        <w:spacing w:after="0"/>
        <w:jc w:val="center"/>
        <w:rPr>
          <w:rFonts w:ascii="Times New Roman" w:hAnsi="Times New Roman" w:cs="Times New Roman"/>
          <w:i/>
          <w:sz w:val="24"/>
          <w:szCs w:val="24"/>
        </w:rPr>
      </w:pPr>
      <w:r w:rsidRPr="00452B5C">
        <w:rPr>
          <w:rFonts w:ascii="Times New Roman" w:hAnsi="Times New Roman" w:cs="Times New Roman"/>
          <w:i/>
          <w:sz w:val="24"/>
          <w:szCs w:val="24"/>
        </w:rPr>
        <w:t xml:space="preserve"> </w:t>
      </w:r>
    </w:p>
    <w:p w14:paraId="3F5AFFE0" w14:textId="77777777" w:rsidR="00173C65" w:rsidRPr="00452B5C" w:rsidRDefault="00173C65" w:rsidP="00173C65">
      <w:pPr>
        <w:spacing w:after="0"/>
        <w:jc w:val="center"/>
        <w:rPr>
          <w:rFonts w:ascii="Times New Roman" w:hAnsi="Times New Roman" w:cs="Times New Roman"/>
          <w:i/>
          <w:sz w:val="24"/>
          <w:szCs w:val="24"/>
        </w:rPr>
      </w:pPr>
      <w:r w:rsidRPr="00452B5C">
        <w:rPr>
          <w:rFonts w:ascii="Times New Roman" w:hAnsi="Times New Roman" w:cs="Times New Roman"/>
          <w:i/>
          <w:sz w:val="24"/>
          <w:szCs w:val="24"/>
        </w:rPr>
        <w:t>Владивостокский государственный университет экономики и сервиса</w:t>
      </w:r>
    </w:p>
    <w:p w14:paraId="6BDDEE50" w14:textId="77777777" w:rsidR="005507F6" w:rsidRPr="00452B5C" w:rsidRDefault="00173C65" w:rsidP="00173C65">
      <w:pPr>
        <w:spacing w:after="0"/>
        <w:jc w:val="center"/>
        <w:rPr>
          <w:rFonts w:ascii="Times New Roman" w:hAnsi="Times New Roman" w:cs="Times New Roman"/>
          <w:i/>
          <w:sz w:val="24"/>
          <w:szCs w:val="24"/>
        </w:rPr>
      </w:pPr>
      <w:r w:rsidRPr="00452B5C">
        <w:rPr>
          <w:rFonts w:ascii="Times New Roman" w:hAnsi="Times New Roman" w:cs="Times New Roman"/>
          <w:i/>
          <w:sz w:val="24"/>
          <w:szCs w:val="24"/>
        </w:rPr>
        <w:t xml:space="preserve">                  Россия. Владивосток                                                                                                                          </w:t>
      </w:r>
    </w:p>
    <w:p w14:paraId="27EFE50A" w14:textId="77777777" w:rsidR="005507F6" w:rsidRPr="00452B5C" w:rsidRDefault="005507F6" w:rsidP="00173C65">
      <w:pPr>
        <w:spacing w:after="0"/>
        <w:jc w:val="center"/>
        <w:rPr>
          <w:rFonts w:ascii="Times New Roman" w:hAnsi="Times New Roman" w:cs="Times New Roman"/>
          <w:i/>
          <w:sz w:val="24"/>
          <w:szCs w:val="24"/>
        </w:rPr>
      </w:pPr>
    </w:p>
    <w:p w14:paraId="334F4B8A" w14:textId="77777777" w:rsidR="00173C65" w:rsidRPr="00452B5C" w:rsidRDefault="00173C65" w:rsidP="00173C65">
      <w:pPr>
        <w:spacing w:after="0"/>
        <w:jc w:val="center"/>
        <w:rPr>
          <w:rFonts w:ascii="Times New Roman" w:hAnsi="Times New Roman" w:cs="Times New Roman"/>
          <w:sz w:val="24"/>
          <w:szCs w:val="24"/>
        </w:rPr>
      </w:pPr>
      <w:r w:rsidRPr="00452B5C">
        <w:rPr>
          <w:rFonts w:ascii="Times New Roman" w:hAnsi="Times New Roman" w:cs="Times New Roman"/>
          <w:sz w:val="24"/>
          <w:szCs w:val="24"/>
          <w:lang w:val="en-US"/>
        </w:rPr>
        <w:t>E</w:t>
      </w:r>
      <w:r w:rsidRPr="00452B5C">
        <w:rPr>
          <w:rFonts w:ascii="Times New Roman" w:hAnsi="Times New Roman" w:cs="Times New Roman"/>
          <w:sz w:val="24"/>
          <w:szCs w:val="24"/>
        </w:rPr>
        <w:t>-</w:t>
      </w:r>
      <w:r w:rsidRPr="00452B5C">
        <w:rPr>
          <w:rFonts w:ascii="Times New Roman" w:hAnsi="Times New Roman" w:cs="Times New Roman"/>
          <w:sz w:val="24"/>
          <w:szCs w:val="24"/>
          <w:lang w:val="en-US"/>
        </w:rPr>
        <w:t>mail</w:t>
      </w:r>
      <w:r w:rsidRPr="00452B5C">
        <w:rPr>
          <w:rFonts w:ascii="Times New Roman" w:hAnsi="Times New Roman" w:cs="Times New Roman"/>
          <w:sz w:val="24"/>
          <w:szCs w:val="24"/>
        </w:rPr>
        <w:t xml:space="preserve">: kate.smirnova-96@mail.ru; тел.: +79147986034, </w:t>
      </w:r>
      <w:r w:rsidRPr="00452B5C">
        <w:rPr>
          <w:rFonts w:ascii="Times New Roman" w:hAnsi="Times New Roman" w:cs="Times New Roman"/>
          <w:sz w:val="24"/>
          <w:szCs w:val="24"/>
          <w:lang w:val="en-US"/>
        </w:rPr>
        <w:t>o</w:t>
      </w:r>
      <w:r w:rsidRPr="00452B5C">
        <w:rPr>
          <w:rFonts w:ascii="Times New Roman" w:hAnsi="Times New Roman" w:cs="Times New Roman"/>
          <w:sz w:val="24"/>
          <w:szCs w:val="24"/>
        </w:rPr>
        <w:t>.</w:t>
      </w:r>
      <w:r w:rsidRPr="00452B5C">
        <w:rPr>
          <w:rFonts w:ascii="Times New Roman" w:hAnsi="Times New Roman" w:cs="Times New Roman"/>
          <w:sz w:val="24"/>
          <w:szCs w:val="24"/>
          <w:lang w:val="en-US"/>
        </w:rPr>
        <w:t>shoeva</w:t>
      </w:r>
      <w:r w:rsidRPr="00452B5C">
        <w:rPr>
          <w:rFonts w:ascii="Times New Roman" w:hAnsi="Times New Roman" w:cs="Times New Roman"/>
          <w:sz w:val="24"/>
          <w:szCs w:val="24"/>
        </w:rPr>
        <w:t>@</w:t>
      </w:r>
      <w:r w:rsidRPr="00452B5C">
        <w:rPr>
          <w:rFonts w:ascii="Times New Roman" w:hAnsi="Times New Roman" w:cs="Times New Roman"/>
          <w:sz w:val="24"/>
          <w:szCs w:val="24"/>
          <w:lang w:val="en-US"/>
        </w:rPr>
        <w:t>mail</w:t>
      </w:r>
      <w:r w:rsidRPr="00452B5C">
        <w:rPr>
          <w:rFonts w:ascii="Times New Roman" w:hAnsi="Times New Roman" w:cs="Times New Roman"/>
          <w:sz w:val="24"/>
          <w:szCs w:val="24"/>
        </w:rPr>
        <w:t>.</w:t>
      </w:r>
      <w:r w:rsidRPr="00452B5C">
        <w:rPr>
          <w:rFonts w:ascii="Times New Roman" w:hAnsi="Times New Roman" w:cs="Times New Roman"/>
          <w:sz w:val="24"/>
          <w:szCs w:val="24"/>
          <w:lang w:val="en-US"/>
        </w:rPr>
        <w:t>ru</w:t>
      </w:r>
      <w:r w:rsidRPr="00452B5C">
        <w:rPr>
          <w:rFonts w:ascii="Times New Roman" w:hAnsi="Times New Roman" w:cs="Times New Roman"/>
          <w:sz w:val="24"/>
          <w:szCs w:val="24"/>
        </w:rPr>
        <w:t>; тел.: +79149738040</w:t>
      </w:r>
    </w:p>
    <w:p w14:paraId="5056E691" w14:textId="77777777" w:rsidR="00173C65" w:rsidRPr="00452B5C" w:rsidRDefault="00173C65" w:rsidP="00173C65">
      <w:pPr>
        <w:jc w:val="center"/>
        <w:rPr>
          <w:rFonts w:ascii="Times New Roman" w:hAnsi="Times New Roman" w:cs="Times New Roman"/>
          <w:sz w:val="24"/>
          <w:szCs w:val="24"/>
        </w:rPr>
      </w:pPr>
      <w:r w:rsidRPr="00452B5C">
        <w:rPr>
          <w:rFonts w:ascii="Times New Roman" w:hAnsi="Times New Roman" w:cs="Times New Roman"/>
          <w:sz w:val="24"/>
          <w:szCs w:val="24"/>
        </w:rPr>
        <w:t>ул. Гоголя, 41, г. Владивосток, Приморский край, Россия, 690014</w:t>
      </w:r>
    </w:p>
    <w:p w14:paraId="7B74277D" w14:textId="77777777" w:rsidR="00452B5C" w:rsidRPr="00163E4B" w:rsidRDefault="00173C65" w:rsidP="630840AF">
      <w:pPr>
        <w:shd w:val="clear" w:color="auto" w:fill="FFFFFF" w:themeFill="background1"/>
        <w:spacing w:after="0" w:line="240" w:lineRule="auto"/>
        <w:ind w:firstLine="709"/>
        <w:jc w:val="both"/>
        <w:outlineLvl w:val="0"/>
        <w:rPr>
          <w:rFonts w:ascii="Times New Roman" w:hAnsi="Times New Roman" w:cs="Times New Roman"/>
          <w:i/>
          <w:iCs/>
          <w:sz w:val="24"/>
          <w:szCs w:val="24"/>
          <w:lang w:eastAsia="ru-RU"/>
        </w:rPr>
      </w:pPr>
      <w:r w:rsidRPr="630840AF">
        <w:rPr>
          <w:rFonts w:ascii="Times New Roman" w:hAnsi="Times New Roman" w:cs="Times New Roman"/>
          <w:i/>
          <w:iCs/>
          <w:kern w:val="36"/>
          <w:sz w:val="24"/>
          <w:szCs w:val="24"/>
          <w:lang w:eastAsia="ru-RU"/>
        </w:rPr>
        <w:t xml:space="preserve">Изменения в законодательстве Российской Федерации для бухгалтера бюджетной организации являются актуальной проблемой и напрямую связаны с изменениями в отчетности предприятия на 2018 год. Анализ и обзор изменений, которые описаны в данной статье, поможет любой организации (предприятию) правильно и своевременно подготовить бухгалтерскую отчётность к сдаче в налоговые органы, понять какие появились нюансы по новым изменениям, чтобы в будущем избежать штрафов (пеней). </w:t>
      </w:r>
    </w:p>
    <w:p w14:paraId="705C45AA" w14:textId="77777777" w:rsidR="00173C65" w:rsidRPr="00452B5C" w:rsidRDefault="630840AF" w:rsidP="630840AF">
      <w:pPr>
        <w:shd w:val="clear" w:color="auto" w:fill="FFFFFF" w:themeFill="background1"/>
        <w:spacing w:after="0" w:line="240" w:lineRule="auto"/>
        <w:ind w:firstLine="709"/>
        <w:jc w:val="both"/>
        <w:outlineLvl w:val="0"/>
        <w:rPr>
          <w:rFonts w:ascii="Times New Roman" w:hAnsi="Times New Roman" w:cs="Times New Roman"/>
          <w:i/>
          <w:iCs/>
          <w:sz w:val="24"/>
          <w:szCs w:val="24"/>
        </w:rPr>
      </w:pPr>
      <w:r w:rsidRPr="630840AF">
        <w:rPr>
          <w:rFonts w:ascii="Times New Roman" w:hAnsi="Times New Roman" w:cs="Times New Roman"/>
          <w:b/>
          <w:bCs/>
          <w:i/>
          <w:iCs/>
          <w:sz w:val="24"/>
          <w:szCs w:val="24"/>
        </w:rPr>
        <w:t xml:space="preserve">Ключевые слова и словосочетания: </w:t>
      </w:r>
      <w:r w:rsidRPr="630840AF">
        <w:rPr>
          <w:rFonts w:ascii="Times New Roman" w:hAnsi="Times New Roman" w:cs="Times New Roman"/>
          <w:i/>
          <w:iCs/>
          <w:sz w:val="24"/>
          <w:szCs w:val="24"/>
        </w:rPr>
        <w:t>основные средства, аренда, обесценивание активов, отчетность государственного сектора, ущерб, активы культурного наследия.</w:t>
      </w:r>
    </w:p>
    <w:p w14:paraId="44D1216F" w14:textId="77777777" w:rsidR="00173C65" w:rsidRPr="00452B5C" w:rsidRDefault="00173C65" w:rsidP="00173C65">
      <w:pPr>
        <w:shd w:val="clear" w:color="auto" w:fill="FFFFFF"/>
        <w:spacing w:after="0" w:line="240" w:lineRule="auto"/>
        <w:ind w:firstLine="709"/>
        <w:jc w:val="both"/>
        <w:outlineLvl w:val="0"/>
        <w:rPr>
          <w:rFonts w:ascii="Times New Roman" w:hAnsi="Times New Roman" w:cs="Times New Roman"/>
          <w:i/>
          <w:sz w:val="24"/>
          <w:szCs w:val="24"/>
        </w:rPr>
      </w:pPr>
    </w:p>
    <w:p w14:paraId="5F34332E" w14:textId="77777777" w:rsidR="00173C65" w:rsidRPr="00452B5C" w:rsidRDefault="005507F6" w:rsidP="00173C65">
      <w:pPr>
        <w:jc w:val="center"/>
        <w:rPr>
          <w:rFonts w:ascii="Times New Roman" w:hAnsi="Times New Roman" w:cs="Times New Roman"/>
          <w:b/>
          <w:sz w:val="24"/>
          <w:szCs w:val="24"/>
          <w:lang w:val="en-US"/>
        </w:rPr>
      </w:pPr>
      <w:r w:rsidRPr="00452B5C">
        <w:rPr>
          <w:rFonts w:ascii="Times New Roman" w:hAnsi="Times New Roman" w:cs="Times New Roman"/>
          <w:b/>
          <w:sz w:val="24"/>
          <w:szCs w:val="24"/>
          <w:lang w:val="en-US"/>
        </w:rPr>
        <w:t>NEW ACCOUNTING AND REPORTING STANDARDS FOR BUDGET ORGANIZATIONS</w:t>
      </w:r>
    </w:p>
    <w:p w14:paraId="44F00010" w14:textId="77777777" w:rsidR="00452B5C" w:rsidRPr="00163E4B" w:rsidRDefault="00173C65" w:rsidP="00163E4B">
      <w:pPr>
        <w:spacing w:after="0" w:line="240" w:lineRule="auto"/>
        <w:ind w:firstLine="709"/>
        <w:jc w:val="both"/>
        <w:rPr>
          <w:rFonts w:ascii="Times New Roman" w:hAnsi="Times New Roman" w:cs="Times New Roman"/>
          <w:i/>
          <w:sz w:val="24"/>
          <w:szCs w:val="24"/>
          <w:lang w:val="en-US"/>
        </w:rPr>
      </w:pPr>
      <w:r w:rsidRPr="00452B5C">
        <w:rPr>
          <w:rFonts w:ascii="Times New Roman" w:hAnsi="Times New Roman" w:cs="Times New Roman"/>
          <w:i/>
          <w:sz w:val="24"/>
          <w:szCs w:val="24"/>
          <w:lang w:val="en-US"/>
        </w:rPr>
        <w:t>Changes in the legislation of the Russian Federation for the accountant of the budget organization are an actual problem and directly related to changes in the reporting of the enterprise for 2018 year. Analysis and review of the changes that are described in this article will help any organization (enterprise) to properly and timely prepare financial statements for submission to the tax authorities, to understand what the nuances of the new changes have appeared in order to avoid fi</w:t>
      </w:r>
      <w:r w:rsidR="00163E4B">
        <w:rPr>
          <w:rFonts w:ascii="Times New Roman" w:hAnsi="Times New Roman" w:cs="Times New Roman"/>
          <w:i/>
          <w:sz w:val="24"/>
          <w:szCs w:val="24"/>
          <w:lang w:val="en-US"/>
        </w:rPr>
        <w:t xml:space="preserve">nes (penalties) in the future. </w:t>
      </w:r>
    </w:p>
    <w:p w14:paraId="3EACF486" w14:textId="77777777" w:rsidR="00173C65" w:rsidRPr="00452B5C" w:rsidRDefault="00173C65" w:rsidP="005507F6">
      <w:pPr>
        <w:spacing w:after="0" w:line="240" w:lineRule="auto"/>
        <w:ind w:firstLine="709"/>
        <w:jc w:val="both"/>
        <w:rPr>
          <w:rFonts w:ascii="Times New Roman" w:hAnsi="Times New Roman" w:cs="Times New Roman"/>
          <w:i/>
          <w:sz w:val="24"/>
          <w:szCs w:val="24"/>
          <w:lang w:val="en-US"/>
        </w:rPr>
      </w:pPr>
      <w:r w:rsidRPr="00452B5C">
        <w:rPr>
          <w:rFonts w:ascii="Times New Roman" w:hAnsi="Times New Roman" w:cs="Times New Roman"/>
          <w:b/>
          <w:i/>
          <w:sz w:val="24"/>
          <w:szCs w:val="24"/>
          <w:lang w:val="en-US"/>
        </w:rPr>
        <w:t>Keywords:</w:t>
      </w:r>
      <w:r w:rsidRPr="00452B5C">
        <w:rPr>
          <w:rFonts w:ascii="Times New Roman" w:hAnsi="Times New Roman" w:cs="Times New Roman"/>
          <w:i/>
          <w:sz w:val="24"/>
          <w:szCs w:val="24"/>
          <w:lang w:val="en-US"/>
        </w:rPr>
        <w:t xml:space="preserve"> fixed assets, lease, depreciation of assets, public sector reporting, damage, assets of cultural heritage.</w:t>
      </w:r>
    </w:p>
    <w:p w14:paraId="3517F98F" w14:textId="77777777" w:rsidR="005507F6" w:rsidRPr="00452B5C" w:rsidRDefault="005507F6" w:rsidP="00173C65">
      <w:pPr>
        <w:shd w:val="clear" w:color="auto" w:fill="FFFFFF"/>
        <w:spacing w:after="0" w:line="240" w:lineRule="auto"/>
        <w:ind w:firstLine="709"/>
        <w:jc w:val="both"/>
        <w:outlineLvl w:val="0"/>
        <w:rPr>
          <w:rFonts w:ascii="Times New Roman" w:hAnsi="Times New Roman" w:cs="Times New Roman"/>
          <w:bCs/>
          <w:kern w:val="36"/>
          <w:sz w:val="24"/>
          <w:szCs w:val="24"/>
          <w:lang w:val="en-US" w:eastAsia="ru-RU"/>
        </w:rPr>
      </w:pPr>
    </w:p>
    <w:p w14:paraId="0B0CB897" w14:textId="77777777" w:rsidR="00173C65" w:rsidRPr="00452B5C" w:rsidRDefault="00173C65" w:rsidP="630840AF">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 xml:space="preserve">Актуальность выбранной темы обуславливается тем, что любая бюджетная организация (предприятие) ежегодно составляет отчётность. Поскольку в 2018 году произошли изменения по данному вопросу, то данная тема стала актуальна для всех бюджетных организаций. В рамках проведенного исследования будут затронуты вопросы, касающиеся изменений в законодательстве Российской Федерации для бюджетных организаций. </w:t>
      </w:r>
    </w:p>
    <w:p w14:paraId="4C9D00DB" w14:textId="77777777" w:rsidR="00173C65" w:rsidRPr="00452B5C" w:rsidRDefault="00173C65" w:rsidP="630840AF">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 xml:space="preserve">Целью данного исследования является изучение основных изменений в законодательстве для бюджетных организаций в 2018 году для последующего правильного заполнения отчётности. </w:t>
      </w:r>
    </w:p>
    <w:p w14:paraId="6037C6F9" w14:textId="77777777" w:rsidR="00173C65" w:rsidRPr="00452B5C" w:rsidRDefault="00173C65" w:rsidP="630840AF">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В соответствии с поставленной целью определены следующие задачи:</w:t>
      </w:r>
    </w:p>
    <w:p w14:paraId="3BFDDC60" w14:textId="77777777" w:rsidR="00173C65" w:rsidRPr="00452B5C" w:rsidRDefault="00173C65" w:rsidP="630840AF">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1) Рассмотрение новых федеральных стандартов в области государственного сектора.</w:t>
      </w:r>
    </w:p>
    <w:p w14:paraId="6DD98F6D" w14:textId="77777777" w:rsidR="00173C65" w:rsidRPr="00452B5C" w:rsidRDefault="00173C65" w:rsidP="630840AF">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2) Анализ основных изменений, которые повлекут за собой новые стандарты в области бухгалтерского учета и отчетности для бюджетных организаций.</w:t>
      </w:r>
    </w:p>
    <w:p w14:paraId="622B87D3"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Новая программа разработки федеральных стандартов бухгалтерского учета утверждена приказом Минфина России от 31.10.2017 № 170н. Она вступила в силу 11 декабря 2017 года. Согласно ей,  разработки федеральных стандартов бухгалтерского учета постепенно введут в действие в 2019-2020 гг. В частности: Учетная политика, оценочные значения и ошибки, события после отчетной даты, резервы, раскрытие информации об условных обязательствах и условных активах, отчет о движении денежных средств и другие [1].</w:t>
      </w:r>
    </w:p>
    <w:p w14:paraId="66DD2814"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lastRenderedPageBreak/>
        <w:t>С 1 января 2018 года начали действовать пять стандартов. Расскажем, как повлияют новые федеральные стандарты на изменения в бюджетном учете с 2018 года, и как ввести в действие федеральный стандарт по основным средствам.</w:t>
      </w:r>
    </w:p>
    <w:p w14:paraId="55893116"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Минфин России в последний день прошлого года утвердил федеральные стандарты бухгалтерского учета для организаций государственного сектора, в частности это Приказы, которыми были утверждены федеральные стандарты бухгалтерского учета для организаций государственного сектора: №256н «Концептуальные основы бухгалтерского учета и отчетности организаций государственного сектора» (далее - Стандарт № 256н); №257н «Основные средства» (далее - Стандарт № 257н); № 258н «Аренда» (далее - Стандарт № 258н); № 259н «Обесценение активов" (далее - Стандарт № 259н); № 260н «Представление бухгалтерской (финансовой) отчетности» (далее - Стандарт № 260н). </w:t>
      </w:r>
    </w:p>
    <w:p w14:paraId="1E19CF09"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Утвержденные Стандарты вступают в силу и распространяются, в частности, на государственные (муниципальные) учреждения. Приступая к изучению утвержденных Стандартов, необходимо четко понимать то, какие организации объединяет госсектор, а также какое место в нем занимают государственные и муниципальные учреждения. </w:t>
      </w:r>
    </w:p>
    <w:p w14:paraId="52723895"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Государственный сектор экономики -  это совокупность предприятий, организаций, учреждений, находящихся в государственной собственности и управляемых государственными органами или назначаемыми ими лицами. Госсектор включает в себя все экономические ресурсы, которыми владеет государство и все организации, с помощью которых осуществляется государственное регулирование экономики. </w:t>
      </w:r>
    </w:p>
    <w:p w14:paraId="602ACCD6"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Цель стандартов - установление единых требований к ведению бухгалтерского учета государственными (муниципальными) бюджетными и автономными учреждениями, бюджетного учета активов и обязательств РФ, ее субъектов и муниципальных образований. Согласно пункту 3.1 Приказа Минфина России № 157н утвержденная им Инструкция по применению Единого плана счетов (далее - Инструкция № 157н) также распространяется при наличии определенных условий на некоторые государственные корпорации, унитарные предприятия, органы исполнительной власти всех уровней и учреждений [2]. </w:t>
      </w:r>
    </w:p>
    <w:p w14:paraId="53C54B78" w14:textId="77777777" w:rsidR="00173C65" w:rsidRPr="00452B5C" w:rsidRDefault="00173C65" w:rsidP="00452B5C">
      <w:pPr>
        <w:pStyle w:val="13"/>
      </w:pPr>
      <w:r w:rsidRPr="00452B5C">
        <w:t xml:space="preserve">Использование участниками государственного сектора средств бюджета потребовало установления единых правил к ведению учёта и отчётности в этой области, которые были сформулированы в новых стандартах. </w:t>
      </w:r>
    </w:p>
    <w:p w14:paraId="6B6CB41C"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Style w:val="14"/>
          <w:rFonts w:eastAsiaTheme="minorHAnsi"/>
        </w:rPr>
        <w:t>Утвержденные Минфином России</w:t>
      </w:r>
      <w:r w:rsidRPr="00452B5C">
        <w:rPr>
          <w:rFonts w:ascii="Times New Roman" w:hAnsi="Times New Roman" w:cs="Times New Roman"/>
          <w:sz w:val="24"/>
          <w:szCs w:val="24"/>
        </w:rPr>
        <w:t xml:space="preserve"> федеральные стандарты, согласно п. 1 ст. 21 Федерального закона № 402-ФЗ «О бухгалтерском учете», являются одним из основных документов, регулирующих бухгалтерский учет [3]. </w:t>
      </w:r>
    </w:p>
    <w:p w14:paraId="44D54B97"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В утвержденных Минфином России стандартах не содержится ни правил бухгалтерского учета, ни требований к конкретным формам отчетности, ни проводок и числовых или еще каких-либо примеров. Стандарты в основном содержат множество терминов и определений, с которыми всем бухгалтерам государственных и муниципальных учреждений обязательно нужно ознакомиться. </w:t>
      </w:r>
    </w:p>
    <w:p w14:paraId="1F982409"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Так, в Стандарте № 257н «Основные средства» применяется термин «недвижимость, занимаемая субъектом учета», требующий дополнительных разъяснений и уточнений [4]. В том же пункте этого Стандарта сказано, что такая недвижимость - это основные средства, являющиеся объектами недвижимого имущества, находящиеся во владении или пользовании субъекта учета, в том числе в рамках отношений по аренде, предусматривающей переход существенных операционных рисков и выгод к арендатору, предназначенные для использования при выполнении возложенных на субъект учета государственных (муниципальных) полномочий, осуществления деятельности по выполнению работ, оказанию услуг либо для управленческих нужд субъекта учета.</w:t>
      </w:r>
    </w:p>
    <w:p w14:paraId="517B6EFA" w14:textId="77777777" w:rsidR="00173C65" w:rsidRPr="00452B5C" w:rsidRDefault="00173C65" w:rsidP="00452B5C">
      <w:pPr>
        <w:pStyle w:val="13"/>
      </w:pPr>
      <w:r w:rsidRPr="00452B5C">
        <w:t xml:space="preserve">Используемые в стандартах словосочетания и фразы довольно сложны для восприятия. При этом используемые профессионалами в настоящее время определения гораздо короче и точнее отражают экономический смысл различных сторон хозяйственной деятельности. Так, с нового года вводится термин в стандарте № 257н - "активы культурного наследия": к таким активам относятся материальные ценности, возникшие в результате </w:t>
      </w:r>
      <w:r w:rsidRPr="00452B5C">
        <w:lastRenderedPageBreak/>
        <w:t>исторических событий и обладающие ценностью с точки зрения истории, археологии, архитектуры. </w:t>
      </w:r>
    </w:p>
    <w:p w14:paraId="16F3A3B9" w14:textId="77777777" w:rsidR="00173C65" w:rsidRPr="00452B5C" w:rsidRDefault="00173C65" w:rsidP="00452B5C">
      <w:pPr>
        <w:pStyle w:val="13"/>
      </w:pPr>
      <w:r w:rsidRPr="00452B5C">
        <w:t>Примечательно, что в Стандарте № 257н не указан критерий, согласно которому некий актив может считаться культурным наследием и бухгалтеру самостоятельно будет затруднительно отнести тот или иной объект недвижимости к активам культурного наследия. Поэтому в рамках учетной политики в учреждении придется создавать специализированную комиссию либо приглашать соответствующих специалистов, чтобы они могли дать квалифицированное заключение. </w:t>
      </w:r>
    </w:p>
    <w:p w14:paraId="289E249B"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Отметим, что стандарты придали несколько иной смысл и давно привычным бухгалтерским словам и выражениям. Так, в пункте 16 Стандарта №256н указано, что ведение бухгалтерского учета объектов бухгалтерского учета осуществляется в денежном измерении (стоимостном выражении) с использованием методов:  начисления;  принципа равномерности;  метода двойной записи [5]. </w:t>
      </w:r>
    </w:p>
    <w:p w14:paraId="7CEFCE4B"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В соответствии со Стандартом № 256н согласно методу начисления результаты операций признаются в бухгалтерском учете по факту их совершения независимо от того, когда получены или выплачены при расчетах, связанных с осуществлением указанных операций, денежные средства (или их эквиваленты), что практически слово в слово воспроизводит определение, данное этому методу в пункте 3 Инструкции № 157н. </w:t>
      </w:r>
    </w:p>
    <w:p w14:paraId="69F6D921"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Согласно Стандарту № 256н принцип равномерности означает признание доходов и расходов и допущение временной определенности фактов хозяйственной жизни. В Инструкции № 157н нет каких-либо аналогов такому принципу. </w:t>
      </w:r>
    </w:p>
    <w:p w14:paraId="23172183"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В пункте 3 Инструкции № 157н сказано, что при ведении бухгалтерского учета учреждениям, финансовым органам, органам, осуществляющим кассовое обслуживание, необходимо учитывать, что, в частности, бухгалтерский учет активов, обязательств, источников финансирования их деятельности, фактов хозяйственной жизни и финансовых результатов осуществляется методом двойной записи на счетах бухгалтерского учета, включенных в рабочий план счетов субъекта учета [2]. Таким образом, в данном случае бухгалтерам не придется переучиваться и привыкать к чему-то новому - основы бухгалтерского учета остаются незыблемыми. </w:t>
      </w:r>
    </w:p>
    <w:p w14:paraId="242EBC21"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Стандарт № 260н «Представление бухгалтерской (финансовой) отчетности» хотя распространяется, в частности, и на ГМУ, однако согласно пункту 3 его положения не применяются: при составлении и представлении субъектами отчетности бухгалтерской отчетности специального назначения, составляемой для государственного статистического наблюдения; при составлении и представлении бухгалтерской отчетности общего назначения субъектами отчетности, осуществляющими бюджетные полномочия по ведению бюджетного учета и составлению, представлению бюджетной отчетности, за исключением казенных учреждений [6]. </w:t>
      </w:r>
    </w:p>
    <w:p w14:paraId="496799F5"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Отметим, что Стандарт № 260н в пункте 15 также предлагает свое понимание «допущения непрерывности». </w:t>
      </w:r>
      <w:r w:rsidRPr="00452B5C">
        <w:rPr>
          <w:rFonts w:ascii="Times New Roman" w:hAnsi="Times New Roman" w:cs="Times New Roman"/>
          <w:sz w:val="24"/>
          <w:szCs w:val="24"/>
          <w:lang w:val="en-US"/>
        </w:rPr>
        <w:t>C</w:t>
      </w:r>
      <w:r w:rsidRPr="00452B5C">
        <w:rPr>
          <w:rFonts w:ascii="Times New Roman" w:hAnsi="Times New Roman" w:cs="Times New Roman"/>
          <w:sz w:val="24"/>
          <w:szCs w:val="24"/>
        </w:rPr>
        <w:t>облюдение допущения непрерывности деятельности предполагает, что субъект отчетности в будущем будет продолжать функционировать, выполняя свои обязательства, за исключением случаев, когда у его учредителя имеется намерение или необходимость ликвидировать субъект учета или прекратить его деятельность в трехлетний период после даты утверждения бухгалтерской (финансовой) отчетности. </w:t>
      </w:r>
    </w:p>
    <w:p w14:paraId="0840BB92"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Таким образом, обозримое будущее, которое упоминалось в Стандарте № 256н, ограничивается всего тремя годами в Стандарте № 260н. Но три года - немалый срок для настоящего времени. Вступает в силу Стандарт № 258н «Аренда», который существенно меняет подход и принципы отражения в учете организациями госсектора арендованного имущества, безвозмездно полученного в пользование имущества, а также имущества, сданного в аренду или безвозмездное пользование [7]. Изменится учет, как у арендаторов, так и у арендодателей. </w:t>
      </w:r>
    </w:p>
    <w:p w14:paraId="1FFC8559"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lastRenderedPageBreak/>
        <w:t>Соглашение об аренде - договор, в соответствии с которым субъектом учета осуществляются арендные отношения в течение срока, согласованного передающей имущество стороной (правообладателем, арендодателем) и принимающей стороной (пользователем, арендатором). В соответствии с п.4 Стандарта № 258н он не применяется при отражении в бухгалтерском учете объектов бухгалтерского учета, возникающих в рамках: договоров (соглашений) аренды, заключенных в целях разведки или использования полезных ископаемых, нефти, природного газа и аналогичных невозобновляемых ресурсов;  лицензионных соглашений, предмет нематериальных активов; соглашений об аренде биологических активов [7]. </w:t>
      </w:r>
    </w:p>
    <w:p w14:paraId="11965B07"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Также данный нормативный документ не относится к аренде государственного имущества, закрепленного на праве оперативного управления за субъектами учета с целью выполнения ими возложенных на них полномочий (функций) (п.7 Стандарта № 258н). </w:t>
      </w:r>
    </w:p>
    <w:p w14:paraId="288F0818" w14:textId="77777777" w:rsidR="00173C65" w:rsidRPr="00452B5C" w:rsidRDefault="00173C65" w:rsidP="00452B5C">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Остается надеяться, что Минфин России в течение этого года даст необходимые пояснения и уточнения о порядке применения федеральных стандартов. </w:t>
      </w:r>
    </w:p>
    <w:p w14:paraId="34223B45" w14:textId="77777777" w:rsidR="00173C65" w:rsidRPr="00452B5C" w:rsidRDefault="007014C7" w:rsidP="00173C65">
      <w:pPr>
        <w:jc w:val="both"/>
        <w:rPr>
          <w:rFonts w:ascii="Times New Roman" w:hAnsi="Times New Roman" w:cs="Times New Roman"/>
          <w:sz w:val="24"/>
          <w:szCs w:val="24"/>
        </w:rPr>
      </w:pPr>
      <w:r>
        <w:rPr>
          <w:rFonts w:ascii="Times New Roman" w:hAnsi="Times New Roman" w:cs="Times New Roman"/>
          <w:noProof/>
          <w:sz w:val="24"/>
          <w:szCs w:val="24"/>
          <w:lang w:eastAsia="ru-RU"/>
        </w:rPr>
        <w:pict w14:anchorId="602376FC">
          <v:shape id="Прямая со стрелкой 40" o:spid="_x0000_s1139" type="#_x0000_t32" style="position:absolute;left:0;text-align:left;margin-left:1.4pt;margin-top:14.9pt;width:197.8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"/>
        </w:pict>
      </w:r>
    </w:p>
    <w:p w14:paraId="649F10D8"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Об утверждении программы разработки федеральных стандартов бухгалтерского учета для организаций государственного сектора от 31.10.2017 № 170н (в ред. приказов МинФин РФ от 29.11.2017 [Электронный ресурс] / СПС «Консультант плюс». Режим доступа:  http://www.consultant.ru/document/cons_doc_LAW_283858/</w:t>
      </w:r>
    </w:p>
    <w:p w14:paraId="3096C16C"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от 01.12.2010 №157 н (в ред. от 27.09.2017) Электронный ресурс] / СПС «Консультант плюс». Режим доступа:  http://www.consultant.ru/document/cons_doc_LAW_107750/</w:t>
      </w:r>
    </w:p>
    <w:p w14:paraId="03CA6C3C"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 бухгалтерском учете: федеральный закон от 06.12.2011 № 402 – ФЗ (ред. от 31.12.2017) [Электронный ресурс] // СПС «Консультант плюс». Режим доступа: http://www.consultant.ru/document/cons_doc_LAW_122855/</w:t>
      </w:r>
    </w:p>
    <w:p w14:paraId="72E07346"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val="en-US" w:eastAsia="ru-RU"/>
        </w:rPr>
      </w:pPr>
      <w:r w:rsidRPr="00452B5C">
        <w:rPr>
          <w:rFonts w:ascii="Times New Roman" w:eastAsia="Times New Roman" w:hAnsi="Times New Roman" w:cs="Times New Roman"/>
          <w:sz w:val="24"/>
          <w:szCs w:val="24"/>
          <w:lang w:eastAsia="ru-RU"/>
        </w:rPr>
        <w:t>Об утверждении федерального стандарта бухгалтерского учета для организаций государственного сектора «Основные средства»: приказ МинФина от 31.12.2016 №257н (ред. от 27.04.2017) [Электронный ресурс] // СПС «Консультант плюс». Режим</w:t>
      </w:r>
      <w:r w:rsidRPr="00452B5C">
        <w:rPr>
          <w:rFonts w:ascii="Times New Roman" w:eastAsia="Times New Roman" w:hAnsi="Times New Roman" w:cs="Times New Roman"/>
          <w:sz w:val="24"/>
          <w:szCs w:val="24"/>
          <w:lang w:val="en-US" w:eastAsia="ru-RU"/>
        </w:rPr>
        <w:t xml:space="preserve"> </w:t>
      </w:r>
      <w:r w:rsidRPr="00452B5C">
        <w:rPr>
          <w:rFonts w:ascii="Times New Roman" w:eastAsia="Times New Roman" w:hAnsi="Times New Roman" w:cs="Times New Roman"/>
          <w:sz w:val="24"/>
          <w:szCs w:val="24"/>
          <w:lang w:eastAsia="ru-RU"/>
        </w:rPr>
        <w:t>доступа</w:t>
      </w:r>
      <w:r w:rsidRPr="00452B5C">
        <w:rPr>
          <w:rFonts w:ascii="Times New Roman" w:eastAsia="Times New Roman" w:hAnsi="Times New Roman" w:cs="Times New Roman"/>
          <w:sz w:val="24"/>
          <w:szCs w:val="24"/>
          <w:lang w:val="en-US" w:eastAsia="ru-RU"/>
        </w:rPr>
        <w:t>: http://www.consultant. ru/document/cons_doc_LAW_216119/</w:t>
      </w:r>
    </w:p>
    <w:p w14:paraId="142C26D5"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приказ МинФина от 31.12.2016 №256н (ред. от 27.04.2017) [Электронный ресурс] // СПС «Консультант плюс». Режим доступа: http://www.consultant.ru/document/cons_doc_LAW_216121/</w:t>
      </w:r>
    </w:p>
    <w:p w14:paraId="57119BBB"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Об утверждении федерального стандарта бухгалтерского учета для организаций государственного сектора «Представление бухгалтерской (финансовой) отчетности» приказ МинФина от 31.12.2016 № 260н (ред. от 27.04.2017) [Электронный ресурс] // СПС «Консультант плюс». Режим доступа: http://www.consultant.ru/document/cons_doc_LAW_216118/</w:t>
      </w:r>
    </w:p>
    <w:p w14:paraId="5F702D65" w14:textId="77777777" w:rsidR="00173C65" w:rsidRPr="00452B5C" w:rsidRDefault="00173C65" w:rsidP="00202D58">
      <w:pPr>
        <w:numPr>
          <w:ilvl w:val="0"/>
          <w:numId w:val="13"/>
        </w:numPr>
        <w:spacing w:after="0" w:line="240" w:lineRule="auto"/>
        <w:ind w:left="0" w:firstLine="397"/>
        <w:jc w:val="both"/>
        <w:rPr>
          <w:rFonts w:ascii="Times New Roman" w:eastAsia="Times New Roman" w:hAnsi="Times New Roman" w:cs="Times New Roman"/>
          <w:sz w:val="24"/>
          <w:szCs w:val="24"/>
          <w:lang w:val="en-US" w:eastAsia="ru-RU"/>
        </w:rPr>
      </w:pPr>
      <w:r w:rsidRPr="00452B5C">
        <w:rPr>
          <w:rFonts w:ascii="Times New Roman" w:eastAsia="Times New Roman" w:hAnsi="Times New Roman" w:cs="Times New Roman"/>
          <w:sz w:val="24"/>
          <w:szCs w:val="24"/>
          <w:lang w:eastAsia="ru-RU"/>
        </w:rPr>
        <w:t>Об утверждении федерального стандарта бухгалтерского учета для организаций государственного сектора «Аренда»: приказ МинФина от 30.09.2016 №258н (ред. от 31.12.2016) [Электронный ресурс] // СПС «Консультант плюс». Режим</w:t>
      </w:r>
      <w:r w:rsidRPr="00452B5C">
        <w:rPr>
          <w:rFonts w:ascii="Times New Roman" w:eastAsia="Times New Roman" w:hAnsi="Times New Roman" w:cs="Times New Roman"/>
          <w:sz w:val="24"/>
          <w:szCs w:val="24"/>
          <w:lang w:val="en-US" w:eastAsia="ru-RU"/>
        </w:rPr>
        <w:t xml:space="preserve"> </w:t>
      </w:r>
      <w:r w:rsidRPr="00452B5C">
        <w:rPr>
          <w:rFonts w:ascii="Times New Roman" w:eastAsia="Times New Roman" w:hAnsi="Times New Roman" w:cs="Times New Roman"/>
          <w:sz w:val="24"/>
          <w:szCs w:val="24"/>
          <w:lang w:eastAsia="ru-RU"/>
        </w:rPr>
        <w:t>доступа</w:t>
      </w:r>
      <w:r w:rsidRPr="00452B5C">
        <w:rPr>
          <w:rFonts w:ascii="Times New Roman" w:eastAsia="Times New Roman" w:hAnsi="Times New Roman" w:cs="Times New Roman"/>
          <w:sz w:val="24"/>
          <w:szCs w:val="24"/>
          <w:lang w:val="en-US" w:eastAsia="ru-RU"/>
        </w:rPr>
        <w:t>: http://www. consultant.ru/cons/ cgi/online.cgi?req=doc;base=PNPA;n=17514#07759876331290105</w:t>
      </w:r>
    </w:p>
    <w:p w14:paraId="539CD7A1" w14:textId="77777777" w:rsidR="00173C65" w:rsidRPr="00173C65" w:rsidRDefault="00173C65" w:rsidP="00173C65">
      <w:pPr>
        <w:pStyle w:val="a9"/>
        <w:shd w:val="clear" w:color="auto" w:fill="FFFFFF"/>
        <w:spacing w:before="0" w:beforeAutospacing="0" w:after="0" w:afterAutospacing="0"/>
        <w:jc w:val="both"/>
        <w:rPr>
          <w:lang w:val="en-US"/>
        </w:rPr>
      </w:pPr>
    </w:p>
    <w:p w14:paraId="6A9A2604" w14:textId="77777777" w:rsidR="00B407BE" w:rsidRPr="00AD2A2E" w:rsidRDefault="00B407BE" w:rsidP="00173C65">
      <w:pPr>
        <w:pStyle w:val="a9"/>
        <w:shd w:val="clear" w:color="auto" w:fill="FFFFFF"/>
        <w:spacing w:before="0" w:beforeAutospacing="0" w:after="0" w:afterAutospacing="0"/>
        <w:jc w:val="both"/>
        <w:rPr>
          <w:b/>
          <w:sz w:val="20"/>
          <w:lang w:val="en-US"/>
        </w:rPr>
      </w:pPr>
    </w:p>
    <w:p w14:paraId="3DD220FA" w14:textId="77777777" w:rsidR="00163E4B" w:rsidRPr="007E1000" w:rsidRDefault="00163E4B" w:rsidP="00173C65">
      <w:pPr>
        <w:pStyle w:val="a9"/>
        <w:shd w:val="clear" w:color="auto" w:fill="FFFFFF"/>
        <w:spacing w:before="0" w:beforeAutospacing="0" w:after="0" w:afterAutospacing="0"/>
        <w:jc w:val="both"/>
        <w:rPr>
          <w:b/>
          <w:lang w:val="en-US"/>
        </w:rPr>
      </w:pPr>
    </w:p>
    <w:p w14:paraId="7B186A81" w14:textId="77777777" w:rsidR="00163E4B" w:rsidRPr="007E1000" w:rsidRDefault="00163E4B" w:rsidP="00173C65">
      <w:pPr>
        <w:pStyle w:val="a9"/>
        <w:shd w:val="clear" w:color="auto" w:fill="FFFFFF"/>
        <w:spacing w:before="0" w:beforeAutospacing="0" w:after="0" w:afterAutospacing="0"/>
        <w:jc w:val="both"/>
        <w:rPr>
          <w:b/>
          <w:lang w:val="en-US"/>
        </w:rPr>
      </w:pPr>
    </w:p>
    <w:p w14:paraId="4F24943C" w14:textId="77777777" w:rsidR="00163E4B" w:rsidRPr="007E1000" w:rsidRDefault="00163E4B" w:rsidP="00173C65">
      <w:pPr>
        <w:pStyle w:val="a9"/>
        <w:shd w:val="clear" w:color="auto" w:fill="FFFFFF"/>
        <w:spacing w:before="0" w:beforeAutospacing="0" w:after="0" w:afterAutospacing="0"/>
        <w:jc w:val="both"/>
        <w:rPr>
          <w:b/>
          <w:lang w:val="en-US"/>
        </w:rPr>
      </w:pPr>
    </w:p>
    <w:p w14:paraId="522AA376" w14:textId="77777777" w:rsidR="00173C65" w:rsidRPr="00452B5C" w:rsidRDefault="630840AF" w:rsidP="630840AF">
      <w:pPr>
        <w:pStyle w:val="a9"/>
        <w:shd w:val="clear" w:color="auto" w:fill="FFFFFF" w:themeFill="background1"/>
        <w:spacing w:before="0" w:beforeAutospacing="0" w:after="0" w:afterAutospacing="0"/>
        <w:jc w:val="both"/>
        <w:rPr>
          <w:b/>
          <w:bCs/>
        </w:rPr>
      </w:pPr>
      <w:r w:rsidRPr="630840AF">
        <w:rPr>
          <w:b/>
          <w:bCs/>
        </w:rPr>
        <w:lastRenderedPageBreak/>
        <w:t>Рубрика: Бухгалтерский учет, статистика</w:t>
      </w:r>
    </w:p>
    <w:p w14:paraId="11C294B9" w14:textId="77777777" w:rsidR="00173C65" w:rsidRPr="00452B5C" w:rsidRDefault="007014C7" w:rsidP="00173C65">
      <w:pPr>
        <w:pStyle w:val="a9"/>
        <w:shd w:val="clear" w:color="auto" w:fill="FFFFFF"/>
        <w:spacing w:before="0" w:beforeAutospacing="0" w:after="0" w:afterAutospacing="0"/>
        <w:ind w:left="1035"/>
        <w:jc w:val="both"/>
      </w:pPr>
      <w:r>
        <w:rPr>
          <w:noProof/>
        </w:rPr>
        <w:pict w14:anchorId="57F545ED">
          <v:shape id="Поле 41" o:spid="_x0000_s1117" type="#_x0000_t202" style="position:absolute;left:0;text-align:left;margin-left:232.05pt;margin-top:9pt;width:249pt;height:30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" fillcolor="white [3201]" strokecolor="white [3212]" strokeweight=".5pt">
            <v:path arrowok="t"/>
            <v:textbox>
              <w:txbxContent>
                <w:p w14:paraId="1676914A" w14:textId="77777777" w:rsidR="007014C7" w:rsidRPr="00D94EDC" w:rsidRDefault="007014C7" w:rsidP="00173C65">
                  <w:pPr>
                    <w:spacing w:after="0" w:line="240" w:lineRule="auto"/>
                    <w:rPr>
                      <w:rFonts w:ascii="Arial" w:hAnsi="Arial" w:cs="Arial"/>
                      <w:color w:val="FFFFFF" w:themeColor="background1"/>
                      <w:sz w:val="20"/>
                      <w:szCs w:val="20"/>
                      <w:lang w:eastAsia="ru-RU"/>
                    </w:rPr>
                  </w:pPr>
                  <w:r w:rsidRPr="00D94EDC">
                    <w:rPr>
                      <w:rFonts w:ascii="Arial" w:hAnsi="Arial" w:cs="Arial"/>
                      <w:color w:val="FFFFFF" w:themeColor="background1"/>
                      <w:sz w:val="20"/>
                      <w:szCs w:val="20"/>
                      <w:shd w:val="clear" w:color="auto" w:fill="FFFFFF"/>
                    </w:rPr>
                    <w:t>Ключевые слова и словосочетания: хозяйствующие субъекты, система</w:t>
                  </w:r>
                </w:p>
                <w:p w14:paraId="74147623"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0A453F69"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5963F030"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3C1FB69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39B845B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5BFE7B52"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3532757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05FCC1D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48ADAA09"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66555199"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0204F7B2"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2B6D8FF7"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4CE0D53B"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51A8E111"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522386BC"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0FBEDE35"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2E036CC8"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1B8A959E"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049DB9D5"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60E85703"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5859C78E"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0C36AECD"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55571123"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4221F1B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47D2E63C"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0C5AACBC"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00E47843"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7B780562"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3F794C80"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2FE99D58"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10784DB4"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06D478C0"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513B362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443D2B48"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3BE099AD"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462C571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5BB13900"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2772CC0A"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6797F40E"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305D5816"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7614A9AA"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4B14E7C8"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748DACD3"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14D003F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6DDC67B3"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1C06F10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6B55E00B"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7EFBAFB9"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12984620"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22788B86"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36439EA0"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7BA7E2E7"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723D44C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7624BABB"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6DC8C0D2"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5CEE1653"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14B0352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27C6E276"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13AFAD7C"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6B4AEAE9"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59F58E84"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5F838339"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59FE9D9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4C957967"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5F05877B"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269111FA"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63BA3868"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4EAFA679"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59CD65A1"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5DBBF8F3"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643890C2"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3E29D6EC"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7369970E"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57ECFA70"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77DA49F5"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2EDBA02A"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5D2A222D"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3530D41E"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0C2725A2"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6A439DCA"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2A5FF4AD"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11882AEB"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52E19844"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189AA82F"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709F7F0D"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7673EE4E"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47001AC0"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5702E91A"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08219955"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4FBEADF6"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Ключевые слова и словосочетания: хозяйствующие субъекты, система</w:t>
                  </w:r>
                </w:p>
                <w:p w14:paraId="0898D728"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сбалансированных показателей, критерии сбалансированности, российский и зарубежный</w:t>
                  </w:r>
                </w:p>
                <w:p w14:paraId="7F0741AF" w14:textId="77777777" w:rsidR="007014C7" w:rsidRPr="00D94EDC" w:rsidRDefault="007014C7" w:rsidP="00173C65">
                  <w:pPr>
                    <w:spacing w:after="0" w:line="240" w:lineRule="auto"/>
                    <w:rPr>
                      <w:rFonts w:ascii="Arial" w:hAnsi="Arial" w:cs="Arial"/>
                      <w:color w:val="2E4453"/>
                      <w:sz w:val="20"/>
                      <w:szCs w:val="20"/>
                      <w:lang w:eastAsia="ru-RU"/>
                    </w:rPr>
                  </w:pPr>
                  <w:r w:rsidRPr="00D94EDC">
                    <w:rPr>
                      <w:rFonts w:ascii="Arial" w:hAnsi="Arial" w:cs="Arial"/>
                      <w:color w:val="2E4453"/>
                      <w:sz w:val="20"/>
                      <w:szCs w:val="20"/>
                      <w:shd w:val="clear" w:color="auto" w:fill="FFFFFF"/>
                      <w:lang w:eastAsia="ru-RU"/>
                    </w:rPr>
                    <w:t>опыт, бухгалтерская и финансовая отчетность.</w:t>
                  </w:r>
                </w:p>
                <w:p w14:paraId="1A18508A"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The role and importance of balanced indicators in the activities of economic entities</w:t>
                  </w:r>
                </w:p>
                <w:p w14:paraId="2EEB699A"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Striving for the successful operation of enterprises in the current economic conditions</w:t>
                  </w:r>
                </w:p>
                <w:p w14:paraId="15A15039"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requires the enterprise to provide a qualitative system of management accounting, reporting,</w:t>
                  </w:r>
                </w:p>
                <w:p w14:paraId="053C270B"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internal control, the main task of which is to guarantee it a stable position and the formation of a</w:t>
                  </w:r>
                </w:p>
                <w:p w14:paraId="3AF92ED2"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resource potential for the implementation of strategic plans.</w:t>
                  </w:r>
                </w:p>
                <w:p w14:paraId="5065B778"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Keywords: business entities, balanced scorecard, balance criteria, Russian and foreign</w:t>
                  </w:r>
                </w:p>
                <w:p w14:paraId="08D7EBE5" w14:textId="77777777" w:rsidR="007014C7" w:rsidRPr="00D94EDC" w:rsidRDefault="007014C7" w:rsidP="00173C65">
                  <w:pPr>
                    <w:spacing w:after="0" w:line="240" w:lineRule="auto"/>
                    <w:rPr>
                      <w:rFonts w:ascii="Arial" w:hAnsi="Arial" w:cs="Arial"/>
                      <w:color w:val="2E4453"/>
                      <w:sz w:val="20"/>
                      <w:szCs w:val="20"/>
                      <w:lang w:val="en-US" w:eastAsia="ru-RU"/>
                    </w:rPr>
                  </w:pPr>
                  <w:r w:rsidRPr="00D94EDC">
                    <w:rPr>
                      <w:rFonts w:ascii="Arial" w:hAnsi="Arial" w:cs="Arial"/>
                      <w:color w:val="2E4453"/>
                      <w:sz w:val="20"/>
                      <w:szCs w:val="20"/>
                      <w:shd w:val="clear" w:color="auto" w:fill="FFFFFF"/>
                      <w:lang w:val="en-US" w:eastAsia="ru-RU"/>
                    </w:rPr>
                    <w:t>experience, accounting and financial reporting.</w:t>
                  </w:r>
                </w:p>
                <w:p w14:paraId="6AD9664E" w14:textId="77777777" w:rsidR="007014C7" w:rsidRPr="00D94EDC" w:rsidRDefault="007014C7" w:rsidP="00173C65">
                  <w:pPr>
                    <w:rPr>
                      <w:lang w:val="en-US"/>
                    </w:rPr>
                  </w:pPr>
                </w:p>
              </w:txbxContent>
            </v:textbox>
          </v:shape>
        </w:pict>
      </w:r>
    </w:p>
    <w:p w14:paraId="4C3E037C" w14:textId="77777777" w:rsidR="00173C65" w:rsidRPr="00452B5C" w:rsidRDefault="630840AF" w:rsidP="630840AF">
      <w:pPr>
        <w:pStyle w:val="a9"/>
        <w:shd w:val="clear" w:color="auto" w:fill="FFFFFF" w:themeFill="background1"/>
        <w:spacing w:before="0" w:beforeAutospacing="0" w:after="0" w:afterAutospacing="0"/>
        <w:jc w:val="both"/>
      </w:pPr>
      <w:r>
        <w:t>УДК 338.2</w:t>
      </w:r>
    </w:p>
    <w:p w14:paraId="6BF7610E" w14:textId="77777777" w:rsidR="00173C65" w:rsidRPr="00452B5C" w:rsidRDefault="00173C65" w:rsidP="00173C65">
      <w:pPr>
        <w:pStyle w:val="a9"/>
        <w:shd w:val="clear" w:color="auto" w:fill="FFFFFF"/>
        <w:spacing w:before="0" w:beforeAutospacing="0" w:after="0" w:afterAutospacing="0"/>
        <w:jc w:val="both"/>
      </w:pPr>
    </w:p>
    <w:p w14:paraId="3306AA1F" w14:textId="77777777" w:rsidR="00173C65" w:rsidRPr="00452B5C" w:rsidRDefault="630840AF" w:rsidP="630840AF">
      <w:pPr>
        <w:pStyle w:val="a9"/>
        <w:shd w:val="clear" w:color="auto" w:fill="FFFFFF" w:themeFill="background1"/>
        <w:spacing w:before="0" w:beforeAutospacing="0" w:after="0" w:afterAutospacing="0"/>
        <w:jc w:val="center"/>
        <w:rPr>
          <w:b/>
          <w:bCs/>
        </w:rPr>
      </w:pPr>
      <w:r w:rsidRPr="630840AF">
        <w:rPr>
          <w:b/>
          <w:bCs/>
        </w:rPr>
        <w:t>РОЛЬ И ЗНАЧЕНИЕ СБАЛАНСИРОВАННЫХ ПОКАЗАТЕЛЕЙ В ДЕЯТЕЛЬНОСТИ ХОЗЯЙСТВУЮЩИХ СУБЪЕКТОВ</w:t>
      </w:r>
    </w:p>
    <w:p w14:paraId="25DC539F" w14:textId="77777777" w:rsidR="00173C65" w:rsidRPr="00452B5C" w:rsidRDefault="00173C65" w:rsidP="00173C65">
      <w:pPr>
        <w:pStyle w:val="a9"/>
        <w:shd w:val="clear" w:color="auto" w:fill="FFFFFF"/>
        <w:spacing w:before="0" w:beforeAutospacing="0" w:after="0" w:afterAutospacing="0"/>
        <w:jc w:val="both"/>
      </w:pPr>
    </w:p>
    <w:p w14:paraId="0D6B41C0" w14:textId="77777777" w:rsidR="00173C65" w:rsidRPr="00452B5C" w:rsidRDefault="630840AF" w:rsidP="630840AF">
      <w:pPr>
        <w:pStyle w:val="a9"/>
        <w:shd w:val="clear" w:color="auto" w:fill="FFFFFF" w:themeFill="background1"/>
        <w:spacing w:before="0" w:beforeAutospacing="0" w:after="0" w:afterAutospacing="0"/>
        <w:jc w:val="center"/>
        <w:rPr>
          <w:b/>
          <w:bCs/>
        </w:rPr>
      </w:pPr>
      <w:r w:rsidRPr="630840AF">
        <w:rPr>
          <w:b/>
          <w:bCs/>
        </w:rPr>
        <w:t>Хоменко Ирина Игоревна,</w:t>
      </w:r>
    </w:p>
    <w:p w14:paraId="3FB16595" w14:textId="77777777" w:rsidR="00173C65" w:rsidRPr="00452B5C" w:rsidRDefault="630840AF" w:rsidP="630840AF">
      <w:pPr>
        <w:pStyle w:val="a9"/>
        <w:shd w:val="clear" w:color="auto" w:fill="FFFFFF" w:themeFill="background1"/>
        <w:spacing w:before="0" w:beforeAutospacing="0" w:after="0" w:afterAutospacing="0"/>
        <w:jc w:val="center"/>
      </w:pPr>
      <w:r>
        <w:t>Магистрант</w:t>
      </w:r>
    </w:p>
    <w:p w14:paraId="63E83F18" w14:textId="77777777" w:rsidR="00B407BE" w:rsidRPr="00452B5C" w:rsidRDefault="00B407BE" w:rsidP="00173C65">
      <w:pPr>
        <w:pStyle w:val="a9"/>
        <w:shd w:val="clear" w:color="auto" w:fill="FFFFFF"/>
        <w:spacing w:before="0" w:beforeAutospacing="0" w:after="0" w:afterAutospacing="0"/>
        <w:jc w:val="center"/>
      </w:pPr>
    </w:p>
    <w:p w14:paraId="7462F213" w14:textId="77777777" w:rsidR="00173C65" w:rsidRPr="00452B5C" w:rsidRDefault="630840AF" w:rsidP="630840AF">
      <w:pPr>
        <w:pStyle w:val="a9"/>
        <w:shd w:val="clear" w:color="auto" w:fill="FFFFFF" w:themeFill="background1"/>
        <w:spacing w:before="0" w:beforeAutospacing="0" w:after="0" w:afterAutospacing="0"/>
        <w:jc w:val="center"/>
        <w:rPr>
          <w:i/>
          <w:iCs/>
        </w:rPr>
      </w:pPr>
      <w:r w:rsidRPr="630840AF">
        <w:rPr>
          <w:i/>
          <w:iCs/>
        </w:rPr>
        <w:t>Владивостокский государственный университет экономики и сервиса</w:t>
      </w:r>
    </w:p>
    <w:p w14:paraId="2ED3B066" w14:textId="77777777" w:rsidR="00173C65" w:rsidRPr="00452B5C" w:rsidRDefault="630840AF" w:rsidP="630840AF">
      <w:pPr>
        <w:pStyle w:val="a9"/>
        <w:shd w:val="clear" w:color="auto" w:fill="FFFFFF" w:themeFill="background1"/>
        <w:spacing w:before="0" w:beforeAutospacing="0" w:after="0" w:afterAutospacing="0"/>
        <w:jc w:val="center"/>
      </w:pPr>
      <w:r w:rsidRPr="630840AF">
        <w:rPr>
          <w:i/>
          <w:iCs/>
        </w:rPr>
        <w:t>Россия, Владивосток</w:t>
      </w:r>
    </w:p>
    <w:p w14:paraId="6FBAD364" w14:textId="77777777" w:rsidR="00B407BE" w:rsidRPr="00452B5C" w:rsidRDefault="00B407BE" w:rsidP="00173C65">
      <w:pPr>
        <w:pStyle w:val="a9"/>
        <w:shd w:val="clear" w:color="auto" w:fill="FFFFFF"/>
        <w:spacing w:before="0" w:beforeAutospacing="0" w:after="0" w:afterAutospacing="0"/>
        <w:jc w:val="center"/>
      </w:pPr>
    </w:p>
    <w:p w14:paraId="6CF68FD3" w14:textId="77777777" w:rsidR="00173C65" w:rsidRPr="007E1000" w:rsidRDefault="00173C65" w:rsidP="00173C65">
      <w:pPr>
        <w:pStyle w:val="a9"/>
        <w:shd w:val="clear" w:color="auto" w:fill="FFFFFF"/>
        <w:spacing w:before="0" w:beforeAutospacing="0" w:after="0" w:afterAutospacing="0"/>
        <w:jc w:val="center"/>
      </w:pPr>
      <w:r w:rsidRPr="00452B5C">
        <w:rPr>
          <w:lang w:val="en-US"/>
        </w:rPr>
        <w:t>E</w:t>
      </w:r>
      <w:r w:rsidRPr="007E1000">
        <w:t>-</w:t>
      </w:r>
      <w:r w:rsidRPr="00452B5C">
        <w:rPr>
          <w:lang w:val="en-US"/>
        </w:rPr>
        <w:t>mail</w:t>
      </w:r>
      <w:r w:rsidRPr="007E1000">
        <w:t xml:space="preserve">: </w:t>
      </w:r>
      <w:r w:rsidRPr="00452B5C">
        <w:rPr>
          <w:lang w:val="en-US"/>
        </w:rPr>
        <w:t>khirina</w:t>
      </w:r>
      <w:r w:rsidRPr="007E1000">
        <w:t>@</w:t>
      </w:r>
      <w:r w:rsidRPr="00452B5C">
        <w:rPr>
          <w:lang w:val="en-US"/>
        </w:rPr>
        <w:t>mail</w:t>
      </w:r>
      <w:r w:rsidRPr="007E1000">
        <w:t>.</w:t>
      </w:r>
      <w:r w:rsidRPr="00452B5C">
        <w:rPr>
          <w:lang w:val="en-US"/>
        </w:rPr>
        <w:t>ru</w:t>
      </w:r>
      <w:r w:rsidRPr="007E1000">
        <w:t xml:space="preserve">; </w:t>
      </w:r>
      <w:r w:rsidRPr="00452B5C">
        <w:t>тел</w:t>
      </w:r>
      <w:r w:rsidRPr="007E1000">
        <w:t>.: +79020579501</w:t>
      </w:r>
    </w:p>
    <w:p w14:paraId="5B3DE32B" w14:textId="77777777" w:rsidR="00173C65" w:rsidRPr="00452B5C" w:rsidRDefault="630840AF" w:rsidP="630840AF">
      <w:pPr>
        <w:pStyle w:val="a9"/>
        <w:shd w:val="clear" w:color="auto" w:fill="FFFFFF" w:themeFill="background1"/>
        <w:spacing w:before="0" w:beforeAutospacing="0" w:after="0" w:afterAutospacing="0"/>
        <w:jc w:val="center"/>
      </w:pPr>
      <w:r>
        <w:t>Ул. Гоголя, 41, г. Владивосток, Приморский край, Россия, 690014</w:t>
      </w:r>
    </w:p>
    <w:p w14:paraId="5DC4596E" w14:textId="77777777" w:rsidR="00173C65" w:rsidRPr="00452B5C" w:rsidRDefault="00173C65" w:rsidP="00173C65">
      <w:pPr>
        <w:pStyle w:val="a9"/>
        <w:shd w:val="clear" w:color="auto" w:fill="FFFFFF"/>
        <w:spacing w:before="0" w:beforeAutospacing="0" w:after="0" w:afterAutospacing="0"/>
        <w:jc w:val="center"/>
      </w:pPr>
    </w:p>
    <w:p w14:paraId="71E9947C" w14:textId="77777777" w:rsidR="00173C65" w:rsidRPr="00452B5C" w:rsidRDefault="00173C65" w:rsidP="00173C65">
      <w:pPr>
        <w:pStyle w:val="a9"/>
        <w:shd w:val="clear" w:color="auto" w:fill="FFFFFF"/>
        <w:spacing w:before="0" w:beforeAutospacing="0" w:after="0" w:afterAutospacing="0"/>
        <w:jc w:val="center"/>
      </w:pPr>
    </w:p>
    <w:p w14:paraId="1F3A0858" w14:textId="77777777" w:rsidR="00173C65" w:rsidRPr="00452B5C" w:rsidRDefault="630840AF" w:rsidP="630840AF">
      <w:pPr>
        <w:pStyle w:val="a9"/>
        <w:shd w:val="clear" w:color="auto" w:fill="FFFFFF" w:themeFill="background1"/>
        <w:spacing w:before="0" w:beforeAutospacing="0" w:after="0" w:afterAutospacing="0"/>
        <w:ind w:firstLine="709"/>
        <w:jc w:val="both"/>
        <w:rPr>
          <w:rStyle w:val="FontStyle85"/>
          <w:i/>
          <w:iCs/>
        </w:rPr>
      </w:pPr>
      <w:r w:rsidRPr="630840AF">
        <w:rPr>
          <w:rStyle w:val="FontStyle85"/>
          <w:i/>
          <w:iCs/>
        </w:rPr>
        <w:t>Стремление к успешному функционированию предприятий в современных экономических условиях требует обеспечить предприятие качественной системой управленческого учета, отчетности, внутреннего контроля, основная задача которой заключается в том, чтобы гарантировать ему устойчивое положение и формирование ресурсного потенциала для выполнения стратегических планов.</w:t>
      </w:r>
    </w:p>
    <w:p w14:paraId="6BD85D12" w14:textId="77777777" w:rsidR="00173C65" w:rsidRPr="00452B5C" w:rsidRDefault="630840AF" w:rsidP="630840AF">
      <w:pPr>
        <w:pStyle w:val="a9"/>
        <w:shd w:val="clear" w:color="auto" w:fill="FFFFFF" w:themeFill="background1"/>
        <w:spacing w:before="0" w:beforeAutospacing="0" w:after="0" w:afterAutospacing="0"/>
        <w:ind w:firstLine="709"/>
        <w:jc w:val="both"/>
        <w:rPr>
          <w:rStyle w:val="FontStyle85"/>
          <w:i/>
          <w:iCs/>
        </w:rPr>
      </w:pPr>
      <w:r w:rsidRPr="630840AF">
        <w:rPr>
          <w:rStyle w:val="FontStyle85"/>
          <w:b/>
          <w:bCs/>
          <w:i/>
          <w:iCs/>
        </w:rPr>
        <w:t xml:space="preserve">Ключевые слова и словосочетания: </w:t>
      </w:r>
      <w:r w:rsidRPr="630840AF">
        <w:rPr>
          <w:rStyle w:val="FontStyle85"/>
          <w:i/>
          <w:iCs/>
        </w:rPr>
        <w:t>хозяйствующие субъекты, система сбалансированных показателей, критерии сбалансированности, российский и зарубежный опыт, бухгалтерская и финансовая отчетность.</w:t>
      </w:r>
    </w:p>
    <w:p w14:paraId="1413D853" w14:textId="77777777" w:rsidR="00173C65" w:rsidRPr="00452B5C" w:rsidRDefault="00173C65" w:rsidP="00173C65">
      <w:pPr>
        <w:pStyle w:val="a9"/>
        <w:shd w:val="clear" w:color="auto" w:fill="FFFFFF"/>
        <w:spacing w:before="0" w:beforeAutospacing="0" w:after="0" w:afterAutospacing="0"/>
        <w:jc w:val="both"/>
      </w:pPr>
    </w:p>
    <w:p w14:paraId="03EAE939" w14:textId="77777777" w:rsidR="00173C65" w:rsidRPr="00452B5C"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lang w:val="en-US"/>
        </w:rPr>
      </w:pPr>
      <w:r w:rsidRPr="630840AF">
        <w:rPr>
          <w:rFonts w:ascii="Times New Roman" w:hAnsi="Times New Roman" w:cs="Times New Roman"/>
          <w:b/>
          <w:bCs/>
          <w:sz w:val="24"/>
          <w:szCs w:val="24"/>
          <w:lang w:val="en-US"/>
        </w:rPr>
        <w:t>THE ROLE AND IMPORTANCE OF BALANCED INDICATORS IN THE ACTIVITIES OF ECONOMIC ENTITIES</w:t>
      </w:r>
    </w:p>
    <w:p w14:paraId="2A7A9836" w14:textId="77777777" w:rsidR="00173C65" w:rsidRPr="00452B5C" w:rsidRDefault="00173C65" w:rsidP="00173C65">
      <w:pPr>
        <w:pStyle w:val="a9"/>
        <w:shd w:val="clear" w:color="auto" w:fill="FFFFFF"/>
        <w:spacing w:before="0" w:beforeAutospacing="0" w:after="0" w:afterAutospacing="0"/>
        <w:jc w:val="both"/>
        <w:rPr>
          <w:lang w:val="en-US"/>
        </w:rPr>
      </w:pPr>
    </w:p>
    <w:p w14:paraId="38C12DCB" w14:textId="77777777" w:rsidR="00173C65" w:rsidRPr="00452B5C" w:rsidRDefault="630840AF" w:rsidP="630840AF">
      <w:pPr>
        <w:pStyle w:val="HTML"/>
        <w:shd w:val="clear" w:color="auto" w:fill="FFFFFF" w:themeFill="background1"/>
        <w:ind w:firstLine="709"/>
        <w:jc w:val="both"/>
        <w:rPr>
          <w:rFonts w:ascii="Times New Roman" w:hAnsi="Times New Roman" w:cs="Times New Roman"/>
          <w:i/>
          <w:iCs/>
          <w:sz w:val="24"/>
          <w:szCs w:val="24"/>
          <w:lang w:val="en-US"/>
        </w:rPr>
      </w:pPr>
      <w:r w:rsidRPr="630840AF">
        <w:rPr>
          <w:rFonts w:ascii="Times New Roman" w:hAnsi="Times New Roman" w:cs="Times New Roman"/>
          <w:i/>
          <w:iCs/>
          <w:sz w:val="24"/>
          <w:szCs w:val="24"/>
          <w:lang w:val="en-US"/>
        </w:rPr>
        <w:t>Striving for the successful operation of enterprises in the current economic conditions requires the enterprise to provide a qualitative system of management accounting, reporting, internal control, the main task of which is to guarantee it a stable position and the formation of a resource potential for the implementation of strategic plans.</w:t>
      </w:r>
    </w:p>
    <w:p w14:paraId="5EF8C494" w14:textId="77777777" w:rsidR="00173C65" w:rsidRPr="00452B5C" w:rsidRDefault="630840AF" w:rsidP="630840AF">
      <w:pPr>
        <w:pStyle w:val="HTML"/>
        <w:shd w:val="clear" w:color="auto" w:fill="FFFFFF" w:themeFill="background1"/>
        <w:ind w:firstLine="709"/>
        <w:jc w:val="both"/>
        <w:rPr>
          <w:rFonts w:ascii="Times New Roman" w:hAnsi="Times New Roman" w:cs="Times New Roman"/>
          <w:i/>
          <w:iCs/>
          <w:sz w:val="24"/>
          <w:szCs w:val="24"/>
          <w:lang w:val="en-US"/>
        </w:rPr>
      </w:pPr>
      <w:r w:rsidRPr="630840AF">
        <w:rPr>
          <w:rFonts w:ascii="Times New Roman" w:hAnsi="Times New Roman" w:cs="Times New Roman"/>
          <w:b/>
          <w:bCs/>
          <w:i/>
          <w:iCs/>
          <w:sz w:val="24"/>
          <w:szCs w:val="24"/>
          <w:lang w:val="en-US"/>
        </w:rPr>
        <w:t>Keywords:</w:t>
      </w:r>
      <w:r w:rsidRPr="630840AF">
        <w:rPr>
          <w:rFonts w:ascii="Times New Roman" w:hAnsi="Times New Roman" w:cs="Times New Roman"/>
          <w:i/>
          <w:iCs/>
          <w:sz w:val="24"/>
          <w:szCs w:val="24"/>
          <w:lang w:val="en-US"/>
        </w:rPr>
        <w:t xml:space="preserve"> business entities, balanced scorecard, balance criteria, Russian and foreign experience, accounting and financial reporting.</w:t>
      </w:r>
    </w:p>
    <w:p w14:paraId="47CE7A2C" w14:textId="77777777" w:rsidR="00173C65" w:rsidRPr="00452B5C" w:rsidRDefault="00173C65" w:rsidP="00173C65">
      <w:pPr>
        <w:pStyle w:val="a9"/>
        <w:shd w:val="clear" w:color="auto" w:fill="FFFFFF"/>
        <w:spacing w:before="0" w:beforeAutospacing="0" w:after="0" w:afterAutospacing="0"/>
        <w:jc w:val="both"/>
        <w:rPr>
          <w:lang w:val="en-US"/>
        </w:rPr>
      </w:pPr>
    </w:p>
    <w:p w14:paraId="4908FA81"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Проблема большинства предприятий в управлении эффективностью связана с тем, что они рассчитывают и анализируют слишком большое количество показателей и только небольшая их часть может показать реальную финансовую эффективность организации. В этой связи в современных условиях нахождение оптимального количества показателей, характеризующих эффективность управления реализацией продукции, становится особенно актуальным.</w:t>
      </w:r>
    </w:p>
    <w:p w14:paraId="1460F141"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xml:space="preserve">Для решения вышеизложенной проблемы российские и зарубежные ученые-экономисты и практики предлагают использовать современный метод управления, ставший в последнее время популярный в нашей стране - </w:t>
      </w:r>
      <w:r w:rsidRPr="630840AF">
        <w:rPr>
          <w:i/>
          <w:iCs/>
          <w:color w:val="000000" w:themeColor="text1"/>
        </w:rPr>
        <w:t>сбалансированная система показателей (ССП)</w:t>
      </w:r>
      <w:r w:rsidRPr="630840AF">
        <w:rPr>
          <w:color w:val="000000" w:themeColor="text1"/>
        </w:rPr>
        <w:t>.</w:t>
      </w:r>
    </w:p>
    <w:p w14:paraId="35648B5C" w14:textId="77777777" w:rsidR="00173C65" w:rsidRPr="00452B5C" w:rsidRDefault="00173C65" w:rsidP="00173C65">
      <w:pPr>
        <w:pStyle w:val="a9"/>
        <w:widowControl w:val="0"/>
        <w:shd w:val="clear" w:color="auto" w:fill="FFFFFF"/>
        <w:spacing w:before="0" w:beforeAutospacing="0" w:after="0" w:afterAutospacing="0"/>
        <w:ind w:firstLine="851"/>
        <w:jc w:val="both"/>
        <w:rPr>
          <w:color w:val="000000" w:themeColor="text1"/>
        </w:rPr>
      </w:pPr>
      <w:r w:rsidRPr="00452B5C">
        <w:rPr>
          <w:color w:val="000000" w:themeColor="text1"/>
        </w:rPr>
        <w:t>Данный метод разработан профессорами Р. Капланом и Д. Нортоном. В экономической литературе встречается огромное количество вариантов перевода оригинального американского названия «</w:t>
      </w:r>
      <w:r w:rsidRPr="00452B5C">
        <w:rPr>
          <w:color w:val="000000" w:themeColor="text1"/>
          <w:lang w:val="en-US"/>
        </w:rPr>
        <w:t>BalancedScorecard</w:t>
      </w:r>
      <w:r w:rsidRPr="00452B5C">
        <w:rPr>
          <w:color w:val="000000" w:themeColor="text1"/>
        </w:rPr>
        <w:t xml:space="preserve">»: «Сбалансированная система оценочных показателей», «Карта бальных оценок», «Сбалансированная система оценочных показателей», «Карта сбалансированных показателей», «Сбалансированный счет очков», «Ведомости сбалансированных показателей» и т.д. В своей работе предлагаем использовать </w:t>
      </w:r>
      <w:r w:rsidRPr="00452B5C">
        <w:rPr>
          <w:color w:val="000000" w:themeColor="text1"/>
        </w:rPr>
        <w:lastRenderedPageBreak/>
        <w:t>наиболее приемлемый вариант перевода-сбалансированная система показателей.</w:t>
      </w:r>
    </w:p>
    <w:p w14:paraId="1981A16A" w14:textId="77777777" w:rsidR="00173C65" w:rsidRPr="00452B5C" w:rsidRDefault="630840AF" w:rsidP="630840AF">
      <w:pPr>
        <w:pStyle w:val="a9"/>
        <w:widowControl w:val="0"/>
        <w:shd w:val="clear" w:color="auto" w:fill="FFFFFF" w:themeFill="background1"/>
        <w:spacing w:before="0" w:beforeAutospacing="0" w:after="0" w:afterAutospacing="0"/>
        <w:ind w:firstLine="851"/>
        <w:jc w:val="both"/>
        <w:rPr>
          <w:color w:val="000000" w:themeColor="text1"/>
        </w:rPr>
      </w:pPr>
      <w:r w:rsidRPr="630840AF">
        <w:rPr>
          <w:color w:val="000000" w:themeColor="text1"/>
        </w:rPr>
        <w:t>Система сбалансированных показателей представляет собой не что иное, как систему управления предприятием, связывающую общие стратегические ориентиры предприятия с его оперативными функциями и возможностью оперативного контроля за реализацией долгосрочных и среднесрочных целей организации на основе систематического анализа комплексных показателей. Основными преимуществами ССП являются возможности постоянного измерения и корректировки деятельности всей организации по достижению своих стратегических ориентиров за счет структурного подхода к формированию показателей управления предприятием и их сбалансированности.</w:t>
      </w:r>
    </w:p>
    <w:p w14:paraId="632CD522"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Более того, ССП можно с уверенностью назвать историей стратегии организации, т.к. она возникает в процессе постановки долгосрочных ориентиров, формирующих основные цели компании, которые, в свою очередь, перетекают в определенный алгоритм взаимосвязанных действий для достижения желаемого результата.</w:t>
      </w:r>
    </w:p>
    <w:p w14:paraId="795AFC4F"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По мнению экономистов Д. Нортона и Р. Каплана, система сбалансированных показателей есть сочетание объективных результатов и субъективных параметров потенциального роста. Более того, в описании системы сбалансированных показателей авторы отмечают факт того, что она раздвигает горизонт целей далеко за пределы только финансовых показателей каждого предприятия. В данном случае происходит сочетание финансовых показателей и перспектив краткосрочных и долгосрочных проектов с качественными характеристиками вовлеченных участников процесса создания стоимости.</w:t>
      </w:r>
    </w:p>
    <w:p w14:paraId="75051AEA"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Говоря об определении термина системы сбалансированных показателей, выделении ее основных преимуществ, стоит отметить, что она неоднократно рассматривалась и анализировалась в трудах отечественных и зарубежных авторов.</w:t>
      </w:r>
    </w:p>
    <w:p w14:paraId="09EA35A9" w14:textId="77777777" w:rsidR="00173C65" w:rsidRPr="00452B5C" w:rsidRDefault="00173C65" w:rsidP="00173C65">
      <w:pPr>
        <w:pStyle w:val="a9"/>
        <w:shd w:val="clear" w:color="auto" w:fill="FFFFFF"/>
        <w:spacing w:before="0" w:beforeAutospacing="0" w:after="0" w:afterAutospacing="0"/>
        <w:ind w:firstLine="851"/>
        <w:jc w:val="both"/>
        <w:rPr>
          <w:color w:val="000000" w:themeColor="text1"/>
        </w:rPr>
      </w:pPr>
      <w:r w:rsidRPr="00452B5C">
        <w:rPr>
          <w:color w:val="000000" w:themeColor="text1"/>
        </w:rPr>
        <w:t>В целом, среди авторов присутствует определенный плюрализм мнений, который можно обобщенно разбить на две группы. Экспертов, которые рассматривают систему сбалансированных показателей как систему управления, можно отнести к первой группе. Здесь можно выделить таких известных экономистов, как Д. Нортон, Р. Каплан, П.Р. Нивен, X. Рамперсад и С. Силбигер. На основе анализа и обобщения трудов данных автором можно систематизировать ряд основных характеристик ССП, а именно:</w:t>
      </w:r>
    </w:p>
    <w:p w14:paraId="252178C1"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система в оперативном режиме позволяет эффективно оценивать и оптимизировать хозяйственную деятельность организации в целом;</w:t>
      </w:r>
    </w:p>
    <w:p w14:paraId="76E62A87"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концептуальным базисом является информация, доступная всем иерархическим слоям организации;</w:t>
      </w:r>
    </w:p>
    <w:p w14:paraId="4225C225"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основные показатели системы определяются общей стратегией компании;</w:t>
      </w:r>
    </w:p>
    <w:p w14:paraId="697EF2D2"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основные финансовые и иные параметры системы представляют собой баланс между внутренними бизнес-процессами и внешними выходными данными;</w:t>
      </w:r>
    </w:p>
    <w:p w14:paraId="7B6730A7"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основным отличием ССП от других систем управления является наличие обратной по стратегическим вопросам.</w:t>
      </w:r>
    </w:p>
    <w:p w14:paraId="07E2412C"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Ко второй группе экспертов, рассматривающих ССП как систему, обеспечивающую процесс управления информацией, следует относить В.П. Фомина и участников Института профессиональных бухгалтеров США.</w:t>
      </w:r>
    </w:p>
    <w:p w14:paraId="0090FF44"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Институт профессиональных бухгалтеров США рассматривает ССП как подход, обеспечивающий руководство предприятия информацией, необходимой для определения стратегической политики и целей его функционирования.</w:t>
      </w:r>
    </w:p>
    <w:p w14:paraId="497EC2B5" w14:textId="77777777" w:rsidR="00173C65" w:rsidRPr="00452B5C" w:rsidRDefault="00173C65" w:rsidP="00173C65">
      <w:pPr>
        <w:pStyle w:val="a9"/>
        <w:shd w:val="clear" w:color="auto" w:fill="FFFFFF"/>
        <w:spacing w:before="0" w:beforeAutospacing="0" w:after="0" w:afterAutospacing="0"/>
        <w:ind w:firstLine="851"/>
        <w:jc w:val="both"/>
        <w:rPr>
          <w:color w:val="000000" w:themeColor="text1"/>
        </w:rPr>
      </w:pPr>
      <w:r w:rsidRPr="00452B5C">
        <w:rPr>
          <w:color w:val="000000" w:themeColor="text1"/>
        </w:rPr>
        <w:t xml:space="preserve">Известный российский экономист В.П. Фомин отмечает, что само понятие сбалансированности используется довольно давно, но преимущественно в макроэкономическом контексте.На уровне экономики хозяйствующих субъектов показатели сбалансированности применяются для оценки общего состояния хозяйствующих субъектов, анализа перспектив рациональности вариантов развития производства, в оценке состояния и эффективности использования производственного потенциала. </w:t>
      </w:r>
    </w:p>
    <w:p w14:paraId="5EA248C0" w14:textId="77777777" w:rsidR="00173C65" w:rsidRPr="00452B5C" w:rsidRDefault="630840AF" w:rsidP="630840AF">
      <w:pPr>
        <w:pStyle w:val="a9"/>
        <w:widowControl w:val="0"/>
        <w:shd w:val="clear" w:color="auto" w:fill="FFFFFF" w:themeFill="background1"/>
        <w:spacing w:before="0" w:beforeAutospacing="0" w:after="0" w:afterAutospacing="0"/>
        <w:ind w:firstLine="851"/>
        <w:jc w:val="both"/>
        <w:rPr>
          <w:color w:val="000000" w:themeColor="text1"/>
        </w:rPr>
      </w:pPr>
      <w:r w:rsidRPr="630840AF">
        <w:rPr>
          <w:color w:val="000000" w:themeColor="text1"/>
        </w:rPr>
        <w:t>На основе изучения российского и зарубежного опыта можно выделить ряд принципов построения сбалансированной системы показателей на предприятии:</w:t>
      </w:r>
    </w:p>
    <w:p w14:paraId="49749365" w14:textId="77777777" w:rsidR="00173C65" w:rsidRPr="00452B5C" w:rsidRDefault="630840AF" w:rsidP="630840AF">
      <w:pPr>
        <w:pStyle w:val="a9"/>
        <w:widowControl w:val="0"/>
        <w:shd w:val="clear" w:color="auto" w:fill="FFFFFF" w:themeFill="background1"/>
        <w:spacing w:before="0" w:beforeAutospacing="0" w:after="0" w:afterAutospacing="0"/>
        <w:ind w:firstLine="851"/>
        <w:jc w:val="both"/>
        <w:rPr>
          <w:color w:val="000000" w:themeColor="text1"/>
        </w:rPr>
      </w:pPr>
      <w:r w:rsidRPr="630840AF">
        <w:rPr>
          <w:color w:val="000000" w:themeColor="text1"/>
        </w:rPr>
        <w:lastRenderedPageBreak/>
        <w:t>- при разработке и формировании стратегии компании необходим охват всех ключевых факторов успеха организации. При этом должна учитываться обязательная взаимосвязь всех основных показателей, используемых при анализе и оценке ключевых аспектов деятельности;</w:t>
      </w:r>
    </w:p>
    <w:p w14:paraId="18E452B5"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на всех участках и во всех структурных подразделениях компании должна присутствовать однозначность трактовки содержания и методик расчета основных показателей;</w:t>
      </w:r>
    </w:p>
    <w:p w14:paraId="05599D92"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необходимость в наличии простоты при расчете показателей, а также возможность сравнения показателей (сопоставимость данных);</w:t>
      </w:r>
    </w:p>
    <w:p w14:paraId="53DDAE96"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 должна присутствовать экономическая обоснованность расчета показателей.</w:t>
      </w:r>
    </w:p>
    <w:p w14:paraId="06B50675" w14:textId="77777777" w:rsidR="00173C65" w:rsidRPr="00452B5C" w:rsidRDefault="00173C65" w:rsidP="00173C65">
      <w:pPr>
        <w:spacing w:after="0" w:line="240" w:lineRule="auto"/>
        <w:ind w:firstLine="851"/>
        <w:jc w:val="both"/>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 xml:space="preserve">Система сбалансированных показателей является инновационной схемой, которая, сохраняя основные финансовые параметры, включает в сферу исследования показатели стратегического развития предприятия, а также оценочные индикаторы ее финансового состояния в будущем с учетом перспектив. </w:t>
      </w:r>
    </w:p>
    <w:p w14:paraId="6D14D04E" w14:textId="77777777" w:rsidR="00173C65" w:rsidRPr="00452B5C" w:rsidRDefault="00173C65" w:rsidP="00173C65">
      <w:pPr>
        <w:spacing w:after="0" w:line="240" w:lineRule="auto"/>
        <w:ind w:firstLine="851"/>
        <w:jc w:val="both"/>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Сбалансированность показателей предприятий как сложное явление структурируется по уровням и видам. Первый уровень сбалансированности заключается в рациональном обосновании калькуляционной единицы и позволяет установить альтернативность затрат. На последующих уровнях формируются затраты, себестоимость, финансовые результаты. Каждый последующий уровень считается достигнутым, когда фактически определена стоимость бизнеса предприятия в целом. В связи с тем, что к процессу управления хозяйствующими субъектами предъявляются повышенные требования, это приводит к разделению процесса управления на материализованный уровень и уровень, относящийся к виртуальным расчетам и решениям (рис. 1).</w:t>
      </w:r>
    </w:p>
    <w:p w14:paraId="2C7DA92C" w14:textId="77777777" w:rsidR="00173C65" w:rsidRPr="00B407BE" w:rsidRDefault="00173C65" w:rsidP="00173C65">
      <w:pPr>
        <w:spacing w:after="0" w:line="360" w:lineRule="auto"/>
        <w:rPr>
          <w:rFonts w:ascii="Times New Roman" w:hAnsi="Times New Roman" w:cs="Times New Roman"/>
          <w:color w:val="000000" w:themeColor="text1"/>
          <w:sz w:val="20"/>
          <w:szCs w:val="20"/>
        </w:rPr>
      </w:pPr>
      <w:r w:rsidRPr="00B407BE">
        <w:rPr>
          <w:rFonts w:ascii="Times New Roman" w:hAnsi="Times New Roman" w:cs="Times New Roman"/>
          <w:noProof/>
          <w:color w:val="000000" w:themeColor="text1"/>
          <w:sz w:val="20"/>
          <w:szCs w:val="20"/>
          <w:lang w:eastAsia="ru-RU"/>
        </w:rPr>
        <w:drawing>
          <wp:inline distT="0" distB="0" distL="0" distR="0" wp14:anchorId="2C03B8E6" wp14:editId="07777777">
            <wp:extent cx="6000750" cy="484822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7" cstate="print">
                      <a:extLst>
                        <a:ext uri="{28A0092B-C50C-407E-A947-70E740481C1C}">
                          <a14:useLocalDpi xmlns:a14="http://schemas.microsoft.com/office/drawing/2010/main" val="0"/>
                        </a:ext>
                      </a:extLst>
                    </a:blip>
                    <a:srcRect l="25215" t="17432" r="26538" b="18092"/>
                    <a:stretch>
                      <a:fillRect/>
                    </a:stretch>
                  </pic:blipFill>
                  <pic:spPr bwMode="auto">
                    <a:xfrm>
                      <a:off x="0" y="0"/>
                      <a:ext cx="6000750" cy="4848225"/>
                    </a:xfrm>
                    <a:prstGeom prst="rect">
                      <a:avLst/>
                    </a:prstGeom>
                    <a:noFill/>
                    <a:ln>
                      <a:noFill/>
                    </a:ln>
                  </pic:spPr>
                </pic:pic>
              </a:graphicData>
            </a:graphic>
          </wp:inline>
        </w:drawing>
      </w:r>
    </w:p>
    <w:p w14:paraId="76C0E1E3" w14:textId="77777777" w:rsidR="00173C65" w:rsidRPr="00452B5C" w:rsidRDefault="00173C65" w:rsidP="00173C65">
      <w:pPr>
        <w:spacing w:after="120" w:line="240" w:lineRule="auto"/>
        <w:jc w:val="center"/>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lastRenderedPageBreak/>
        <w:t>Рисунок 1 - Основные уровни управления финансово-хозяйственной деятельностью промышленных предприятий</w:t>
      </w:r>
    </w:p>
    <w:p w14:paraId="678B0420" w14:textId="77777777" w:rsidR="00173C65" w:rsidRPr="00452B5C" w:rsidRDefault="00173C65" w:rsidP="00173C65">
      <w:pPr>
        <w:spacing w:after="0" w:line="240" w:lineRule="auto"/>
        <w:ind w:firstLine="851"/>
        <w:jc w:val="both"/>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Уровни и виды сбалансированности показателей можно представить с точки зрения их влияния на достижение поставленных руководством текущих и стратегических целей (рис. 2).</w:t>
      </w:r>
    </w:p>
    <w:p w14:paraId="3F904CCB" w14:textId="77777777" w:rsidR="00173C65" w:rsidRPr="00452B5C" w:rsidRDefault="00173C65" w:rsidP="00173C65">
      <w:pPr>
        <w:spacing w:after="0" w:line="240" w:lineRule="auto"/>
        <w:rPr>
          <w:rFonts w:ascii="Times New Roman" w:hAnsi="Times New Roman" w:cs="Times New Roman"/>
          <w:color w:val="000000" w:themeColor="text1"/>
          <w:sz w:val="24"/>
          <w:szCs w:val="24"/>
        </w:rPr>
      </w:pPr>
      <w:r w:rsidRPr="00452B5C">
        <w:rPr>
          <w:rFonts w:ascii="Times New Roman" w:hAnsi="Times New Roman" w:cs="Times New Roman"/>
          <w:noProof/>
          <w:color w:val="000000" w:themeColor="text1"/>
          <w:sz w:val="24"/>
          <w:szCs w:val="24"/>
          <w:lang w:eastAsia="ru-RU"/>
        </w:rPr>
        <w:drawing>
          <wp:inline distT="0" distB="0" distL="0" distR="0" wp14:anchorId="3701C5F1" wp14:editId="07777777">
            <wp:extent cx="6038850" cy="265747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8" cstate="print">
                      <a:extLst>
                        <a:ext uri="{28A0092B-C50C-407E-A947-70E740481C1C}">
                          <a14:useLocalDpi xmlns:a14="http://schemas.microsoft.com/office/drawing/2010/main" val="0"/>
                        </a:ext>
                      </a:extLst>
                    </a:blip>
                    <a:srcRect l="11362" t="28778" r="8177" b="21692"/>
                    <a:stretch>
                      <a:fillRect/>
                    </a:stretch>
                  </pic:blipFill>
                  <pic:spPr bwMode="auto">
                    <a:xfrm>
                      <a:off x="0" y="0"/>
                      <a:ext cx="6038850" cy="2657475"/>
                    </a:xfrm>
                    <a:prstGeom prst="rect">
                      <a:avLst/>
                    </a:prstGeom>
                    <a:noFill/>
                    <a:ln>
                      <a:noFill/>
                    </a:ln>
                  </pic:spPr>
                </pic:pic>
              </a:graphicData>
            </a:graphic>
          </wp:inline>
        </w:drawing>
      </w:r>
    </w:p>
    <w:p w14:paraId="6B307C7A" w14:textId="77777777" w:rsidR="00173C65" w:rsidRPr="00452B5C" w:rsidRDefault="00173C65" w:rsidP="00173C65">
      <w:pPr>
        <w:spacing w:after="120" w:line="240" w:lineRule="auto"/>
        <w:jc w:val="center"/>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Рисунок 2 - Сочетание уровней и видов сбалансированности при проведении анализа вариантов экономической устойчивости промышленного предприятия</w:t>
      </w:r>
    </w:p>
    <w:p w14:paraId="1C41DDE0" w14:textId="77777777" w:rsidR="00173C65" w:rsidRPr="00452B5C" w:rsidRDefault="00173C65" w:rsidP="00173C65">
      <w:pPr>
        <w:spacing w:after="0" w:line="240" w:lineRule="auto"/>
        <w:ind w:firstLine="851"/>
        <w:jc w:val="both"/>
        <w:rPr>
          <w:rFonts w:ascii="Times New Roman" w:hAnsi="Times New Roman" w:cs="Times New Roman"/>
          <w:color w:val="000000" w:themeColor="text1"/>
          <w:sz w:val="24"/>
          <w:szCs w:val="24"/>
        </w:rPr>
      </w:pPr>
      <w:r w:rsidRPr="00452B5C">
        <w:rPr>
          <w:rFonts w:ascii="Times New Roman" w:hAnsi="Times New Roman" w:cs="Times New Roman"/>
          <w:color w:val="000000" w:themeColor="text1"/>
          <w:sz w:val="24"/>
          <w:szCs w:val="24"/>
        </w:rPr>
        <w:t>Для определения сбалансированности показателей важную роль играют критерии сбалансированности, о которых основоположники системы сбалансированных показателей Д. Нортон и Р. Каплан дают только общее представление.</w:t>
      </w:r>
    </w:p>
    <w:p w14:paraId="055EBBD4" w14:textId="77777777" w:rsidR="00173C65" w:rsidRPr="00452B5C" w:rsidRDefault="630840AF" w:rsidP="630840AF">
      <w:pPr>
        <w:pStyle w:val="a9"/>
        <w:shd w:val="clear" w:color="auto" w:fill="FFFFFF" w:themeFill="background1"/>
        <w:spacing w:before="0" w:beforeAutospacing="0" w:after="0" w:afterAutospacing="0"/>
        <w:ind w:firstLine="851"/>
        <w:jc w:val="both"/>
        <w:rPr>
          <w:color w:val="000000" w:themeColor="text1"/>
        </w:rPr>
      </w:pPr>
      <w:r w:rsidRPr="630840AF">
        <w:rPr>
          <w:color w:val="000000" w:themeColor="text1"/>
        </w:rPr>
        <w:t>На основании вышеизложенного можно сделать определенный вывод, что система сбалансированных показателей обеспечивает менеджмент компании аналитическими данными для формирования информации по достижению планируемых результатов хозяйственной деятельности организации. В основу этого положено четкое видение и понимание целей и задач организации и, немаловажно, методов и инструментов по их реализации на практике. Систематический мониторинг и оценка показателей всей системы позволяет сотрудникам принимать качественные решения на всех этапах производства, реализации, а в отдельных случаях и сервисного обслуживания продукции. Здесь можно с уверенностью заявить, что ССП является целой базой управленческих методик с индикативной системой, показывающей отклонения в различных текущих ситуациях от запланированных показателей, с возможностью своевременного принятия управленческих решений по управлению хозяйственной деятельностью организации.</w:t>
      </w:r>
    </w:p>
    <w:p w14:paraId="15B09048" w14:textId="77777777" w:rsidR="00173C65" w:rsidRPr="00452B5C" w:rsidRDefault="630840AF" w:rsidP="630840AF">
      <w:pPr>
        <w:pStyle w:val="a9"/>
        <w:shd w:val="clear" w:color="auto" w:fill="FFFFFF" w:themeFill="background1"/>
        <w:spacing w:before="0" w:beforeAutospacing="0" w:after="0" w:afterAutospacing="0"/>
        <w:jc w:val="both"/>
        <w:rPr>
          <w:color w:val="000000" w:themeColor="text1"/>
        </w:rPr>
      </w:pPr>
      <w:r w:rsidRPr="630840AF">
        <w:rPr>
          <w:color w:val="000000" w:themeColor="text1"/>
        </w:rPr>
        <w:t>__________________________________________________________________________</w:t>
      </w:r>
    </w:p>
    <w:p w14:paraId="040360B8" w14:textId="77777777" w:rsidR="00173C65" w:rsidRPr="00452B5C" w:rsidRDefault="00173C65" w:rsidP="00173C65">
      <w:pPr>
        <w:pStyle w:val="a9"/>
        <w:shd w:val="clear" w:color="auto" w:fill="FFFFFF"/>
        <w:spacing w:before="0" w:beforeAutospacing="0" w:after="0" w:afterAutospacing="0"/>
        <w:jc w:val="both"/>
        <w:rPr>
          <w:color w:val="000000" w:themeColor="text1"/>
        </w:rPr>
      </w:pPr>
    </w:p>
    <w:p w14:paraId="07E109FA" w14:textId="77777777" w:rsidR="00173C65" w:rsidRPr="00452B5C" w:rsidRDefault="00173C65" w:rsidP="00202D58">
      <w:pPr>
        <w:numPr>
          <w:ilvl w:val="0"/>
          <w:numId w:val="4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Бесхмельницына С.Н. Формирование сбалансированных показателей деятельности предприятия в системе управленческого учета и отчетности: автореф. дис. ... канд. экон. наук. Орел: ФГБОУ ВПО «Гос- университет – УНПК», 2014. 24 с.</w:t>
      </w:r>
    </w:p>
    <w:p w14:paraId="204213B2" w14:textId="77777777" w:rsidR="00173C65" w:rsidRPr="00452B5C" w:rsidRDefault="00173C65" w:rsidP="00202D58">
      <w:pPr>
        <w:numPr>
          <w:ilvl w:val="0"/>
          <w:numId w:val="4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Салюков В.Н. Сбалансированная система показателей как эффективный метод управления реализацией продукции // Российское предпринимательство. – 2014. – Том 15. – № 15. – С. 39-46.</w:t>
      </w:r>
    </w:p>
    <w:p w14:paraId="4ADC152B" w14:textId="77777777" w:rsidR="00173C65" w:rsidRPr="00452B5C" w:rsidRDefault="00173C65" w:rsidP="00202D58">
      <w:pPr>
        <w:numPr>
          <w:ilvl w:val="0"/>
          <w:numId w:val="4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Система сбалансированных показателей BSC [Электронный ресурс]. – Режим доступа: http://www.mrcb.ru/?8483</w:t>
      </w:r>
    </w:p>
    <w:p w14:paraId="1C26EA55" w14:textId="77777777" w:rsidR="00173C65" w:rsidRPr="00452B5C" w:rsidRDefault="00173C65" w:rsidP="00202D58">
      <w:pPr>
        <w:numPr>
          <w:ilvl w:val="0"/>
          <w:numId w:val="4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Сбалансированная Система Показателей (ССП) [Электронный ресурс]. – Режим доступа: </w:t>
      </w:r>
      <w:hyperlink r:id="rId59" w:history="1">
        <w:r w:rsidRPr="00452B5C">
          <w:rPr>
            <w:rFonts w:ascii="Times New Roman" w:eastAsia="Times New Roman" w:hAnsi="Times New Roman" w:cs="Times New Roman"/>
            <w:sz w:val="24"/>
            <w:szCs w:val="24"/>
            <w:lang w:eastAsia="ru-RU"/>
          </w:rPr>
          <w:t>http://www.sgqconsulting.ru/systema-pokazateley.htm</w:t>
        </w:r>
      </w:hyperlink>
    </w:p>
    <w:p w14:paraId="17A1CA98" w14:textId="77777777" w:rsidR="00B407BE" w:rsidRPr="00452B5C" w:rsidRDefault="00B407BE" w:rsidP="00173C65">
      <w:pPr>
        <w:spacing w:line="240" w:lineRule="auto"/>
        <w:rPr>
          <w:rFonts w:ascii="Times New Roman" w:hAnsi="Times New Roman" w:cs="Times New Roman"/>
          <w:b/>
          <w:bCs/>
          <w:sz w:val="24"/>
          <w:szCs w:val="24"/>
        </w:rPr>
      </w:pPr>
    </w:p>
    <w:p w14:paraId="42CE4380" w14:textId="77777777" w:rsidR="00173C65" w:rsidRPr="00452B5C" w:rsidRDefault="00173C65" w:rsidP="00173C65">
      <w:pPr>
        <w:spacing w:line="240" w:lineRule="auto"/>
        <w:rPr>
          <w:rFonts w:ascii="Times New Roman" w:hAnsi="Times New Roman" w:cs="Times New Roman"/>
          <w:b/>
          <w:bCs/>
          <w:sz w:val="24"/>
          <w:szCs w:val="24"/>
        </w:rPr>
      </w:pPr>
      <w:r w:rsidRPr="00452B5C">
        <w:rPr>
          <w:rFonts w:ascii="Times New Roman" w:hAnsi="Times New Roman" w:cs="Times New Roman"/>
          <w:b/>
          <w:bCs/>
          <w:sz w:val="24"/>
          <w:szCs w:val="24"/>
        </w:rPr>
        <w:t>Рубрика:</w:t>
      </w:r>
      <w:r w:rsidRPr="00452B5C">
        <w:rPr>
          <w:rFonts w:ascii="Times New Roman" w:hAnsi="Times New Roman" w:cs="Times New Roman"/>
          <w:b/>
          <w:sz w:val="24"/>
          <w:szCs w:val="24"/>
        </w:rPr>
        <w:t xml:space="preserve"> </w:t>
      </w:r>
      <w:r w:rsidRPr="00452B5C">
        <w:rPr>
          <w:rFonts w:ascii="Times New Roman" w:hAnsi="Times New Roman" w:cs="Times New Roman"/>
          <w:b/>
          <w:bCs/>
          <w:sz w:val="24"/>
          <w:szCs w:val="24"/>
        </w:rPr>
        <w:t>08.00.12 Бухгалтерский учёт, статистика</w:t>
      </w:r>
    </w:p>
    <w:p w14:paraId="3E39F2CB" w14:textId="77777777" w:rsidR="00173C65" w:rsidRPr="00452B5C" w:rsidRDefault="00173C65" w:rsidP="00173C65">
      <w:pPr>
        <w:spacing w:line="240" w:lineRule="auto"/>
        <w:rPr>
          <w:rFonts w:ascii="Times New Roman" w:hAnsi="Times New Roman" w:cs="Times New Roman"/>
          <w:bCs/>
          <w:sz w:val="24"/>
          <w:szCs w:val="24"/>
        </w:rPr>
      </w:pPr>
      <w:r w:rsidRPr="00452B5C">
        <w:rPr>
          <w:rFonts w:ascii="Times New Roman" w:hAnsi="Times New Roman" w:cs="Times New Roman"/>
          <w:bCs/>
          <w:sz w:val="24"/>
          <w:szCs w:val="24"/>
        </w:rPr>
        <w:lastRenderedPageBreak/>
        <w:t>УДК 338:504</w:t>
      </w:r>
    </w:p>
    <w:p w14:paraId="256A855F" w14:textId="77777777" w:rsidR="00173C65" w:rsidRPr="00452B5C" w:rsidRDefault="008249EF" w:rsidP="00173C65">
      <w:pPr>
        <w:spacing w:line="240" w:lineRule="auto"/>
        <w:jc w:val="center"/>
        <w:rPr>
          <w:rFonts w:ascii="Times New Roman" w:hAnsi="Times New Roman" w:cs="Times New Roman"/>
          <w:bCs/>
          <w:sz w:val="24"/>
          <w:szCs w:val="24"/>
        </w:rPr>
      </w:pPr>
      <w:r w:rsidRPr="00452B5C">
        <w:rPr>
          <w:rFonts w:ascii="Times New Roman" w:hAnsi="Times New Roman" w:cs="Times New Roman"/>
          <w:b/>
          <w:bCs/>
          <w:sz w:val="24"/>
          <w:szCs w:val="24"/>
        </w:rPr>
        <w:t>СТАТИСТИЧЕСКИЙ АНАЛИЗ ВЫБРОСОВ И УЛАВЛИВАНИЯ ЗАГРЯЗНЯЮЩИХ ВЕЩЕСТВ В АТМОСФЕРУ ОТ СТАЦИОНАРНЫХ ПРОИЗВОДСТВ (НА ПРИМЕРЕ ПРИМОРСКОГО КРАЯ)</w:t>
      </w:r>
    </w:p>
    <w:p w14:paraId="5BDB419C" w14:textId="77777777" w:rsidR="008249EF" w:rsidRPr="00452B5C" w:rsidRDefault="00173C65" w:rsidP="008249EF">
      <w:pPr>
        <w:spacing w:after="0" w:line="240" w:lineRule="auto"/>
        <w:jc w:val="center"/>
        <w:rPr>
          <w:rFonts w:ascii="Times New Roman" w:hAnsi="Times New Roman" w:cs="Times New Roman"/>
          <w:b/>
          <w:bCs/>
          <w:sz w:val="24"/>
          <w:szCs w:val="24"/>
        </w:rPr>
      </w:pPr>
      <w:r w:rsidRPr="00452B5C">
        <w:rPr>
          <w:rFonts w:ascii="Times New Roman" w:hAnsi="Times New Roman" w:cs="Times New Roman"/>
          <w:b/>
          <w:bCs/>
          <w:sz w:val="24"/>
          <w:szCs w:val="24"/>
        </w:rPr>
        <w:t>Чистякова Анна Юрьевна,</w:t>
      </w:r>
    </w:p>
    <w:p w14:paraId="344452DD" w14:textId="77777777" w:rsidR="00173C65" w:rsidRPr="00452B5C" w:rsidRDefault="00173C65" w:rsidP="008249EF">
      <w:pPr>
        <w:spacing w:after="0" w:line="240" w:lineRule="auto"/>
        <w:jc w:val="center"/>
        <w:rPr>
          <w:rFonts w:ascii="Times New Roman" w:hAnsi="Times New Roman" w:cs="Times New Roman"/>
          <w:bCs/>
          <w:sz w:val="24"/>
          <w:szCs w:val="24"/>
        </w:rPr>
      </w:pPr>
      <w:r w:rsidRPr="00452B5C">
        <w:rPr>
          <w:rFonts w:ascii="Times New Roman" w:hAnsi="Times New Roman" w:cs="Times New Roman"/>
          <w:bCs/>
          <w:sz w:val="24"/>
          <w:szCs w:val="24"/>
        </w:rPr>
        <w:t xml:space="preserve"> бакалавр</w:t>
      </w:r>
    </w:p>
    <w:p w14:paraId="1A55251A" w14:textId="77777777" w:rsidR="008249EF" w:rsidRPr="00452B5C" w:rsidRDefault="008249EF" w:rsidP="008249EF">
      <w:pPr>
        <w:spacing w:after="0" w:line="240" w:lineRule="auto"/>
        <w:jc w:val="center"/>
        <w:rPr>
          <w:rFonts w:ascii="Times New Roman" w:hAnsi="Times New Roman" w:cs="Times New Roman"/>
          <w:bCs/>
          <w:sz w:val="24"/>
          <w:szCs w:val="24"/>
        </w:rPr>
      </w:pPr>
    </w:p>
    <w:p w14:paraId="3770B678" w14:textId="77777777" w:rsidR="008249EF" w:rsidRPr="00452B5C" w:rsidRDefault="00173C65" w:rsidP="008249EF">
      <w:pPr>
        <w:spacing w:after="0" w:line="240" w:lineRule="auto"/>
        <w:jc w:val="center"/>
        <w:rPr>
          <w:rFonts w:ascii="Times New Roman" w:hAnsi="Times New Roman" w:cs="Times New Roman"/>
          <w:b/>
          <w:bCs/>
          <w:sz w:val="24"/>
          <w:szCs w:val="24"/>
        </w:rPr>
      </w:pPr>
      <w:r w:rsidRPr="00452B5C">
        <w:rPr>
          <w:rFonts w:ascii="Times New Roman" w:hAnsi="Times New Roman" w:cs="Times New Roman"/>
          <w:b/>
          <w:bCs/>
          <w:sz w:val="24"/>
          <w:szCs w:val="24"/>
        </w:rPr>
        <w:t>Толкачёва Кристина Викторовна,</w:t>
      </w:r>
    </w:p>
    <w:p w14:paraId="6969C3DB" w14:textId="77777777" w:rsidR="00173C65" w:rsidRPr="00452B5C" w:rsidRDefault="00173C65" w:rsidP="008249EF">
      <w:pPr>
        <w:spacing w:after="0" w:line="240" w:lineRule="auto"/>
        <w:jc w:val="center"/>
        <w:rPr>
          <w:rFonts w:ascii="Times New Roman" w:hAnsi="Times New Roman" w:cs="Times New Roman"/>
          <w:bCs/>
          <w:sz w:val="24"/>
          <w:szCs w:val="24"/>
        </w:rPr>
      </w:pPr>
      <w:r w:rsidRPr="00452B5C">
        <w:rPr>
          <w:rFonts w:ascii="Times New Roman" w:hAnsi="Times New Roman" w:cs="Times New Roman"/>
          <w:bCs/>
          <w:sz w:val="24"/>
          <w:szCs w:val="24"/>
        </w:rPr>
        <w:t xml:space="preserve"> бакалавр</w:t>
      </w:r>
    </w:p>
    <w:p w14:paraId="4F6D2C48" w14:textId="77777777" w:rsidR="008249EF" w:rsidRPr="00452B5C" w:rsidRDefault="008249EF" w:rsidP="00173C65">
      <w:pPr>
        <w:spacing w:line="240" w:lineRule="auto"/>
        <w:jc w:val="center"/>
        <w:rPr>
          <w:rFonts w:ascii="Times New Roman" w:hAnsi="Times New Roman" w:cs="Times New Roman"/>
          <w:bCs/>
          <w:i/>
          <w:sz w:val="24"/>
          <w:szCs w:val="24"/>
        </w:rPr>
      </w:pPr>
    </w:p>
    <w:p w14:paraId="3233B250" w14:textId="77777777" w:rsidR="00173C65" w:rsidRPr="00452B5C" w:rsidRDefault="00173C65" w:rsidP="008249EF">
      <w:pPr>
        <w:spacing w:after="0" w:line="240" w:lineRule="auto"/>
        <w:jc w:val="center"/>
        <w:rPr>
          <w:rFonts w:ascii="Times New Roman" w:hAnsi="Times New Roman" w:cs="Times New Roman"/>
          <w:bCs/>
          <w:i/>
          <w:sz w:val="24"/>
          <w:szCs w:val="24"/>
        </w:rPr>
      </w:pPr>
      <w:r w:rsidRPr="00452B5C">
        <w:rPr>
          <w:rFonts w:ascii="Times New Roman" w:hAnsi="Times New Roman" w:cs="Times New Roman"/>
          <w:bCs/>
          <w:i/>
          <w:sz w:val="24"/>
          <w:szCs w:val="24"/>
        </w:rPr>
        <w:t>Владивостокский государственный университет экономики и сервиса</w:t>
      </w:r>
    </w:p>
    <w:p w14:paraId="7FB9ED7C" w14:textId="77777777" w:rsidR="008249EF" w:rsidRPr="00452B5C" w:rsidRDefault="008249EF" w:rsidP="008249EF">
      <w:pPr>
        <w:spacing w:after="0" w:line="240" w:lineRule="auto"/>
        <w:jc w:val="center"/>
        <w:rPr>
          <w:rFonts w:ascii="Times New Roman" w:hAnsi="Times New Roman" w:cs="Times New Roman"/>
          <w:bCs/>
          <w:i/>
          <w:sz w:val="24"/>
          <w:szCs w:val="24"/>
        </w:rPr>
      </w:pPr>
      <w:r w:rsidRPr="00452B5C">
        <w:rPr>
          <w:rFonts w:ascii="Times New Roman" w:hAnsi="Times New Roman" w:cs="Times New Roman"/>
          <w:bCs/>
          <w:i/>
          <w:sz w:val="24"/>
          <w:szCs w:val="24"/>
        </w:rPr>
        <w:t>Россия. Владивосток</w:t>
      </w:r>
    </w:p>
    <w:p w14:paraId="31F27C88" w14:textId="77777777" w:rsidR="008249EF" w:rsidRPr="00452B5C" w:rsidRDefault="008249EF" w:rsidP="008249EF">
      <w:pPr>
        <w:spacing w:after="0" w:line="240" w:lineRule="auto"/>
        <w:jc w:val="center"/>
        <w:rPr>
          <w:rFonts w:ascii="Times New Roman" w:hAnsi="Times New Roman" w:cs="Times New Roman"/>
          <w:bCs/>
          <w:i/>
          <w:sz w:val="24"/>
          <w:szCs w:val="24"/>
        </w:rPr>
      </w:pPr>
    </w:p>
    <w:p w14:paraId="7D779D90" w14:textId="77777777" w:rsidR="00173C65" w:rsidRPr="00452B5C" w:rsidRDefault="00173C65" w:rsidP="008249EF">
      <w:pPr>
        <w:spacing w:after="0" w:line="240" w:lineRule="auto"/>
        <w:jc w:val="center"/>
        <w:rPr>
          <w:rFonts w:ascii="Times New Roman" w:hAnsi="Times New Roman" w:cs="Times New Roman"/>
          <w:bCs/>
          <w:color w:val="000000" w:themeColor="text1"/>
          <w:sz w:val="24"/>
          <w:szCs w:val="24"/>
        </w:rPr>
      </w:pPr>
      <w:r w:rsidRPr="00452B5C">
        <w:rPr>
          <w:rFonts w:ascii="Times New Roman" w:hAnsi="Times New Roman" w:cs="Times New Roman"/>
          <w:bCs/>
          <w:color w:val="000000" w:themeColor="text1"/>
          <w:sz w:val="24"/>
          <w:szCs w:val="24"/>
          <w:lang w:val="en-US"/>
        </w:rPr>
        <w:t>E</w:t>
      </w:r>
      <w:r w:rsidRPr="00452B5C">
        <w:rPr>
          <w:rFonts w:ascii="Times New Roman" w:hAnsi="Times New Roman" w:cs="Times New Roman"/>
          <w:bCs/>
          <w:color w:val="000000" w:themeColor="text1"/>
          <w:sz w:val="24"/>
          <w:szCs w:val="24"/>
        </w:rPr>
        <w:t>-</w:t>
      </w:r>
      <w:r w:rsidRPr="00452B5C">
        <w:rPr>
          <w:rFonts w:ascii="Times New Roman" w:hAnsi="Times New Roman" w:cs="Times New Roman"/>
          <w:bCs/>
          <w:color w:val="000000" w:themeColor="text1"/>
          <w:sz w:val="24"/>
          <w:szCs w:val="24"/>
          <w:lang w:val="en-US"/>
        </w:rPr>
        <w:t>mail</w:t>
      </w:r>
      <w:r w:rsidRPr="00452B5C">
        <w:rPr>
          <w:rFonts w:ascii="Times New Roman" w:hAnsi="Times New Roman" w:cs="Times New Roman"/>
          <w:bCs/>
          <w:color w:val="000000" w:themeColor="text1"/>
          <w:sz w:val="24"/>
          <w:szCs w:val="24"/>
        </w:rPr>
        <w:t xml:space="preserve">: </w:t>
      </w:r>
      <w:hyperlink r:id="rId60" w:history="1">
        <w:r w:rsidRPr="00452B5C">
          <w:rPr>
            <w:rStyle w:val="a4"/>
            <w:rFonts w:ascii="Times New Roman" w:hAnsi="Times New Roman" w:cs="Times New Roman"/>
            <w:bCs/>
            <w:color w:val="000000" w:themeColor="text1"/>
            <w:sz w:val="24"/>
            <w:szCs w:val="24"/>
            <w:lang w:val="en-US"/>
          </w:rPr>
          <w:t>anna</w:t>
        </w:r>
        <w:r w:rsidRPr="00452B5C">
          <w:rPr>
            <w:rStyle w:val="a4"/>
            <w:rFonts w:ascii="Times New Roman" w:hAnsi="Times New Roman" w:cs="Times New Roman"/>
            <w:bCs/>
            <w:color w:val="000000" w:themeColor="text1"/>
            <w:sz w:val="24"/>
            <w:szCs w:val="24"/>
          </w:rPr>
          <w:t>.</w:t>
        </w:r>
        <w:r w:rsidRPr="00452B5C">
          <w:rPr>
            <w:rStyle w:val="a4"/>
            <w:rFonts w:ascii="Times New Roman" w:hAnsi="Times New Roman" w:cs="Times New Roman"/>
            <w:bCs/>
            <w:color w:val="000000" w:themeColor="text1"/>
            <w:sz w:val="24"/>
            <w:szCs w:val="24"/>
            <w:lang w:val="en-US"/>
          </w:rPr>
          <w:t>chist</w:t>
        </w:r>
        <w:r w:rsidRPr="00452B5C">
          <w:rPr>
            <w:rStyle w:val="a4"/>
            <w:rFonts w:ascii="Times New Roman" w:hAnsi="Times New Roman" w:cs="Times New Roman"/>
            <w:bCs/>
            <w:color w:val="000000" w:themeColor="text1"/>
            <w:sz w:val="24"/>
            <w:szCs w:val="24"/>
          </w:rPr>
          <w:t>.98@</w:t>
        </w:r>
        <w:r w:rsidRPr="00452B5C">
          <w:rPr>
            <w:rStyle w:val="a4"/>
            <w:rFonts w:ascii="Times New Roman" w:hAnsi="Times New Roman" w:cs="Times New Roman"/>
            <w:bCs/>
            <w:color w:val="000000" w:themeColor="text1"/>
            <w:sz w:val="24"/>
            <w:szCs w:val="24"/>
            <w:lang w:val="en-US"/>
          </w:rPr>
          <w:t>mail</w:t>
        </w:r>
        <w:r w:rsidRPr="00452B5C">
          <w:rPr>
            <w:rStyle w:val="a4"/>
            <w:rFonts w:ascii="Times New Roman" w:hAnsi="Times New Roman" w:cs="Times New Roman"/>
            <w:bCs/>
            <w:color w:val="000000" w:themeColor="text1"/>
            <w:sz w:val="24"/>
            <w:szCs w:val="24"/>
          </w:rPr>
          <w:t>.</w:t>
        </w:r>
        <w:r w:rsidRPr="00452B5C">
          <w:rPr>
            <w:rStyle w:val="a4"/>
            <w:rFonts w:ascii="Times New Roman" w:hAnsi="Times New Roman" w:cs="Times New Roman"/>
            <w:bCs/>
            <w:color w:val="000000" w:themeColor="text1"/>
            <w:sz w:val="24"/>
            <w:szCs w:val="24"/>
            <w:lang w:val="en-US"/>
          </w:rPr>
          <w:t>ru</w:t>
        </w:r>
      </w:hyperlink>
      <w:r w:rsidRPr="00452B5C">
        <w:rPr>
          <w:rFonts w:ascii="Times New Roman" w:hAnsi="Times New Roman" w:cs="Times New Roman"/>
          <w:bCs/>
          <w:color w:val="000000" w:themeColor="text1"/>
          <w:sz w:val="24"/>
          <w:szCs w:val="24"/>
        </w:rPr>
        <w:t>; Тел. +79241264133</w:t>
      </w:r>
    </w:p>
    <w:p w14:paraId="34364854" w14:textId="77777777" w:rsidR="00173C65" w:rsidRPr="00452B5C" w:rsidRDefault="00173C65" w:rsidP="008249EF">
      <w:pPr>
        <w:spacing w:after="0" w:line="240" w:lineRule="auto"/>
        <w:jc w:val="center"/>
        <w:rPr>
          <w:rFonts w:ascii="Times New Roman" w:hAnsi="Times New Roman" w:cs="Times New Roman"/>
          <w:bCs/>
          <w:color w:val="000000" w:themeColor="text1"/>
          <w:sz w:val="24"/>
          <w:szCs w:val="24"/>
        </w:rPr>
      </w:pPr>
      <w:r w:rsidRPr="00452B5C">
        <w:rPr>
          <w:rFonts w:ascii="Times New Roman" w:hAnsi="Times New Roman" w:cs="Times New Roman"/>
          <w:bCs/>
          <w:color w:val="000000" w:themeColor="text1"/>
          <w:sz w:val="24"/>
          <w:szCs w:val="24"/>
          <w:lang w:val="en-US"/>
        </w:rPr>
        <w:t>E</w:t>
      </w:r>
      <w:r w:rsidRPr="009C350E">
        <w:rPr>
          <w:rFonts w:ascii="Times New Roman" w:hAnsi="Times New Roman" w:cs="Times New Roman"/>
          <w:bCs/>
          <w:color w:val="000000" w:themeColor="text1"/>
          <w:sz w:val="24"/>
          <w:szCs w:val="24"/>
        </w:rPr>
        <w:t>-</w:t>
      </w:r>
      <w:r w:rsidRPr="00452B5C">
        <w:rPr>
          <w:rFonts w:ascii="Times New Roman" w:hAnsi="Times New Roman" w:cs="Times New Roman"/>
          <w:bCs/>
          <w:color w:val="000000" w:themeColor="text1"/>
          <w:sz w:val="24"/>
          <w:szCs w:val="24"/>
          <w:lang w:val="en-US"/>
        </w:rPr>
        <w:t>mail</w:t>
      </w:r>
      <w:r w:rsidRPr="009C350E">
        <w:rPr>
          <w:rFonts w:ascii="Times New Roman" w:hAnsi="Times New Roman" w:cs="Times New Roman"/>
          <w:bCs/>
          <w:color w:val="000000" w:themeColor="text1"/>
          <w:sz w:val="24"/>
          <w:szCs w:val="24"/>
        </w:rPr>
        <w:t xml:space="preserve">: </w:t>
      </w:r>
      <w:r w:rsidRPr="00452B5C">
        <w:rPr>
          <w:rFonts w:ascii="Times New Roman" w:hAnsi="Times New Roman" w:cs="Times New Roman"/>
          <w:bCs/>
          <w:color w:val="000000" w:themeColor="text1"/>
          <w:sz w:val="24"/>
          <w:szCs w:val="24"/>
          <w:lang w:val="en-US"/>
        </w:rPr>
        <w:t>kris</w:t>
      </w:r>
      <w:r w:rsidRPr="009C350E">
        <w:rPr>
          <w:rFonts w:ascii="Times New Roman" w:hAnsi="Times New Roman" w:cs="Times New Roman"/>
          <w:bCs/>
          <w:color w:val="000000" w:themeColor="text1"/>
          <w:sz w:val="24"/>
          <w:szCs w:val="24"/>
        </w:rPr>
        <w:t>.</w:t>
      </w:r>
      <w:r w:rsidRPr="00452B5C">
        <w:rPr>
          <w:rFonts w:ascii="Times New Roman" w:hAnsi="Times New Roman" w:cs="Times New Roman"/>
          <w:bCs/>
          <w:color w:val="000000" w:themeColor="text1"/>
          <w:sz w:val="24"/>
          <w:szCs w:val="24"/>
          <w:lang w:val="en-US"/>
        </w:rPr>
        <w:t>pawlenko</w:t>
      </w:r>
      <w:r w:rsidRPr="009C350E">
        <w:rPr>
          <w:rFonts w:ascii="Times New Roman" w:hAnsi="Times New Roman" w:cs="Times New Roman"/>
          <w:bCs/>
          <w:color w:val="000000" w:themeColor="text1"/>
          <w:sz w:val="24"/>
          <w:szCs w:val="24"/>
        </w:rPr>
        <w:t>2016@</w:t>
      </w:r>
      <w:r w:rsidRPr="00452B5C">
        <w:rPr>
          <w:rFonts w:ascii="Times New Roman" w:hAnsi="Times New Roman" w:cs="Times New Roman"/>
          <w:bCs/>
          <w:color w:val="000000" w:themeColor="text1"/>
          <w:sz w:val="24"/>
          <w:szCs w:val="24"/>
          <w:lang w:val="en-US"/>
        </w:rPr>
        <w:t>yandex</w:t>
      </w:r>
      <w:r w:rsidRPr="009C350E">
        <w:rPr>
          <w:rFonts w:ascii="Times New Roman" w:hAnsi="Times New Roman" w:cs="Times New Roman"/>
          <w:bCs/>
          <w:color w:val="000000" w:themeColor="text1"/>
          <w:sz w:val="24"/>
          <w:szCs w:val="24"/>
        </w:rPr>
        <w:t>.</w:t>
      </w:r>
      <w:r w:rsidRPr="00452B5C">
        <w:rPr>
          <w:rFonts w:ascii="Times New Roman" w:hAnsi="Times New Roman" w:cs="Times New Roman"/>
          <w:bCs/>
          <w:color w:val="000000" w:themeColor="text1"/>
          <w:sz w:val="24"/>
          <w:szCs w:val="24"/>
          <w:lang w:val="en-US"/>
        </w:rPr>
        <w:t>ru</w:t>
      </w:r>
      <w:r w:rsidRPr="009C350E">
        <w:rPr>
          <w:rFonts w:ascii="Times New Roman" w:hAnsi="Times New Roman" w:cs="Times New Roman"/>
          <w:bCs/>
          <w:color w:val="000000" w:themeColor="text1"/>
          <w:sz w:val="24"/>
          <w:szCs w:val="24"/>
        </w:rPr>
        <w:t xml:space="preserve">; </w:t>
      </w:r>
      <w:r w:rsidRPr="00452B5C">
        <w:rPr>
          <w:rFonts w:ascii="Times New Roman" w:hAnsi="Times New Roman" w:cs="Times New Roman"/>
          <w:bCs/>
          <w:color w:val="000000" w:themeColor="text1"/>
          <w:sz w:val="24"/>
          <w:szCs w:val="24"/>
        </w:rPr>
        <w:t>Тел</w:t>
      </w:r>
      <w:r w:rsidRPr="009C350E">
        <w:rPr>
          <w:rFonts w:ascii="Times New Roman" w:hAnsi="Times New Roman" w:cs="Times New Roman"/>
          <w:bCs/>
          <w:color w:val="000000" w:themeColor="text1"/>
          <w:sz w:val="24"/>
          <w:szCs w:val="24"/>
        </w:rPr>
        <w:t xml:space="preserve">. </w:t>
      </w:r>
      <w:r w:rsidRPr="00452B5C">
        <w:rPr>
          <w:rFonts w:ascii="Times New Roman" w:hAnsi="Times New Roman" w:cs="Times New Roman"/>
          <w:bCs/>
          <w:color w:val="000000" w:themeColor="text1"/>
          <w:sz w:val="24"/>
          <w:szCs w:val="24"/>
        </w:rPr>
        <w:t>+79940055286</w:t>
      </w:r>
    </w:p>
    <w:p w14:paraId="79B88F8C" w14:textId="77777777" w:rsidR="008249EF" w:rsidRPr="00452B5C" w:rsidRDefault="008249EF" w:rsidP="00173C65">
      <w:pPr>
        <w:spacing w:line="240" w:lineRule="auto"/>
        <w:ind w:firstLine="709"/>
        <w:jc w:val="both"/>
        <w:rPr>
          <w:rFonts w:ascii="Times New Roman" w:hAnsi="Times New Roman" w:cs="Times New Roman"/>
          <w:bCs/>
          <w:i/>
          <w:sz w:val="24"/>
          <w:szCs w:val="24"/>
        </w:rPr>
      </w:pPr>
    </w:p>
    <w:p w14:paraId="145239C0" w14:textId="77777777" w:rsidR="00173C65" w:rsidRPr="00452B5C" w:rsidRDefault="00173C65" w:rsidP="008249EF">
      <w:pPr>
        <w:spacing w:after="0" w:line="240" w:lineRule="auto"/>
        <w:ind w:firstLine="709"/>
        <w:jc w:val="both"/>
        <w:rPr>
          <w:rFonts w:ascii="Times New Roman" w:hAnsi="Times New Roman" w:cs="Times New Roman"/>
          <w:bCs/>
          <w:i/>
          <w:sz w:val="24"/>
          <w:szCs w:val="24"/>
        </w:rPr>
      </w:pPr>
      <w:r w:rsidRPr="00452B5C">
        <w:rPr>
          <w:rFonts w:ascii="Times New Roman" w:hAnsi="Times New Roman" w:cs="Times New Roman"/>
          <w:bCs/>
          <w:i/>
          <w:sz w:val="24"/>
          <w:szCs w:val="24"/>
        </w:rPr>
        <w:t>Тема данной работы актуальна, так как в Приморском крае существует множество производств, загрязняющих атмосферу. Мы сравнили показатели Приморского края с показателями Российской Федерации, а также с показателями других объектов Дальневосточного федерального округа. На основе проведённого анализа были сделаны выводы о влиянии выбросов Приморского края на атмосферу и о предпринимаемых мерах очищения атмосферного воздуха. Кроме того, в данной статье предложены меры по очищению воздуха и предотвращению его загрязнения.</w:t>
      </w:r>
    </w:p>
    <w:p w14:paraId="145C11DD" w14:textId="77777777" w:rsidR="00452B5C" w:rsidRDefault="00452B5C" w:rsidP="008249EF">
      <w:pPr>
        <w:spacing w:after="0" w:line="240" w:lineRule="auto"/>
        <w:jc w:val="both"/>
        <w:rPr>
          <w:rFonts w:ascii="Times New Roman" w:hAnsi="Times New Roman" w:cs="Times New Roman"/>
          <w:b/>
          <w:bCs/>
          <w:i/>
          <w:sz w:val="24"/>
          <w:szCs w:val="24"/>
        </w:rPr>
      </w:pPr>
    </w:p>
    <w:p w14:paraId="2CEBA6C4" w14:textId="77777777" w:rsidR="00173C65" w:rsidRPr="00452B5C" w:rsidRDefault="00173C65" w:rsidP="00452B5C">
      <w:pPr>
        <w:spacing w:after="0" w:line="240" w:lineRule="auto"/>
        <w:ind w:firstLine="708"/>
        <w:jc w:val="both"/>
        <w:rPr>
          <w:rFonts w:ascii="Times New Roman" w:hAnsi="Times New Roman" w:cs="Times New Roman"/>
          <w:bCs/>
          <w:i/>
          <w:sz w:val="24"/>
          <w:szCs w:val="24"/>
        </w:rPr>
      </w:pPr>
      <w:r w:rsidRPr="00452B5C">
        <w:rPr>
          <w:rFonts w:ascii="Times New Roman" w:hAnsi="Times New Roman" w:cs="Times New Roman"/>
          <w:b/>
          <w:bCs/>
          <w:i/>
          <w:sz w:val="24"/>
          <w:szCs w:val="24"/>
        </w:rPr>
        <w:t>Ключевые слова и словосочетания:</w:t>
      </w:r>
      <w:r w:rsidRPr="00452B5C">
        <w:rPr>
          <w:rFonts w:ascii="Times New Roman" w:hAnsi="Times New Roman" w:cs="Times New Roman"/>
          <w:bCs/>
          <w:sz w:val="24"/>
          <w:szCs w:val="24"/>
        </w:rPr>
        <w:t xml:space="preserve"> </w:t>
      </w:r>
      <w:r w:rsidRPr="00452B5C">
        <w:rPr>
          <w:rFonts w:ascii="Times New Roman" w:hAnsi="Times New Roman" w:cs="Times New Roman"/>
          <w:bCs/>
          <w:i/>
          <w:sz w:val="24"/>
          <w:szCs w:val="24"/>
        </w:rPr>
        <w:t>выбросы, атмосфера, Приморский край, загрязняющие вещества, уловленные вещества</w:t>
      </w:r>
    </w:p>
    <w:p w14:paraId="6B40E7A7" w14:textId="77777777" w:rsidR="008249EF" w:rsidRPr="00452B5C" w:rsidRDefault="008249EF" w:rsidP="00173C6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color w:val="212121"/>
          <w:sz w:val="24"/>
          <w:szCs w:val="24"/>
          <w:lang w:eastAsia="ru-RU"/>
        </w:rPr>
      </w:pPr>
    </w:p>
    <w:p w14:paraId="186C966F" w14:textId="77777777" w:rsidR="00173C65" w:rsidRPr="00452B5C"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color w:val="212121"/>
          <w:sz w:val="24"/>
          <w:szCs w:val="24"/>
          <w:lang w:val="en-US" w:eastAsia="ru-RU"/>
        </w:rPr>
      </w:pPr>
      <w:r w:rsidRPr="630840AF">
        <w:rPr>
          <w:rFonts w:ascii="Times New Roman" w:hAnsi="Times New Roman" w:cs="Times New Roman"/>
          <w:b/>
          <w:bCs/>
          <w:color w:val="212121"/>
          <w:sz w:val="24"/>
          <w:szCs w:val="24"/>
          <w:lang w:val="en-US" w:eastAsia="ru-RU"/>
        </w:rPr>
        <w:t>STATISTICAL ANALYSIS OF EMISSIONS AND CAPTURE OF POLLUTANTS INTO THE ATMOSPHERE FROM STATIONARY INDUSTRIES (FOR EXAMPLE, PRIMORSKY KRAI).</w:t>
      </w:r>
    </w:p>
    <w:p w14:paraId="3FFF7D4A" w14:textId="77777777" w:rsidR="00173C65" w:rsidRPr="00452B5C" w:rsidRDefault="00173C65" w:rsidP="00173C6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212121"/>
          <w:sz w:val="24"/>
          <w:szCs w:val="24"/>
          <w:shd w:val="clear" w:color="auto" w:fill="FFFFFF"/>
          <w:lang w:val="en-US"/>
        </w:rPr>
      </w:pPr>
    </w:p>
    <w:p w14:paraId="6B71E125" w14:textId="77777777" w:rsidR="00173C65" w:rsidRPr="00452B5C" w:rsidRDefault="00173C65" w:rsidP="008249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i/>
          <w:color w:val="000000" w:themeColor="text1"/>
          <w:sz w:val="24"/>
          <w:szCs w:val="24"/>
          <w:shd w:val="clear" w:color="auto" w:fill="FFFFFF"/>
          <w:lang w:val="en-US"/>
        </w:rPr>
      </w:pPr>
      <w:r w:rsidRPr="00452B5C">
        <w:rPr>
          <w:rFonts w:ascii="Times New Roman" w:hAnsi="Times New Roman" w:cs="Times New Roman"/>
          <w:i/>
          <w:color w:val="000000" w:themeColor="text1"/>
          <w:sz w:val="24"/>
          <w:szCs w:val="24"/>
          <w:shd w:val="clear" w:color="auto" w:fill="FFFFFF"/>
          <w:lang w:val="en-US"/>
        </w:rPr>
        <w:t>The topic of this work is relevant, since in the Primorsky Territory there are many industries that pollute the atmosphere. We compared the indicators of Primorsky Krai with the indicators of the Russian Federation, as well as with indicators of other objects of the Far Eastern Federal District. Based on the analysis, conclusions were drawn about the impact of emissions from the Primorsky Krai on the atmosphere and on measures taken to clean air. In addition, this article proposes measures to clean air and prevent its contamination.</w:t>
      </w:r>
    </w:p>
    <w:p w14:paraId="287B69A3" w14:textId="77777777" w:rsidR="00452B5C" w:rsidRPr="000B1300" w:rsidRDefault="00452B5C" w:rsidP="00173C65">
      <w:pPr>
        <w:pStyle w:val="HTML"/>
        <w:shd w:val="clear" w:color="auto" w:fill="FFFFFF"/>
        <w:ind w:firstLine="709"/>
        <w:jc w:val="both"/>
        <w:rPr>
          <w:rFonts w:ascii="Times New Roman" w:hAnsi="Times New Roman" w:cs="Times New Roman"/>
          <w:b/>
          <w:i/>
          <w:color w:val="000000" w:themeColor="text1"/>
          <w:sz w:val="24"/>
          <w:szCs w:val="24"/>
          <w:lang w:val="en-US"/>
        </w:rPr>
      </w:pPr>
    </w:p>
    <w:p w14:paraId="048E62AC" w14:textId="77777777" w:rsidR="00173C65" w:rsidRPr="00452B5C" w:rsidRDefault="00173C65" w:rsidP="00173C65">
      <w:pPr>
        <w:pStyle w:val="HTML"/>
        <w:shd w:val="clear" w:color="auto" w:fill="FFFFFF"/>
        <w:ind w:firstLine="709"/>
        <w:jc w:val="both"/>
        <w:rPr>
          <w:rFonts w:ascii="Times New Roman" w:hAnsi="Times New Roman" w:cs="Times New Roman"/>
          <w:i/>
          <w:color w:val="000000" w:themeColor="text1"/>
          <w:sz w:val="24"/>
          <w:szCs w:val="24"/>
          <w:lang w:val="en-US"/>
        </w:rPr>
      </w:pPr>
      <w:r w:rsidRPr="00452B5C">
        <w:rPr>
          <w:rFonts w:ascii="Times New Roman" w:hAnsi="Times New Roman" w:cs="Times New Roman"/>
          <w:b/>
          <w:i/>
          <w:color w:val="000000" w:themeColor="text1"/>
          <w:sz w:val="24"/>
          <w:szCs w:val="24"/>
          <w:lang w:val="en-US"/>
        </w:rPr>
        <w:t>Keywords</w:t>
      </w:r>
      <w:r w:rsidRPr="00452B5C">
        <w:rPr>
          <w:rFonts w:ascii="Times New Roman" w:hAnsi="Times New Roman" w:cs="Times New Roman"/>
          <w:i/>
          <w:color w:val="000000" w:themeColor="text1"/>
          <w:sz w:val="24"/>
          <w:szCs w:val="24"/>
          <w:lang w:val="en-US"/>
        </w:rPr>
        <w:t>: emissions, atmosphere, Primorsky Krai, pollutants, trapped substances.</w:t>
      </w:r>
    </w:p>
    <w:p w14:paraId="63A0829D" w14:textId="77777777" w:rsidR="00173C65" w:rsidRPr="00452B5C" w:rsidRDefault="00173C65" w:rsidP="00173C65">
      <w:pPr>
        <w:pStyle w:val="HTML"/>
        <w:shd w:val="clear" w:color="auto" w:fill="FFFFFF"/>
        <w:jc w:val="both"/>
        <w:rPr>
          <w:rFonts w:ascii="Times New Roman" w:hAnsi="Times New Roman" w:cs="Times New Roman"/>
          <w:color w:val="212121"/>
          <w:sz w:val="24"/>
          <w:szCs w:val="24"/>
          <w:lang w:val="en-US"/>
        </w:rPr>
      </w:pPr>
    </w:p>
    <w:p w14:paraId="3467CB95"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 xml:space="preserve">В России ведётся постоянный мониторинг состава атмосферных взвесей в крупных городах, на техногенно-загрязнённых территориях и в заповедниках. Однако определённый интерес представляют средние и малые (по численности населения) населённые пункты, а также территории, на которых проживает небольшое количество людей. Проведённые исследования показывают, что атмосфера даже небольших городов и посёлков может содержать опасные для здоровья человека микрочастицы и потенциально опасные в значимых долях, причиной чему служат работающие на угле котельные.[2, </w:t>
      </w:r>
      <w:r w:rsidRPr="00452B5C">
        <w:rPr>
          <w:rFonts w:ascii="Times New Roman" w:hAnsi="Times New Roman" w:cs="Times New Roman"/>
          <w:bCs/>
          <w:sz w:val="24"/>
          <w:szCs w:val="24"/>
          <w:lang w:val="en-US"/>
        </w:rPr>
        <w:t>c</w:t>
      </w:r>
      <w:r w:rsidRPr="00452B5C">
        <w:rPr>
          <w:rFonts w:ascii="Times New Roman" w:hAnsi="Times New Roman" w:cs="Times New Roman"/>
          <w:bCs/>
          <w:sz w:val="24"/>
          <w:szCs w:val="24"/>
        </w:rPr>
        <w:t xml:space="preserve">.1] Токсиканты, поступающие в организм человека ингаляционным путём, действуют на него в 80-100 раз сильнее, чем при поступлении через желудочно-кишечный тракт. Данная опасность </w:t>
      </w:r>
      <w:r w:rsidRPr="00452B5C">
        <w:rPr>
          <w:rFonts w:ascii="Times New Roman" w:hAnsi="Times New Roman" w:cs="Times New Roman"/>
          <w:bCs/>
          <w:sz w:val="24"/>
          <w:szCs w:val="24"/>
        </w:rPr>
        <w:lastRenderedPageBreak/>
        <w:t>прослеживается специалистами через наиболее высокие показатели рисков заболеваемости в городах. Это относится и к ряду городов Приморья. [4, с.1] Всё это вызывает ощутимые экономические потери как со стороны государства и работодатели, так и со стороны работающих граждан. Таким образом, сегодня невозможно не учитывать влияние экологической обстановки на здоровье и работоспособность трудящихся.[3, с.1]</w:t>
      </w:r>
    </w:p>
    <w:p w14:paraId="018BCAD8"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Нашей целью является разработка мер по улавливанию загрязняющих атмосферу веществ.</w:t>
      </w:r>
    </w:p>
    <w:p w14:paraId="62B57187"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Задачи, поставленные для выполнения этой цели следующие: изучение данной проблемы, её анализ и формулировка выводов.</w:t>
      </w:r>
    </w:p>
    <w:p w14:paraId="4B359AE2"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Количество выбросов в атмосферу в Российской Федерации с 2012 года по 2016 год постепенно снижалось. Если в 2012 году в атмосферу было выброшено 19600 тысяч тонн, то в 2016 году этот показатель снизился на 2300 тысяч тонн и составил 17300 тысяч тонн. Исходя из этих данных, можно сделать вывод, что с каждым годом количество атмосферных выбросов уменьшается, что благоприятно влияет на окружающую среду и на здоровье населения. Кроме того, в 2012-2016 годах улавливалось существенно большее количество загрязняющих веществ, но негативную роль играет то, что количество улавливаемых веществ уменьшается. Показатель на 2012 год составил 56800 тысяч тонн, а на 2016 год уже 49200 тысяч тонн. То есть в 2016 году количество уловленных загрязняющих веществ уменьшилось на 7600 тысяч тонн, что, естественно, оказывает плохое влияние на окружающую среду.</w:t>
      </w:r>
    </w:p>
    <w:p w14:paraId="39CA8924" w14:textId="77777777" w:rsidR="008249EF" w:rsidRPr="00452B5C" w:rsidRDefault="008249EF" w:rsidP="00173C65">
      <w:pPr>
        <w:spacing w:after="0" w:line="240" w:lineRule="auto"/>
        <w:ind w:firstLine="709"/>
        <w:rPr>
          <w:rFonts w:ascii="Times New Roman" w:hAnsi="Times New Roman" w:cs="Times New Roman"/>
          <w:bCs/>
          <w:i/>
          <w:sz w:val="24"/>
          <w:szCs w:val="24"/>
        </w:rPr>
      </w:pPr>
    </w:p>
    <w:p w14:paraId="7727EB86" w14:textId="77777777" w:rsidR="00173C65" w:rsidRPr="00452B5C" w:rsidRDefault="00173C65" w:rsidP="00B7659B">
      <w:pPr>
        <w:pStyle w:val="afa"/>
        <w:rPr>
          <w:rFonts w:cs="Times New Roman"/>
          <w:sz w:val="24"/>
          <w:szCs w:val="24"/>
        </w:rPr>
      </w:pPr>
      <w:r w:rsidRPr="00452B5C">
        <w:rPr>
          <w:rFonts w:cs="Times New Roman"/>
          <w:sz w:val="24"/>
          <w:szCs w:val="24"/>
        </w:rPr>
        <w:t>Таблица 1</w:t>
      </w:r>
    </w:p>
    <w:p w14:paraId="101C0542" w14:textId="77777777" w:rsidR="00173C65" w:rsidRPr="00452B5C" w:rsidRDefault="00173C65" w:rsidP="00173C65">
      <w:pPr>
        <w:spacing w:after="0" w:line="240" w:lineRule="auto"/>
        <w:ind w:firstLine="709"/>
        <w:jc w:val="center"/>
        <w:rPr>
          <w:rFonts w:ascii="Times New Roman" w:hAnsi="Times New Roman" w:cs="Times New Roman"/>
          <w:b/>
          <w:bCs/>
          <w:sz w:val="24"/>
          <w:szCs w:val="24"/>
        </w:rPr>
      </w:pPr>
      <w:r w:rsidRPr="00452B5C">
        <w:rPr>
          <w:rFonts w:ascii="Times New Roman" w:hAnsi="Times New Roman" w:cs="Times New Roman"/>
          <w:b/>
          <w:bCs/>
          <w:sz w:val="24"/>
          <w:szCs w:val="24"/>
        </w:rPr>
        <w:t>Выброшенные и уловленные загрязняющие вещества в Российской Федерации, тыс. тонн</w:t>
      </w:r>
    </w:p>
    <w:tbl>
      <w:tblPr>
        <w:tblW w:w="8499" w:type="dxa"/>
        <w:tblInd w:w="93" w:type="dxa"/>
        <w:tblLook w:val="04A0" w:firstRow="1" w:lastRow="0" w:firstColumn="1" w:lastColumn="0" w:noHBand="0" w:noVBand="1"/>
      </w:tblPr>
      <w:tblGrid>
        <w:gridCol w:w="3843"/>
        <w:gridCol w:w="816"/>
        <w:gridCol w:w="960"/>
        <w:gridCol w:w="960"/>
        <w:gridCol w:w="960"/>
        <w:gridCol w:w="960"/>
      </w:tblGrid>
      <w:tr w:rsidR="00173C65" w:rsidRPr="00452B5C" w14:paraId="723BBA29" w14:textId="77777777" w:rsidTr="00A57174">
        <w:trPr>
          <w:trHeight w:val="300"/>
        </w:trPr>
        <w:tc>
          <w:tcPr>
            <w:tcW w:w="3843" w:type="dxa"/>
            <w:tcBorders>
              <w:top w:val="single" w:sz="4" w:space="0" w:color="auto"/>
              <w:left w:val="single" w:sz="4" w:space="0" w:color="auto"/>
              <w:bottom w:val="single" w:sz="4" w:space="0" w:color="auto"/>
              <w:right w:val="single" w:sz="4" w:space="0" w:color="auto"/>
            </w:tcBorders>
            <w:noWrap/>
            <w:vAlign w:val="bottom"/>
            <w:hideMark/>
          </w:tcPr>
          <w:p w14:paraId="3751300F" w14:textId="77777777" w:rsidR="00173C65" w:rsidRPr="00452B5C" w:rsidRDefault="00173C65" w:rsidP="00A57174">
            <w:pPr>
              <w:spacing w:after="0" w:line="240" w:lineRule="auto"/>
              <w:rPr>
                <w:rFonts w:ascii="Times New Roman" w:hAnsi="Times New Roman" w:cs="Times New Roman"/>
                <w:sz w:val="24"/>
                <w:szCs w:val="24"/>
                <w:lang w:eastAsia="ru-RU"/>
              </w:rPr>
            </w:pPr>
            <w:r w:rsidRPr="00452B5C">
              <w:rPr>
                <w:rFonts w:ascii="Times New Roman" w:hAnsi="Times New Roman" w:cs="Times New Roman"/>
                <w:sz w:val="24"/>
                <w:szCs w:val="24"/>
                <w:lang w:eastAsia="ru-RU"/>
              </w:rPr>
              <w:t> </w:t>
            </w:r>
          </w:p>
        </w:tc>
        <w:tc>
          <w:tcPr>
            <w:tcW w:w="816" w:type="dxa"/>
            <w:tcBorders>
              <w:top w:val="single" w:sz="4" w:space="0" w:color="auto"/>
              <w:left w:val="nil"/>
              <w:bottom w:val="single" w:sz="4" w:space="0" w:color="auto"/>
              <w:right w:val="single" w:sz="4" w:space="0" w:color="auto"/>
            </w:tcBorders>
            <w:noWrap/>
            <w:vAlign w:val="bottom"/>
            <w:hideMark/>
          </w:tcPr>
          <w:p w14:paraId="61FB645C"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2012</w:t>
            </w:r>
          </w:p>
        </w:tc>
        <w:tc>
          <w:tcPr>
            <w:tcW w:w="960" w:type="dxa"/>
            <w:tcBorders>
              <w:top w:val="single" w:sz="4" w:space="0" w:color="auto"/>
              <w:left w:val="nil"/>
              <w:bottom w:val="single" w:sz="4" w:space="0" w:color="auto"/>
              <w:right w:val="single" w:sz="4" w:space="0" w:color="auto"/>
            </w:tcBorders>
            <w:noWrap/>
            <w:vAlign w:val="bottom"/>
            <w:hideMark/>
          </w:tcPr>
          <w:p w14:paraId="0B152896"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2013</w:t>
            </w:r>
          </w:p>
        </w:tc>
        <w:tc>
          <w:tcPr>
            <w:tcW w:w="960" w:type="dxa"/>
            <w:tcBorders>
              <w:top w:val="single" w:sz="4" w:space="0" w:color="auto"/>
              <w:left w:val="nil"/>
              <w:bottom w:val="single" w:sz="4" w:space="0" w:color="auto"/>
              <w:right w:val="single" w:sz="4" w:space="0" w:color="auto"/>
            </w:tcBorders>
            <w:noWrap/>
            <w:vAlign w:val="bottom"/>
            <w:hideMark/>
          </w:tcPr>
          <w:p w14:paraId="52E8559A"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2014</w:t>
            </w:r>
          </w:p>
        </w:tc>
        <w:tc>
          <w:tcPr>
            <w:tcW w:w="960" w:type="dxa"/>
            <w:tcBorders>
              <w:top w:val="single" w:sz="4" w:space="0" w:color="auto"/>
              <w:left w:val="nil"/>
              <w:bottom w:val="single" w:sz="4" w:space="0" w:color="auto"/>
              <w:right w:val="single" w:sz="4" w:space="0" w:color="auto"/>
            </w:tcBorders>
            <w:noWrap/>
            <w:vAlign w:val="bottom"/>
            <w:hideMark/>
          </w:tcPr>
          <w:p w14:paraId="1DA7EB36"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2015</w:t>
            </w:r>
          </w:p>
        </w:tc>
        <w:tc>
          <w:tcPr>
            <w:tcW w:w="960" w:type="dxa"/>
            <w:tcBorders>
              <w:top w:val="single" w:sz="4" w:space="0" w:color="auto"/>
              <w:left w:val="nil"/>
              <w:bottom w:val="single" w:sz="4" w:space="0" w:color="auto"/>
              <w:right w:val="single" w:sz="4" w:space="0" w:color="auto"/>
            </w:tcBorders>
            <w:noWrap/>
            <w:vAlign w:val="bottom"/>
            <w:hideMark/>
          </w:tcPr>
          <w:p w14:paraId="263707DC"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2016</w:t>
            </w:r>
          </w:p>
        </w:tc>
      </w:tr>
      <w:tr w:rsidR="00173C65" w:rsidRPr="00452B5C" w14:paraId="60C6DE63" w14:textId="77777777" w:rsidTr="00A57174">
        <w:trPr>
          <w:trHeight w:val="300"/>
        </w:trPr>
        <w:tc>
          <w:tcPr>
            <w:tcW w:w="3843" w:type="dxa"/>
            <w:tcBorders>
              <w:top w:val="nil"/>
              <w:left w:val="single" w:sz="4" w:space="0" w:color="auto"/>
              <w:bottom w:val="single" w:sz="4" w:space="0" w:color="auto"/>
              <w:right w:val="single" w:sz="4" w:space="0" w:color="auto"/>
            </w:tcBorders>
            <w:noWrap/>
            <w:vAlign w:val="bottom"/>
            <w:hideMark/>
          </w:tcPr>
          <w:p w14:paraId="61D51201" w14:textId="77777777" w:rsidR="00173C65" w:rsidRPr="00452B5C" w:rsidRDefault="00173C65" w:rsidP="00A57174">
            <w:pPr>
              <w:spacing w:after="0" w:line="240" w:lineRule="auto"/>
              <w:rPr>
                <w:rFonts w:ascii="Times New Roman" w:hAnsi="Times New Roman" w:cs="Times New Roman"/>
                <w:sz w:val="24"/>
                <w:szCs w:val="24"/>
                <w:lang w:eastAsia="ru-RU"/>
              </w:rPr>
            </w:pPr>
            <w:r w:rsidRPr="00452B5C">
              <w:rPr>
                <w:rFonts w:ascii="Times New Roman" w:hAnsi="Times New Roman" w:cs="Times New Roman"/>
                <w:sz w:val="24"/>
                <w:szCs w:val="24"/>
                <w:lang w:eastAsia="ru-RU"/>
              </w:rPr>
              <w:t>Выброшенные загрязняющие вещества</w:t>
            </w:r>
          </w:p>
        </w:tc>
        <w:tc>
          <w:tcPr>
            <w:tcW w:w="816" w:type="dxa"/>
            <w:tcBorders>
              <w:top w:val="nil"/>
              <w:left w:val="nil"/>
              <w:bottom w:val="single" w:sz="4" w:space="0" w:color="auto"/>
              <w:right w:val="single" w:sz="4" w:space="0" w:color="auto"/>
            </w:tcBorders>
            <w:noWrap/>
            <w:vAlign w:val="bottom"/>
            <w:hideMark/>
          </w:tcPr>
          <w:p w14:paraId="2C5EEA2E"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19600</w:t>
            </w:r>
          </w:p>
        </w:tc>
        <w:tc>
          <w:tcPr>
            <w:tcW w:w="960" w:type="dxa"/>
            <w:tcBorders>
              <w:top w:val="nil"/>
              <w:left w:val="nil"/>
              <w:bottom w:val="single" w:sz="4" w:space="0" w:color="auto"/>
              <w:right w:val="single" w:sz="4" w:space="0" w:color="auto"/>
            </w:tcBorders>
            <w:noWrap/>
            <w:vAlign w:val="bottom"/>
            <w:hideMark/>
          </w:tcPr>
          <w:p w14:paraId="598DC976"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18400</w:t>
            </w:r>
          </w:p>
        </w:tc>
        <w:tc>
          <w:tcPr>
            <w:tcW w:w="960" w:type="dxa"/>
            <w:tcBorders>
              <w:top w:val="nil"/>
              <w:left w:val="nil"/>
              <w:bottom w:val="single" w:sz="4" w:space="0" w:color="auto"/>
              <w:right w:val="single" w:sz="4" w:space="0" w:color="auto"/>
            </w:tcBorders>
            <w:noWrap/>
            <w:vAlign w:val="bottom"/>
            <w:hideMark/>
          </w:tcPr>
          <w:p w14:paraId="7D6A5CA7"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17500</w:t>
            </w:r>
          </w:p>
        </w:tc>
        <w:tc>
          <w:tcPr>
            <w:tcW w:w="960" w:type="dxa"/>
            <w:tcBorders>
              <w:top w:val="nil"/>
              <w:left w:val="nil"/>
              <w:bottom w:val="single" w:sz="4" w:space="0" w:color="auto"/>
              <w:right w:val="single" w:sz="4" w:space="0" w:color="auto"/>
            </w:tcBorders>
            <w:noWrap/>
            <w:vAlign w:val="bottom"/>
            <w:hideMark/>
          </w:tcPr>
          <w:p w14:paraId="16BD8398"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17300</w:t>
            </w:r>
          </w:p>
        </w:tc>
        <w:tc>
          <w:tcPr>
            <w:tcW w:w="960" w:type="dxa"/>
            <w:tcBorders>
              <w:top w:val="nil"/>
              <w:left w:val="nil"/>
              <w:bottom w:val="single" w:sz="4" w:space="0" w:color="auto"/>
              <w:right w:val="single" w:sz="4" w:space="0" w:color="auto"/>
            </w:tcBorders>
            <w:noWrap/>
            <w:vAlign w:val="bottom"/>
            <w:hideMark/>
          </w:tcPr>
          <w:p w14:paraId="43FB2D01"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17300</w:t>
            </w:r>
          </w:p>
        </w:tc>
      </w:tr>
      <w:tr w:rsidR="00173C65" w:rsidRPr="00452B5C" w14:paraId="37767992" w14:textId="77777777" w:rsidTr="00A57174">
        <w:trPr>
          <w:trHeight w:val="300"/>
        </w:trPr>
        <w:tc>
          <w:tcPr>
            <w:tcW w:w="3843" w:type="dxa"/>
            <w:tcBorders>
              <w:top w:val="nil"/>
              <w:left w:val="single" w:sz="4" w:space="0" w:color="auto"/>
              <w:bottom w:val="single" w:sz="4" w:space="0" w:color="auto"/>
              <w:right w:val="single" w:sz="4" w:space="0" w:color="auto"/>
            </w:tcBorders>
            <w:noWrap/>
            <w:vAlign w:val="bottom"/>
            <w:hideMark/>
          </w:tcPr>
          <w:p w14:paraId="197F9BC6" w14:textId="77777777" w:rsidR="00173C65" w:rsidRPr="00452B5C" w:rsidRDefault="00173C65" w:rsidP="00A57174">
            <w:pPr>
              <w:spacing w:after="0" w:line="240" w:lineRule="auto"/>
              <w:rPr>
                <w:rFonts w:ascii="Times New Roman" w:hAnsi="Times New Roman" w:cs="Times New Roman"/>
                <w:sz w:val="24"/>
                <w:szCs w:val="24"/>
                <w:lang w:eastAsia="ru-RU"/>
              </w:rPr>
            </w:pPr>
            <w:r w:rsidRPr="00452B5C">
              <w:rPr>
                <w:rFonts w:ascii="Times New Roman" w:hAnsi="Times New Roman" w:cs="Times New Roman"/>
                <w:sz w:val="24"/>
                <w:szCs w:val="24"/>
                <w:lang w:eastAsia="ru-RU"/>
              </w:rPr>
              <w:t>Уловленные загрязняющие вещества</w:t>
            </w:r>
          </w:p>
        </w:tc>
        <w:tc>
          <w:tcPr>
            <w:tcW w:w="816" w:type="dxa"/>
            <w:tcBorders>
              <w:top w:val="nil"/>
              <w:left w:val="nil"/>
              <w:bottom w:val="single" w:sz="4" w:space="0" w:color="auto"/>
              <w:right w:val="single" w:sz="4" w:space="0" w:color="auto"/>
            </w:tcBorders>
            <w:noWrap/>
            <w:vAlign w:val="bottom"/>
            <w:hideMark/>
          </w:tcPr>
          <w:p w14:paraId="7B915C12"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56800</w:t>
            </w:r>
          </w:p>
        </w:tc>
        <w:tc>
          <w:tcPr>
            <w:tcW w:w="960" w:type="dxa"/>
            <w:tcBorders>
              <w:top w:val="nil"/>
              <w:left w:val="nil"/>
              <w:bottom w:val="single" w:sz="4" w:space="0" w:color="auto"/>
              <w:right w:val="single" w:sz="4" w:space="0" w:color="auto"/>
            </w:tcBorders>
            <w:noWrap/>
            <w:vAlign w:val="bottom"/>
            <w:hideMark/>
          </w:tcPr>
          <w:p w14:paraId="57601F39"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54400</w:t>
            </w:r>
          </w:p>
        </w:tc>
        <w:tc>
          <w:tcPr>
            <w:tcW w:w="960" w:type="dxa"/>
            <w:tcBorders>
              <w:top w:val="nil"/>
              <w:left w:val="nil"/>
              <w:bottom w:val="single" w:sz="4" w:space="0" w:color="auto"/>
              <w:right w:val="single" w:sz="4" w:space="0" w:color="auto"/>
            </w:tcBorders>
            <w:noWrap/>
            <w:vAlign w:val="bottom"/>
            <w:hideMark/>
          </w:tcPr>
          <w:p w14:paraId="777CB0C5"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54100</w:t>
            </w:r>
          </w:p>
        </w:tc>
        <w:tc>
          <w:tcPr>
            <w:tcW w:w="960" w:type="dxa"/>
            <w:tcBorders>
              <w:top w:val="nil"/>
              <w:left w:val="nil"/>
              <w:bottom w:val="single" w:sz="4" w:space="0" w:color="auto"/>
              <w:right w:val="single" w:sz="4" w:space="0" w:color="auto"/>
            </w:tcBorders>
            <w:noWrap/>
            <w:vAlign w:val="bottom"/>
            <w:hideMark/>
          </w:tcPr>
          <w:p w14:paraId="07E02807"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52000</w:t>
            </w:r>
          </w:p>
        </w:tc>
        <w:tc>
          <w:tcPr>
            <w:tcW w:w="960" w:type="dxa"/>
            <w:tcBorders>
              <w:top w:val="nil"/>
              <w:left w:val="nil"/>
              <w:bottom w:val="single" w:sz="4" w:space="0" w:color="auto"/>
              <w:right w:val="single" w:sz="4" w:space="0" w:color="auto"/>
            </w:tcBorders>
            <w:noWrap/>
            <w:vAlign w:val="bottom"/>
            <w:hideMark/>
          </w:tcPr>
          <w:p w14:paraId="3023242E"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49200</w:t>
            </w:r>
          </w:p>
        </w:tc>
      </w:tr>
    </w:tbl>
    <w:p w14:paraId="1BB6F150"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p>
    <w:p w14:paraId="0A245F8D"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Ситуация в Приморском крае хуже, чем в России, так как показатели в каждом году скачут. Так в 2012 году количество выброшенных веществ составило 209 тысяч тонн, в 2014 – 190, а в 2016 – 186. Оценивая общую картину, можно сказать, что всё же в 2016 году количество вредных выбросов в атмосферу уменьшилось на 23 тысячи тонн по сравнению с 2012 годом. А вот количество уловленных выбросов уменьшилось на 212 тысяч тонн. Следовательно, показатели на 2016 год хуже и, возможно, буж\дут ухудшаться дальше.</w:t>
      </w:r>
    </w:p>
    <w:p w14:paraId="04338875" w14:textId="77777777" w:rsidR="008249EF" w:rsidRPr="00452B5C" w:rsidRDefault="008249EF" w:rsidP="00173C65">
      <w:pPr>
        <w:spacing w:after="0" w:line="240" w:lineRule="auto"/>
        <w:ind w:firstLine="709"/>
        <w:rPr>
          <w:rFonts w:ascii="Times New Roman" w:hAnsi="Times New Roman" w:cs="Times New Roman"/>
          <w:bCs/>
          <w:i/>
          <w:sz w:val="24"/>
          <w:szCs w:val="24"/>
        </w:rPr>
      </w:pPr>
    </w:p>
    <w:p w14:paraId="36DC519A" w14:textId="77777777" w:rsidR="00173C65" w:rsidRPr="00452B5C" w:rsidRDefault="00173C65" w:rsidP="00B7659B">
      <w:pPr>
        <w:pStyle w:val="afa"/>
        <w:rPr>
          <w:rFonts w:cs="Times New Roman"/>
          <w:sz w:val="24"/>
          <w:szCs w:val="24"/>
        </w:rPr>
      </w:pPr>
      <w:r w:rsidRPr="00452B5C">
        <w:rPr>
          <w:rFonts w:cs="Times New Roman"/>
          <w:sz w:val="24"/>
          <w:szCs w:val="24"/>
        </w:rPr>
        <w:t>Таблица 2</w:t>
      </w:r>
    </w:p>
    <w:p w14:paraId="5FEF97F0" w14:textId="77777777" w:rsidR="00173C65" w:rsidRPr="00452B5C" w:rsidRDefault="00173C65" w:rsidP="00173C65">
      <w:pPr>
        <w:spacing w:after="0" w:line="240" w:lineRule="auto"/>
        <w:ind w:firstLine="709"/>
        <w:jc w:val="center"/>
        <w:rPr>
          <w:rFonts w:ascii="Times New Roman" w:hAnsi="Times New Roman" w:cs="Times New Roman"/>
          <w:b/>
          <w:bCs/>
          <w:sz w:val="24"/>
          <w:szCs w:val="24"/>
        </w:rPr>
      </w:pPr>
      <w:r w:rsidRPr="00452B5C">
        <w:rPr>
          <w:rFonts w:ascii="Times New Roman" w:hAnsi="Times New Roman" w:cs="Times New Roman"/>
          <w:b/>
          <w:bCs/>
          <w:sz w:val="24"/>
          <w:szCs w:val="24"/>
        </w:rPr>
        <w:t>Выброшенные и уловленные загрязняющие вещества в Приморском крае, тыс. тонн</w:t>
      </w:r>
    </w:p>
    <w:tbl>
      <w:tblPr>
        <w:tblW w:w="8800" w:type="dxa"/>
        <w:tblInd w:w="93" w:type="dxa"/>
        <w:tblLook w:val="04A0" w:firstRow="1" w:lastRow="0" w:firstColumn="1" w:lastColumn="0" w:noHBand="0" w:noVBand="1"/>
      </w:tblPr>
      <w:tblGrid>
        <w:gridCol w:w="4000"/>
        <w:gridCol w:w="960"/>
        <w:gridCol w:w="960"/>
        <w:gridCol w:w="960"/>
        <w:gridCol w:w="960"/>
        <w:gridCol w:w="960"/>
      </w:tblGrid>
      <w:tr w:rsidR="00173C65" w:rsidRPr="00452B5C" w14:paraId="42D8B1B5" w14:textId="77777777" w:rsidTr="00A57174">
        <w:trPr>
          <w:trHeight w:val="300"/>
        </w:trPr>
        <w:tc>
          <w:tcPr>
            <w:tcW w:w="4000" w:type="dxa"/>
            <w:tcBorders>
              <w:top w:val="single" w:sz="4" w:space="0" w:color="auto"/>
              <w:left w:val="single" w:sz="4" w:space="0" w:color="auto"/>
              <w:bottom w:val="single" w:sz="4" w:space="0" w:color="auto"/>
              <w:right w:val="single" w:sz="4" w:space="0" w:color="auto"/>
            </w:tcBorders>
            <w:noWrap/>
            <w:vAlign w:val="bottom"/>
            <w:hideMark/>
          </w:tcPr>
          <w:p w14:paraId="35F0889A" w14:textId="77777777" w:rsidR="00173C65" w:rsidRPr="00452B5C" w:rsidRDefault="00173C65" w:rsidP="00A57174">
            <w:pPr>
              <w:spacing w:after="0" w:line="240" w:lineRule="auto"/>
              <w:rPr>
                <w:rFonts w:ascii="Times New Roman" w:hAnsi="Times New Roman" w:cs="Times New Roman"/>
                <w:sz w:val="24"/>
                <w:szCs w:val="24"/>
                <w:lang w:eastAsia="ru-RU"/>
              </w:rPr>
            </w:pPr>
            <w:r w:rsidRPr="00452B5C">
              <w:rPr>
                <w:rFonts w:ascii="Times New Roman" w:hAnsi="Times New Roman" w:cs="Times New Roman"/>
                <w:sz w:val="24"/>
                <w:szCs w:val="24"/>
                <w:lang w:eastAsia="ru-RU"/>
              </w:rPr>
              <w:t> </w:t>
            </w:r>
          </w:p>
        </w:tc>
        <w:tc>
          <w:tcPr>
            <w:tcW w:w="960" w:type="dxa"/>
            <w:tcBorders>
              <w:top w:val="single" w:sz="4" w:space="0" w:color="auto"/>
              <w:left w:val="nil"/>
              <w:bottom w:val="single" w:sz="4" w:space="0" w:color="auto"/>
              <w:right w:val="single" w:sz="4" w:space="0" w:color="auto"/>
            </w:tcBorders>
            <w:noWrap/>
            <w:vAlign w:val="bottom"/>
            <w:hideMark/>
          </w:tcPr>
          <w:p w14:paraId="65E0B681"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2012</w:t>
            </w:r>
          </w:p>
        </w:tc>
        <w:tc>
          <w:tcPr>
            <w:tcW w:w="960" w:type="dxa"/>
            <w:tcBorders>
              <w:top w:val="single" w:sz="4" w:space="0" w:color="auto"/>
              <w:left w:val="nil"/>
              <w:bottom w:val="single" w:sz="4" w:space="0" w:color="auto"/>
              <w:right w:val="single" w:sz="4" w:space="0" w:color="auto"/>
            </w:tcBorders>
            <w:noWrap/>
            <w:vAlign w:val="bottom"/>
            <w:hideMark/>
          </w:tcPr>
          <w:p w14:paraId="6A0154E7"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2013</w:t>
            </w:r>
          </w:p>
        </w:tc>
        <w:tc>
          <w:tcPr>
            <w:tcW w:w="960" w:type="dxa"/>
            <w:tcBorders>
              <w:top w:val="single" w:sz="4" w:space="0" w:color="auto"/>
              <w:left w:val="nil"/>
              <w:bottom w:val="single" w:sz="4" w:space="0" w:color="auto"/>
              <w:right w:val="single" w:sz="4" w:space="0" w:color="auto"/>
            </w:tcBorders>
            <w:noWrap/>
            <w:vAlign w:val="bottom"/>
            <w:hideMark/>
          </w:tcPr>
          <w:p w14:paraId="705973C2"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2014</w:t>
            </w:r>
          </w:p>
        </w:tc>
        <w:tc>
          <w:tcPr>
            <w:tcW w:w="960" w:type="dxa"/>
            <w:tcBorders>
              <w:top w:val="single" w:sz="4" w:space="0" w:color="auto"/>
              <w:left w:val="nil"/>
              <w:bottom w:val="single" w:sz="4" w:space="0" w:color="auto"/>
              <w:right w:val="single" w:sz="4" w:space="0" w:color="auto"/>
            </w:tcBorders>
            <w:noWrap/>
            <w:vAlign w:val="bottom"/>
            <w:hideMark/>
          </w:tcPr>
          <w:p w14:paraId="4CBDB531"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2015</w:t>
            </w:r>
          </w:p>
        </w:tc>
        <w:tc>
          <w:tcPr>
            <w:tcW w:w="960" w:type="dxa"/>
            <w:tcBorders>
              <w:top w:val="single" w:sz="4" w:space="0" w:color="auto"/>
              <w:left w:val="nil"/>
              <w:bottom w:val="single" w:sz="4" w:space="0" w:color="auto"/>
              <w:right w:val="single" w:sz="4" w:space="0" w:color="auto"/>
            </w:tcBorders>
            <w:noWrap/>
            <w:vAlign w:val="bottom"/>
            <w:hideMark/>
          </w:tcPr>
          <w:p w14:paraId="011B1E8E"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2016</w:t>
            </w:r>
          </w:p>
        </w:tc>
      </w:tr>
      <w:tr w:rsidR="00173C65" w:rsidRPr="00452B5C" w14:paraId="256E8308" w14:textId="77777777" w:rsidTr="00A57174">
        <w:trPr>
          <w:trHeight w:val="300"/>
        </w:trPr>
        <w:tc>
          <w:tcPr>
            <w:tcW w:w="4000" w:type="dxa"/>
            <w:tcBorders>
              <w:top w:val="nil"/>
              <w:left w:val="single" w:sz="4" w:space="0" w:color="auto"/>
              <w:bottom w:val="single" w:sz="4" w:space="0" w:color="auto"/>
              <w:right w:val="single" w:sz="4" w:space="0" w:color="auto"/>
            </w:tcBorders>
            <w:noWrap/>
            <w:vAlign w:val="bottom"/>
            <w:hideMark/>
          </w:tcPr>
          <w:p w14:paraId="2EDA7A21" w14:textId="77777777" w:rsidR="00173C65" w:rsidRPr="00452B5C" w:rsidRDefault="00173C65" w:rsidP="00A57174">
            <w:pPr>
              <w:spacing w:after="0" w:line="240" w:lineRule="auto"/>
              <w:rPr>
                <w:rFonts w:ascii="Times New Roman" w:hAnsi="Times New Roman" w:cs="Times New Roman"/>
                <w:sz w:val="24"/>
                <w:szCs w:val="24"/>
                <w:lang w:eastAsia="ru-RU"/>
              </w:rPr>
            </w:pPr>
            <w:r w:rsidRPr="00452B5C">
              <w:rPr>
                <w:rFonts w:ascii="Times New Roman" w:hAnsi="Times New Roman" w:cs="Times New Roman"/>
                <w:sz w:val="24"/>
                <w:szCs w:val="24"/>
                <w:lang w:eastAsia="ru-RU"/>
              </w:rPr>
              <w:t>Выброшенные загрязняющие вещества</w:t>
            </w:r>
          </w:p>
        </w:tc>
        <w:tc>
          <w:tcPr>
            <w:tcW w:w="960" w:type="dxa"/>
            <w:tcBorders>
              <w:top w:val="nil"/>
              <w:left w:val="nil"/>
              <w:bottom w:val="single" w:sz="4" w:space="0" w:color="auto"/>
              <w:right w:val="single" w:sz="4" w:space="0" w:color="auto"/>
            </w:tcBorders>
            <w:noWrap/>
            <w:vAlign w:val="bottom"/>
            <w:hideMark/>
          </w:tcPr>
          <w:p w14:paraId="7AE99E28"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209</w:t>
            </w:r>
          </w:p>
        </w:tc>
        <w:tc>
          <w:tcPr>
            <w:tcW w:w="960" w:type="dxa"/>
            <w:tcBorders>
              <w:top w:val="nil"/>
              <w:left w:val="nil"/>
              <w:bottom w:val="single" w:sz="4" w:space="0" w:color="auto"/>
              <w:right w:val="single" w:sz="4" w:space="0" w:color="auto"/>
            </w:tcBorders>
            <w:noWrap/>
            <w:vAlign w:val="bottom"/>
            <w:hideMark/>
          </w:tcPr>
          <w:p w14:paraId="1685C624"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181</w:t>
            </w:r>
          </w:p>
        </w:tc>
        <w:tc>
          <w:tcPr>
            <w:tcW w:w="960" w:type="dxa"/>
            <w:tcBorders>
              <w:top w:val="nil"/>
              <w:left w:val="nil"/>
              <w:bottom w:val="single" w:sz="4" w:space="0" w:color="auto"/>
              <w:right w:val="single" w:sz="4" w:space="0" w:color="auto"/>
            </w:tcBorders>
            <w:noWrap/>
            <w:vAlign w:val="bottom"/>
            <w:hideMark/>
          </w:tcPr>
          <w:p w14:paraId="66710ED8"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190</w:t>
            </w:r>
          </w:p>
        </w:tc>
        <w:tc>
          <w:tcPr>
            <w:tcW w:w="960" w:type="dxa"/>
            <w:tcBorders>
              <w:top w:val="nil"/>
              <w:left w:val="nil"/>
              <w:bottom w:val="single" w:sz="4" w:space="0" w:color="auto"/>
              <w:right w:val="single" w:sz="4" w:space="0" w:color="auto"/>
            </w:tcBorders>
            <w:noWrap/>
            <w:vAlign w:val="bottom"/>
            <w:hideMark/>
          </w:tcPr>
          <w:p w14:paraId="735021F9"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193</w:t>
            </w:r>
          </w:p>
        </w:tc>
        <w:tc>
          <w:tcPr>
            <w:tcW w:w="960" w:type="dxa"/>
            <w:tcBorders>
              <w:top w:val="nil"/>
              <w:left w:val="nil"/>
              <w:bottom w:val="single" w:sz="4" w:space="0" w:color="auto"/>
              <w:right w:val="single" w:sz="4" w:space="0" w:color="auto"/>
            </w:tcBorders>
            <w:noWrap/>
            <w:vAlign w:val="bottom"/>
            <w:hideMark/>
          </w:tcPr>
          <w:p w14:paraId="22AF83E7"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186</w:t>
            </w:r>
          </w:p>
        </w:tc>
      </w:tr>
      <w:tr w:rsidR="00173C65" w:rsidRPr="00452B5C" w14:paraId="0C3CD81A" w14:textId="77777777" w:rsidTr="00A57174">
        <w:trPr>
          <w:trHeight w:val="300"/>
        </w:trPr>
        <w:tc>
          <w:tcPr>
            <w:tcW w:w="4000" w:type="dxa"/>
            <w:tcBorders>
              <w:top w:val="nil"/>
              <w:left w:val="single" w:sz="4" w:space="0" w:color="auto"/>
              <w:bottom w:val="single" w:sz="4" w:space="0" w:color="auto"/>
              <w:right w:val="single" w:sz="4" w:space="0" w:color="auto"/>
            </w:tcBorders>
            <w:noWrap/>
            <w:vAlign w:val="bottom"/>
            <w:hideMark/>
          </w:tcPr>
          <w:p w14:paraId="3A6197ED" w14:textId="77777777" w:rsidR="00173C65" w:rsidRPr="00452B5C" w:rsidRDefault="00173C65" w:rsidP="00A57174">
            <w:pPr>
              <w:spacing w:after="0" w:line="240" w:lineRule="auto"/>
              <w:rPr>
                <w:rFonts w:ascii="Times New Roman" w:hAnsi="Times New Roman" w:cs="Times New Roman"/>
                <w:sz w:val="24"/>
                <w:szCs w:val="24"/>
                <w:lang w:eastAsia="ru-RU"/>
              </w:rPr>
            </w:pPr>
            <w:r w:rsidRPr="00452B5C">
              <w:rPr>
                <w:rFonts w:ascii="Times New Roman" w:hAnsi="Times New Roman" w:cs="Times New Roman"/>
                <w:sz w:val="24"/>
                <w:szCs w:val="24"/>
                <w:lang w:eastAsia="ru-RU"/>
              </w:rPr>
              <w:t>Уловленные загрязняющие вещества</w:t>
            </w:r>
          </w:p>
        </w:tc>
        <w:tc>
          <w:tcPr>
            <w:tcW w:w="960" w:type="dxa"/>
            <w:tcBorders>
              <w:top w:val="nil"/>
              <w:left w:val="nil"/>
              <w:bottom w:val="single" w:sz="4" w:space="0" w:color="auto"/>
              <w:right w:val="single" w:sz="4" w:space="0" w:color="auto"/>
            </w:tcBorders>
            <w:noWrap/>
            <w:vAlign w:val="bottom"/>
            <w:hideMark/>
          </w:tcPr>
          <w:p w14:paraId="57E1F2C8"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2129</w:t>
            </w:r>
          </w:p>
        </w:tc>
        <w:tc>
          <w:tcPr>
            <w:tcW w:w="960" w:type="dxa"/>
            <w:tcBorders>
              <w:top w:val="nil"/>
              <w:left w:val="nil"/>
              <w:bottom w:val="single" w:sz="4" w:space="0" w:color="auto"/>
              <w:right w:val="single" w:sz="4" w:space="0" w:color="auto"/>
            </w:tcBorders>
            <w:noWrap/>
            <w:vAlign w:val="bottom"/>
            <w:hideMark/>
          </w:tcPr>
          <w:p w14:paraId="29F7049C"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1867</w:t>
            </w:r>
          </w:p>
        </w:tc>
        <w:tc>
          <w:tcPr>
            <w:tcW w:w="960" w:type="dxa"/>
            <w:tcBorders>
              <w:top w:val="nil"/>
              <w:left w:val="nil"/>
              <w:bottom w:val="single" w:sz="4" w:space="0" w:color="auto"/>
              <w:right w:val="single" w:sz="4" w:space="0" w:color="auto"/>
            </w:tcBorders>
            <w:noWrap/>
            <w:vAlign w:val="bottom"/>
            <w:hideMark/>
          </w:tcPr>
          <w:p w14:paraId="4A492E89"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1856</w:t>
            </w:r>
          </w:p>
        </w:tc>
        <w:tc>
          <w:tcPr>
            <w:tcW w:w="960" w:type="dxa"/>
            <w:tcBorders>
              <w:top w:val="nil"/>
              <w:left w:val="nil"/>
              <w:bottom w:val="single" w:sz="4" w:space="0" w:color="auto"/>
              <w:right w:val="single" w:sz="4" w:space="0" w:color="auto"/>
            </w:tcBorders>
            <w:noWrap/>
            <w:vAlign w:val="bottom"/>
            <w:hideMark/>
          </w:tcPr>
          <w:p w14:paraId="1FBE425F"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2022</w:t>
            </w:r>
          </w:p>
        </w:tc>
        <w:tc>
          <w:tcPr>
            <w:tcW w:w="960" w:type="dxa"/>
            <w:tcBorders>
              <w:top w:val="nil"/>
              <w:left w:val="nil"/>
              <w:bottom w:val="single" w:sz="4" w:space="0" w:color="auto"/>
              <w:right w:val="single" w:sz="4" w:space="0" w:color="auto"/>
            </w:tcBorders>
            <w:noWrap/>
            <w:vAlign w:val="bottom"/>
            <w:hideMark/>
          </w:tcPr>
          <w:p w14:paraId="353E43AD" w14:textId="77777777" w:rsidR="00173C65" w:rsidRPr="00452B5C" w:rsidRDefault="00173C65" w:rsidP="00A57174">
            <w:pPr>
              <w:spacing w:after="0" w:line="240" w:lineRule="auto"/>
              <w:jc w:val="right"/>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1917</w:t>
            </w:r>
          </w:p>
        </w:tc>
      </w:tr>
    </w:tbl>
    <w:p w14:paraId="2CCB938B"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p>
    <w:p w14:paraId="308D46C5"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Также, проводя данное исследование, мы посчитали долю выбросов Приморского края в выбросах Российской Федерации и сделали выводы, что за 5 лет их доля практически не изменялась.</w:t>
      </w:r>
    </w:p>
    <w:p w14:paraId="796B98D5" w14:textId="77777777" w:rsidR="00173C65" w:rsidRPr="00452B5C" w:rsidRDefault="00173C65" w:rsidP="00173C65">
      <w:pPr>
        <w:keepNext/>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noProof/>
          <w:sz w:val="24"/>
          <w:szCs w:val="24"/>
          <w:lang w:eastAsia="ru-RU"/>
        </w:rPr>
        <w:lastRenderedPageBreak/>
        <w:drawing>
          <wp:inline distT="0" distB="0" distL="0" distR="0" wp14:anchorId="7B4D5120" wp14:editId="07777777">
            <wp:extent cx="5486400" cy="2981325"/>
            <wp:effectExtent l="0" t="0" r="0" b="0"/>
            <wp:docPr id="49" name="Диаграмма 49" descr="Название: Рис.1. Доля выбросов Приморского края в выбросах Российской Федерации"/>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AF314E2" w14:textId="77777777" w:rsidR="00173C65" w:rsidRPr="00452B5C" w:rsidRDefault="00173C65" w:rsidP="00173C65">
      <w:pPr>
        <w:pStyle w:val="ad"/>
        <w:jc w:val="center"/>
        <w:rPr>
          <w:rFonts w:ascii="Times New Roman" w:hAnsi="Times New Roman"/>
          <w:b/>
          <w:bCs/>
          <w:color w:val="auto"/>
          <w:sz w:val="24"/>
          <w:szCs w:val="24"/>
        </w:rPr>
      </w:pPr>
      <w:r w:rsidRPr="00452B5C">
        <w:rPr>
          <w:rFonts w:ascii="Times New Roman" w:hAnsi="Times New Roman"/>
          <w:color w:val="auto"/>
          <w:sz w:val="24"/>
          <w:szCs w:val="24"/>
        </w:rPr>
        <w:t xml:space="preserve">Рис. </w:t>
      </w:r>
      <w:r w:rsidR="00CB3F9D" w:rsidRPr="00452B5C">
        <w:rPr>
          <w:rFonts w:ascii="Times New Roman" w:hAnsi="Times New Roman"/>
          <w:b/>
          <w:color w:val="auto"/>
          <w:sz w:val="24"/>
          <w:szCs w:val="24"/>
        </w:rPr>
        <w:fldChar w:fldCharType="begin"/>
      </w:r>
      <w:r w:rsidRPr="00452B5C">
        <w:rPr>
          <w:rFonts w:ascii="Times New Roman" w:hAnsi="Times New Roman"/>
          <w:color w:val="auto"/>
          <w:sz w:val="24"/>
          <w:szCs w:val="24"/>
        </w:rPr>
        <w:instrText xml:space="preserve"> SEQ Рисунок \* ARABIC </w:instrText>
      </w:r>
      <w:r w:rsidR="00CB3F9D" w:rsidRPr="00452B5C">
        <w:rPr>
          <w:rFonts w:ascii="Times New Roman" w:hAnsi="Times New Roman"/>
          <w:b/>
          <w:color w:val="auto"/>
          <w:sz w:val="24"/>
          <w:szCs w:val="24"/>
        </w:rPr>
        <w:fldChar w:fldCharType="separate"/>
      </w:r>
      <w:r w:rsidRPr="00452B5C">
        <w:rPr>
          <w:rFonts w:ascii="Times New Roman" w:hAnsi="Times New Roman"/>
          <w:noProof/>
          <w:color w:val="auto"/>
          <w:sz w:val="24"/>
          <w:szCs w:val="24"/>
        </w:rPr>
        <w:t>1</w:t>
      </w:r>
      <w:r w:rsidR="00CB3F9D" w:rsidRPr="00452B5C">
        <w:rPr>
          <w:rFonts w:ascii="Times New Roman" w:hAnsi="Times New Roman"/>
          <w:b/>
          <w:color w:val="auto"/>
          <w:sz w:val="24"/>
          <w:szCs w:val="24"/>
        </w:rPr>
        <w:fldChar w:fldCharType="end"/>
      </w:r>
      <w:r w:rsidRPr="00452B5C">
        <w:rPr>
          <w:rFonts w:ascii="Times New Roman" w:hAnsi="Times New Roman"/>
          <w:color w:val="auto"/>
          <w:sz w:val="24"/>
          <w:szCs w:val="24"/>
        </w:rPr>
        <w:t>. Доля выбросов Приморского края в выбросах Российской Федерации</w:t>
      </w:r>
    </w:p>
    <w:p w14:paraId="24F25888"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Далее мы посчитали долю уловленных выбросов Приморского края в выбросах Российской Федерации и также видно, что за 2012-2016 годы их доля не изменялась.</w:t>
      </w:r>
    </w:p>
    <w:p w14:paraId="344BE600" w14:textId="77777777" w:rsidR="00173C65" w:rsidRPr="00452B5C" w:rsidRDefault="00173C65" w:rsidP="00173C65">
      <w:pPr>
        <w:keepNext/>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noProof/>
          <w:sz w:val="24"/>
          <w:szCs w:val="24"/>
          <w:lang w:eastAsia="ru-RU"/>
        </w:rPr>
        <w:drawing>
          <wp:inline distT="0" distB="0" distL="0" distR="0" wp14:anchorId="062D4A0A" wp14:editId="07777777">
            <wp:extent cx="5200015" cy="2342515"/>
            <wp:effectExtent l="0" t="0" r="0" b="0"/>
            <wp:docPr id="5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618CCFB8" w14:textId="77777777" w:rsidR="00173C65" w:rsidRPr="00452B5C" w:rsidRDefault="00173C65" w:rsidP="00173C65">
      <w:pPr>
        <w:pStyle w:val="ad"/>
        <w:jc w:val="center"/>
        <w:rPr>
          <w:rFonts w:ascii="Times New Roman" w:hAnsi="Times New Roman"/>
          <w:b/>
          <w:bCs/>
          <w:color w:val="auto"/>
          <w:sz w:val="24"/>
          <w:szCs w:val="24"/>
        </w:rPr>
      </w:pPr>
      <w:r w:rsidRPr="00452B5C">
        <w:rPr>
          <w:rFonts w:ascii="Times New Roman" w:hAnsi="Times New Roman"/>
          <w:color w:val="auto"/>
          <w:sz w:val="24"/>
          <w:szCs w:val="24"/>
        </w:rPr>
        <w:t xml:space="preserve">Рис. </w:t>
      </w:r>
      <w:r w:rsidR="00CB3F9D" w:rsidRPr="00452B5C">
        <w:rPr>
          <w:rFonts w:ascii="Times New Roman" w:hAnsi="Times New Roman"/>
          <w:b/>
          <w:color w:val="auto"/>
          <w:sz w:val="24"/>
          <w:szCs w:val="24"/>
        </w:rPr>
        <w:fldChar w:fldCharType="begin"/>
      </w:r>
      <w:r w:rsidRPr="00452B5C">
        <w:rPr>
          <w:rFonts w:ascii="Times New Roman" w:hAnsi="Times New Roman"/>
          <w:color w:val="auto"/>
          <w:sz w:val="24"/>
          <w:szCs w:val="24"/>
        </w:rPr>
        <w:instrText xml:space="preserve"> SEQ Рисунок \* ARABIC </w:instrText>
      </w:r>
      <w:r w:rsidR="00CB3F9D" w:rsidRPr="00452B5C">
        <w:rPr>
          <w:rFonts w:ascii="Times New Roman" w:hAnsi="Times New Roman"/>
          <w:b/>
          <w:color w:val="auto"/>
          <w:sz w:val="24"/>
          <w:szCs w:val="24"/>
        </w:rPr>
        <w:fldChar w:fldCharType="separate"/>
      </w:r>
      <w:r w:rsidRPr="00452B5C">
        <w:rPr>
          <w:rFonts w:ascii="Times New Roman" w:hAnsi="Times New Roman"/>
          <w:noProof/>
          <w:color w:val="auto"/>
          <w:sz w:val="24"/>
          <w:szCs w:val="24"/>
        </w:rPr>
        <w:t>2</w:t>
      </w:r>
      <w:r w:rsidR="00CB3F9D" w:rsidRPr="00452B5C">
        <w:rPr>
          <w:rFonts w:ascii="Times New Roman" w:hAnsi="Times New Roman"/>
          <w:b/>
          <w:color w:val="auto"/>
          <w:sz w:val="24"/>
          <w:szCs w:val="24"/>
        </w:rPr>
        <w:fldChar w:fldCharType="end"/>
      </w:r>
      <w:r w:rsidRPr="00452B5C">
        <w:rPr>
          <w:rFonts w:ascii="Times New Roman" w:hAnsi="Times New Roman"/>
          <w:color w:val="auto"/>
          <w:sz w:val="24"/>
          <w:szCs w:val="24"/>
        </w:rPr>
        <w:t>. Доля уловленных выбросов Приморского края в выбросах Российской Федерации</w:t>
      </w:r>
    </w:p>
    <w:p w14:paraId="136C26BD"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Сравнивая Приморский край с некоторыми другими регионами Дальневосточного федерального округа, мы увидим, что самое малое количество атмосферных выбросов на протяжении 5 лет с 2012 по 2016 годы произвели Магаданская область и Камчатский край. В среднем за 5 лет Магаданская область выбросила в атмосферу 29,2 тысячи тонн загрязняющих веществ, а Камчатский край – 28,8 тысяч тонн. Хабаровский край в 2012-2016 году выделил в атмосферу 112,4 тысячи тонн; Сахалинская область – 75,6 тысяч тонн. Приморский край занял первое место по количеству выбросов – 191,8 тысяч тонн загрязняющих веществ. Таким образом, Приморский край больше других загрязняет воздух.</w:t>
      </w:r>
    </w:p>
    <w:p w14:paraId="76D550A6" w14:textId="77777777" w:rsidR="008249EF" w:rsidRPr="00452B5C" w:rsidRDefault="00173C65" w:rsidP="00452B5C">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В то же время, по данным на 2012 – 2016 год видно, что наш край больше других улавливает вредных веществ из атмосферы. Например, в 2016 году Приморский край удалил почти в 160 раз больше вредных веществ из воздуха, чем Камчатский край; в 39 раз больше, чем Магаданская область; в 37,5 раз больше, чем Сахалинская область и в 3,4 раза больше, чем Хабаровский край.</w:t>
      </w:r>
    </w:p>
    <w:p w14:paraId="3C07D176" w14:textId="77777777" w:rsidR="00173C65" w:rsidRPr="00452B5C" w:rsidRDefault="00173C65" w:rsidP="00B7659B">
      <w:pPr>
        <w:pStyle w:val="afa"/>
        <w:rPr>
          <w:rFonts w:cs="Times New Roman"/>
          <w:sz w:val="24"/>
          <w:szCs w:val="24"/>
        </w:rPr>
      </w:pPr>
      <w:r w:rsidRPr="00452B5C">
        <w:rPr>
          <w:rFonts w:cs="Times New Roman"/>
          <w:sz w:val="24"/>
          <w:szCs w:val="24"/>
        </w:rPr>
        <w:t>Таблица 3</w:t>
      </w:r>
    </w:p>
    <w:p w14:paraId="0D2E631E" w14:textId="77777777" w:rsidR="00173C65" w:rsidRPr="00452B5C" w:rsidRDefault="00173C65" w:rsidP="00173C65">
      <w:pPr>
        <w:spacing w:after="0" w:line="240" w:lineRule="auto"/>
        <w:ind w:firstLine="709"/>
        <w:jc w:val="center"/>
        <w:rPr>
          <w:rFonts w:ascii="Times New Roman" w:hAnsi="Times New Roman" w:cs="Times New Roman"/>
          <w:b/>
          <w:bCs/>
          <w:sz w:val="24"/>
          <w:szCs w:val="24"/>
        </w:rPr>
      </w:pPr>
      <w:r w:rsidRPr="00452B5C">
        <w:rPr>
          <w:rFonts w:ascii="Times New Roman" w:hAnsi="Times New Roman" w:cs="Times New Roman"/>
          <w:b/>
          <w:bCs/>
          <w:sz w:val="24"/>
          <w:szCs w:val="24"/>
        </w:rPr>
        <w:t>Приморский край и другие регионы Дальневосточного федерального округа, тыс. тонн</w:t>
      </w:r>
    </w:p>
    <w:tbl>
      <w:tblPr>
        <w:tblW w:w="9639" w:type="dxa"/>
        <w:tblInd w:w="108" w:type="dxa"/>
        <w:tblLayout w:type="fixed"/>
        <w:tblLook w:val="0600" w:firstRow="0" w:lastRow="0" w:firstColumn="0" w:lastColumn="0" w:noHBand="1" w:noVBand="1"/>
      </w:tblPr>
      <w:tblGrid>
        <w:gridCol w:w="1544"/>
        <w:gridCol w:w="829"/>
        <w:gridCol w:w="807"/>
        <w:gridCol w:w="808"/>
        <w:gridCol w:w="807"/>
        <w:gridCol w:w="796"/>
        <w:gridCol w:w="818"/>
        <w:gridCol w:w="808"/>
        <w:gridCol w:w="807"/>
        <w:gridCol w:w="807"/>
        <w:gridCol w:w="808"/>
      </w:tblGrid>
      <w:tr w:rsidR="00173C65" w:rsidRPr="00452B5C" w14:paraId="62754239" w14:textId="77777777" w:rsidTr="00A57174">
        <w:trPr>
          <w:trHeight w:val="990"/>
          <w:tblHeader/>
        </w:trPr>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B515302" w14:textId="77777777" w:rsidR="00173C65" w:rsidRPr="00452B5C" w:rsidRDefault="00173C65" w:rsidP="00B7659B">
            <w:pPr>
              <w:pStyle w:val="15"/>
              <w:rPr>
                <w:sz w:val="24"/>
                <w:szCs w:val="24"/>
              </w:rPr>
            </w:pPr>
            <w:r w:rsidRPr="00452B5C">
              <w:rPr>
                <w:sz w:val="24"/>
                <w:szCs w:val="24"/>
              </w:rPr>
              <w:lastRenderedPageBreak/>
              <w:t> </w:t>
            </w:r>
          </w:p>
        </w:tc>
        <w:tc>
          <w:tcPr>
            <w:tcW w:w="4394" w:type="dxa"/>
            <w:gridSpan w:val="5"/>
            <w:tcBorders>
              <w:top w:val="single" w:sz="4" w:space="0" w:color="auto"/>
              <w:left w:val="nil"/>
              <w:bottom w:val="single" w:sz="4" w:space="0" w:color="auto"/>
              <w:right w:val="single" w:sz="4" w:space="0" w:color="auto"/>
            </w:tcBorders>
            <w:shd w:val="clear" w:color="000000" w:fill="FFFFFF"/>
            <w:vAlign w:val="bottom"/>
            <w:hideMark/>
          </w:tcPr>
          <w:p w14:paraId="1382E64B" w14:textId="77777777" w:rsidR="00173C65" w:rsidRPr="00452B5C" w:rsidRDefault="00173C65" w:rsidP="00B7659B">
            <w:pPr>
              <w:pStyle w:val="15"/>
              <w:rPr>
                <w:sz w:val="24"/>
                <w:szCs w:val="24"/>
              </w:rPr>
            </w:pPr>
            <w:r w:rsidRPr="00452B5C">
              <w:rPr>
                <w:sz w:val="24"/>
                <w:szCs w:val="24"/>
              </w:rPr>
              <w:t>Выброшенные загрязняющие вещества в  атмосферу, отходящие от стационарных производств</w:t>
            </w:r>
          </w:p>
        </w:tc>
        <w:tc>
          <w:tcPr>
            <w:tcW w:w="4394" w:type="dxa"/>
            <w:gridSpan w:val="5"/>
            <w:tcBorders>
              <w:top w:val="single" w:sz="4" w:space="0" w:color="auto"/>
              <w:left w:val="nil"/>
              <w:bottom w:val="single" w:sz="4" w:space="0" w:color="auto"/>
              <w:right w:val="single" w:sz="4" w:space="0" w:color="auto"/>
            </w:tcBorders>
            <w:shd w:val="clear" w:color="000000" w:fill="FFFFFF"/>
            <w:vAlign w:val="center"/>
            <w:hideMark/>
          </w:tcPr>
          <w:p w14:paraId="5B9D5AAD" w14:textId="77777777" w:rsidR="00173C65" w:rsidRPr="00452B5C" w:rsidRDefault="00173C65" w:rsidP="00B7659B">
            <w:pPr>
              <w:pStyle w:val="15"/>
              <w:rPr>
                <w:sz w:val="24"/>
                <w:szCs w:val="24"/>
              </w:rPr>
            </w:pPr>
            <w:r w:rsidRPr="00452B5C">
              <w:rPr>
                <w:sz w:val="24"/>
                <w:szCs w:val="24"/>
              </w:rPr>
              <w:t>Уловленные загрязняющие атмосферу вещества , отходящие от стационарных производств</w:t>
            </w:r>
          </w:p>
        </w:tc>
      </w:tr>
      <w:tr w:rsidR="00173C65" w:rsidRPr="00452B5C" w14:paraId="10AE2BBC" w14:textId="77777777" w:rsidTr="00A57174">
        <w:trPr>
          <w:trHeight w:val="300"/>
          <w:tblHeader/>
        </w:trPr>
        <w:tc>
          <w:tcPr>
            <w:tcW w:w="1701" w:type="dxa"/>
            <w:tcBorders>
              <w:top w:val="nil"/>
              <w:left w:val="single" w:sz="4" w:space="0" w:color="auto"/>
              <w:bottom w:val="single" w:sz="4" w:space="0" w:color="auto"/>
              <w:right w:val="single" w:sz="4" w:space="0" w:color="auto"/>
            </w:tcBorders>
            <w:shd w:val="clear" w:color="000000" w:fill="FFFFFF"/>
            <w:vAlign w:val="center"/>
            <w:hideMark/>
          </w:tcPr>
          <w:p w14:paraId="245132E5" w14:textId="77777777" w:rsidR="00173C65" w:rsidRPr="00452B5C" w:rsidRDefault="00173C65" w:rsidP="00B7659B">
            <w:pPr>
              <w:pStyle w:val="afb"/>
              <w:rPr>
                <w:sz w:val="24"/>
                <w:szCs w:val="24"/>
              </w:rPr>
            </w:pPr>
            <w:r w:rsidRPr="00452B5C">
              <w:rPr>
                <w:sz w:val="24"/>
                <w:szCs w:val="24"/>
              </w:rPr>
              <w:t>Год</w:t>
            </w:r>
          </w:p>
        </w:tc>
        <w:tc>
          <w:tcPr>
            <w:tcW w:w="901" w:type="dxa"/>
            <w:tcBorders>
              <w:top w:val="nil"/>
              <w:left w:val="nil"/>
              <w:bottom w:val="single" w:sz="4" w:space="0" w:color="auto"/>
              <w:right w:val="single" w:sz="4" w:space="0" w:color="auto"/>
            </w:tcBorders>
            <w:shd w:val="clear" w:color="000000" w:fill="FFFFFF"/>
            <w:vAlign w:val="center"/>
            <w:hideMark/>
          </w:tcPr>
          <w:p w14:paraId="2E4B9C3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2012</w:t>
            </w:r>
          </w:p>
        </w:tc>
        <w:tc>
          <w:tcPr>
            <w:tcW w:w="876" w:type="dxa"/>
            <w:tcBorders>
              <w:top w:val="nil"/>
              <w:left w:val="nil"/>
              <w:bottom w:val="single" w:sz="4" w:space="0" w:color="auto"/>
              <w:right w:val="single" w:sz="4" w:space="0" w:color="auto"/>
            </w:tcBorders>
            <w:shd w:val="clear" w:color="000000" w:fill="FFFFFF"/>
            <w:vAlign w:val="center"/>
            <w:hideMark/>
          </w:tcPr>
          <w:p w14:paraId="7B5B6ADE"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2013</w:t>
            </w:r>
          </w:p>
        </w:tc>
        <w:tc>
          <w:tcPr>
            <w:tcW w:w="877" w:type="dxa"/>
            <w:tcBorders>
              <w:top w:val="nil"/>
              <w:left w:val="nil"/>
              <w:bottom w:val="single" w:sz="4" w:space="0" w:color="auto"/>
              <w:right w:val="single" w:sz="4" w:space="0" w:color="auto"/>
            </w:tcBorders>
            <w:shd w:val="clear" w:color="000000" w:fill="FFFFFF"/>
            <w:vAlign w:val="center"/>
            <w:hideMark/>
          </w:tcPr>
          <w:p w14:paraId="0B204CD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2014</w:t>
            </w:r>
          </w:p>
        </w:tc>
        <w:tc>
          <w:tcPr>
            <w:tcW w:w="876" w:type="dxa"/>
            <w:tcBorders>
              <w:top w:val="nil"/>
              <w:left w:val="nil"/>
              <w:bottom w:val="single" w:sz="4" w:space="0" w:color="auto"/>
              <w:right w:val="single" w:sz="4" w:space="0" w:color="auto"/>
            </w:tcBorders>
            <w:shd w:val="clear" w:color="000000" w:fill="FFFFFF"/>
            <w:vAlign w:val="center"/>
            <w:hideMark/>
          </w:tcPr>
          <w:p w14:paraId="0F6B6B6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2015</w:t>
            </w:r>
          </w:p>
        </w:tc>
        <w:tc>
          <w:tcPr>
            <w:tcW w:w="864" w:type="dxa"/>
            <w:tcBorders>
              <w:top w:val="nil"/>
              <w:left w:val="nil"/>
              <w:bottom w:val="single" w:sz="4" w:space="0" w:color="auto"/>
              <w:right w:val="single" w:sz="4" w:space="0" w:color="auto"/>
            </w:tcBorders>
            <w:shd w:val="clear" w:color="000000" w:fill="FFFFFF"/>
            <w:vAlign w:val="center"/>
            <w:hideMark/>
          </w:tcPr>
          <w:p w14:paraId="06D0AFF4"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2016</w:t>
            </w:r>
          </w:p>
        </w:tc>
        <w:tc>
          <w:tcPr>
            <w:tcW w:w="888" w:type="dxa"/>
            <w:tcBorders>
              <w:top w:val="nil"/>
              <w:left w:val="nil"/>
              <w:bottom w:val="single" w:sz="4" w:space="0" w:color="auto"/>
              <w:right w:val="single" w:sz="4" w:space="0" w:color="auto"/>
            </w:tcBorders>
            <w:shd w:val="clear" w:color="000000" w:fill="FFFFFF"/>
            <w:vAlign w:val="center"/>
            <w:hideMark/>
          </w:tcPr>
          <w:p w14:paraId="73AFBBFD"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2012</w:t>
            </w:r>
          </w:p>
        </w:tc>
        <w:tc>
          <w:tcPr>
            <w:tcW w:w="877" w:type="dxa"/>
            <w:tcBorders>
              <w:top w:val="nil"/>
              <w:left w:val="nil"/>
              <w:bottom w:val="single" w:sz="4" w:space="0" w:color="auto"/>
              <w:right w:val="single" w:sz="4" w:space="0" w:color="auto"/>
            </w:tcBorders>
            <w:shd w:val="clear" w:color="000000" w:fill="FFFFFF"/>
            <w:vAlign w:val="center"/>
            <w:hideMark/>
          </w:tcPr>
          <w:p w14:paraId="42A88BB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2013</w:t>
            </w:r>
          </w:p>
        </w:tc>
        <w:tc>
          <w:tcPr>
            <w:tcW w:w="876" w:type="dxa"/>
            <w:tcBorders>
              <w:top w:val="nil"/>
              <w:left w:val="nil"/>
              <w:bottom w:val="single" w:sz="4" w:space="0" w:color="auto"/>
              <w:right w:val="single" w:sz="4" w:space="0" w:color="auto"/>
            </w:tcBorders>
            <w:shd w:val="clear" w:color="000000" w:fill="FFFFFF"/>
            <w:vAlign w:val="center"/>
            <w:hideMark/>
          </w:tcPr>
          <w:p w14:paraId="01331F1A"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2014</w:t>
            </w:r>
          </w:p>
        </w:tc>
        <w:tc>
          <w:tcPr>
            <w:tcW w:w="876" w:type="dxa"/>
            <w:tcBorders>
              <w:top w:val="nil"/>
              <w:left w:val="nil"/>
              <w:bottom w:val="single" w:sz="4" w:space="0" w:color="auto"/>
              <w:right w:val="single" w:sz="4" w:space="0" w:color="auto"/>
            </w:tcBorders>
            <w:shd w:val="clear" w:color="000000" w:fill="FFFFFF"/>
            <w:vAlign w:val="center"/>
            <w:hideMark/>
          </w:tcPr>
          <w:p w14:paraId="1860A3BE"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2015</w:t>
            </w:r>
          </w:p>
        </w:tc>
        <w:tc>
          <w:tcPr>
            <w:tcW w:w="877" w:type="dxa"/>
            <w:tcBorders>
              <w:top w:val="nil"/>
              <w:left w:val="nil"/>
              <w:bottom w:val="single" w:sz="4" w:space="0" w:color="auto"/>
              <w:right w:val="single" w:sz="4" w:space="0" w:color="auto"/>
            </w:tcBorders>
            <w:shd w:val="clear" w:color="000000" w:fill="FFFFFF"/>
            <w:vAlign w:val="center"/>
            <w:hideMark/>
          </w:tcPr>
          <w:p w14:paraId="56CB278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2016</w:t>
            </w:r>
          </w:p>
        </w:tc>
      </w:tr>
      <w:tr w:rsidR="00173C65" w:rsidRPr="00452B5C" w14:paraId="26639FA9" w14:textId="77777777" w:rsidTr="00A57174">
        <w:trPr>
          <w:trHeight w:val="600"/>
          <w:tblHeader/>
        </w:trPr>
        <w:tc>
          <w:tcPr>
            <w:tcW w:w="1701" w:type="dxa"/>
            <w:tcBorders>
              <w:top w:val="nil"/>
              <w:left w:val="single" w:sz="4" w:space="0" w:color="auto"/>
              <w:bottom w:val="single" w:sz="4" w:space="0" w:color="auto"/>
              <w:right w:val="single" w:sz="4" w:space="0" w:color="auto"/>
            </w:tcBorders>
            <w:shd w:val="clear" w:color="000000" w:fill="FFFFFF"/>
            <w:vAlign w:val="bottom"/>
            <w:hideMark/>
          </w:tcPr>
          <w:p w14:paraId="42A050F6" w14:textId="77777777" w:rsidR="00173C65" w:rsidRPr="00452B5C" w:rsidRDefault="00173C65" w:rsidP="00B7659B">
            <w:pPr>
              <w:pStyle w:val="afb"/>
              <w:rPr>
                <w:sz w:val="24"/>
                <w:szCs w:val="24"/>
              </w:rPr>
            </w:pPr>
            <w:r w:rsidRPr="00452B5C">
              <w:rPr>
                <w:sz w:val="24"/>
                <w:szCs w:val="24"/>
              </w:rPr>
              <w:t>Приморский край</w:t>
            </w:r>
          </w:p>
        </w:tc>
        <w:tc>
          <w:tcPr>
            <w:tcW w:w="901" w:type="dxa"/>
            <w:tcBorders>
              <w:top w:val="nil"/>
              <w:left w:val="nil"/>
              <w:bottom w:val="single" w:sz="4" w:space="0" w:color="auto"/>
              <w:right w:val="single" w:sz="4" w:space="0" w:color="auto"/>
            </w:tcBorders>
            <w:shd w:val="clear" w:color="000000" w:fill="FFFFFF"/>
            <w:vAlign w:val="center"/>
            <w:hideMark/>
          </w:tcPr>
          <w:p w14:paraId="7D4B93C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209</w:t>
            </w:r>
          </w:p>
        </w:tc>
        <w:tc>
          <w:tcPr>
            <w:tcW w:w="876" w:type="dxa"/>
            <w:tcBorders>
              <w:top w:val="nil"/>
              <w:left w:val="nil"/>
              <w:bottom w:val="single" w:sz="4" w:space="0" w:color="auto"/>
              <w:right w:val="single" w:sz="4" w:space="0" w:color="auto"/>
            </w:tcBorders>
            <w:shd w:val="clear" w:color="000000" w:fill="FFFFFF"/>
            <w:vAlign w:val="center"/>
            <w:hideMark/>
          </w:tcPr>
          <w:p w14:paraId="42E57519"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181</w:t>
            </w:r>
          </w:p>
        </w:tc>
        <w:tc>
          <w:tcPr>
            <w:tcW w:w="877" w:type="dxa"/>
            <w:tcBorders>
              <w:top w:val="nil"/>
              <w:left w:val="nil"/>
              <w:bottom w:val="single" w:sz="4" w:space="0" w:color="auto"/>
              <w:right w:val="single" w:sz="4" w:space="0" w:color="auto"/>
            </w:tcBorders>
            <w:shd w:val="clear" w:color="000000" w:fill="FFFFFF"/>
            <w:vAlign w:val="center"/>
            <w:hideMark/>
          </w:tcPr>
          <w:p w14:paraId="591FED3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190</w:t>
            </w:r>
          </w:p>
        </w:tc>
        <w:tc>
          <w:tcPr>
            <w:tcW w:w="876" w:type="dxa"/>
            <w:tcBorders>
              <w:top w:val="nil"/>
              <w:left w:val="nil"/>
              <w:bottom w:val="single" w:sz="4" w:space="0" w:color="auto"/>
              <w:right w:val="single" w:sz="4" w:space="0" w:color="auto"/>
            </w:tcBorders>
            <w:shd w:val="clear" w:color="000000" w:fill="FFFFFF"/>
            <w:vAlign w:val="center"/>
            <w:hideMark/>
          </w:tcPr>
          <w:p w14:paraId="0FC1CCAB"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193</w:t>
            </w:r>
          </w:p>
        </w:tc>
        <w:tc>
          <w:tcPr>
            <w:tcW w:w="864" w:type="dxa"/>
            <w:tcBorders>
              <w:top w:val="nil"/>
              <w:left w:val="nil"/>
              <w:bottom w:val="single" w:sz="4" w:space="0" w:color="auto"/>
              <w:right w:val="single" w:sz="4" w:space="0" w:color="auto"/>
            </w:tcBorders>
            <w:shd w:val="clear" w:color="000000" w:fill="FFFFFF"/>
            <w:vAlign w:val="center"/>
            <w:hideMark/>
          </w:tcPr>
          <w:p w14:paraId="584DC408"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186</w:t>
            </w:r>
          </w:p>
        </w:tc>
        <w:tc>
          <w:tcPr>
            <w:tcW w:w="888" w:type="dxa"/>
            <w:tcBorders>
              <w:top w:val="nil"/>
              <w:left w:val="nil"/>
              <w:bottom w:val="single" w:sz="4" w:space="0" w:color="auto"/>
              <w:right w:val="single" w:sz="4" w:space="0" w:color="auto"/>
            </w:tcBorders>
            <w:shd w:val="clear" w:color="000000" w:fill="FFFFFF"/>
            <w:vAlign w:val="center"/>
            <w:hideMark/>
          </w:tcPr>
          <w:p w14:paraId="061AD49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2129</w:t>
            </w:r>
          </w:p>
        </w:tc>
        <w:tc>
          <w:tcPr>
            <w:tcW w:w="877" w:type="dxa"/>
            <w:tcBorders>
              <w:top w:val="nil"/>
              <w:left w:val="nil"/>
              <w:bottom w:val="single" w:sz="4" w:space="0" w:color="auto"/>
              <w:right w:val="single" w:sz="4" w:space="0" w:color="auto"/>
            </w:tcBorders>
            <w:shd w:val="clear" w:color="000000" w:fill="FFFFFF"/>
            <w:vAlign w:val="center"/>
            <w:hideMark/>
          </w:tcPr>
          <w:p w14:paraId="0841A79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1867</w:t>
            </w:r>
          </w:p>
        </w:tc>
        <w:tc>
          <w:tcPr>
            <w:tcW w:w="876" w:type="dxa"/>
            <w:tcBorders>
              <w:top w:val="nil"/>
              <w:left w:val="nil"/>
              <w:bottom w:val="single" w:sz="4" w:space="0" w:color="auto"/>
              <w:right w:val="single" w:sz="4" w:space="0" w:color="auto"/>
            </w:tcBorders>
            <w:shd w:val="clear" w:color="000000" w:fill="FFFFFF"/>
            <w:vAlign w:val="center"/>
            <w:hideMark/>
          </w:tcPr>
          <w:p w14:paraId="39179884"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1856</w:t>
            </w:r>
          </w:p>
        </w:tc>
        <w:tc>
          <w:tcPr>
            <w:tcW w:w="876" w:type="dxa"/>
            <w:tcBorders>
              <w:top w:val="nil"/>
              <w:left w:val="nil"/>
              <w:bottom w:val="single" w:sz="4" w:space="0" w:color="auto"/>
              <w:right w:val="single" w:sz="4" w:space="0" w:color="auto"/>
            </w:tcBorders>
            <w:shd w:val="clear" w:color="000000" w:fill="FFFFFF"/>
            <w:vAlign w:val="center"/>
            <w:hideMark/>
          </w:tcPr>
          <w:p w14:paraId="78066D58"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2022</w:t>
            </w:r>
          </w:p>
        </w:tc>
        <w:tc>
          <w:tcPr>
            <w:tcW w:w="877" w:type="dxa"/>
            <w:tcBorders>
              <w:top w:val="nil"/>
              <w:left w:val="nil"/>
              <w:bottom w:val="single" w:sz="4" w:space="0" w:color="auto"/>
              <w:right w:val="single" w:sz="4" w:space="0" w:color="auto"/>
            </w:tcBorders>
            <w:shd w:val="clear" w:color="000000" w:fill="FFFFFF"/>
            <w:vAlign w:val="center"/>
            <w:hideMark/>
          </w:tcPr>
          <w:p w14:paraId="22AF0969"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1917</w:t>
            </w:r>
          </w:p>
        </w:tc>
      </w:tr>
      <w:tr w:rsidR="00173C65" w:rsidRPr="00452B5C" w14:paraId="0D145621" w14:textId="77777777" w:rsidTr="00A57174">
        <w:trPr>
          <w:trHeight w:val="600"/>
          <w:tblHeader/>
        </w:trPr>
        <w:tc>
          <w:tcPr>
            <w:tcW w:w="1701" w:type="dxa"/>
            <w:tcBorders>
              <w:top w:val="nil"/>
              <w:left w:val="single" w:sz="4" w:space="0" w:color="auto"/>
              <w:bottom w:val="single" w:sz="4" w:space="0" w:color="auto"/>
              <w:right w:val="single" w:sz="4" w:space="0" w:color="auto"/>
            </w:tcBorders>
            <w:shd w:val="clear" w:color="000000" w:fill="FFFFFF"/>
            <w:vAlign w:val="bottom"/>
            <w:hideMark/>
          </w:tcPr>
          <w:p w14:paraId="6BD72F81" w14:textId="77777777" w:rsidR="00173C65" w:rsidRPr="00452B5C" w:rsidRDefault="00173C65" w:rsidP="00B7659B">
            <w:pPr>
              <w:pStyle w:val="afb"/>
              <w:rPr>
                <w:sz w:val="24"/>
                <w:szCs w:val="24"/>
              </w:rPr>
            </w:pPr>
            <w:r w:rsidRPr="00452B5C">
              <w:rPr>
                <w:sz w:val="24"/>
                <w:szCs w:val="24"/>
              </w:rPr>
              <w:t>Камчатский край</w:t>
            </w:r>
          </w:p>
        </w:tc>
        <w:tc>
          <w:tcPr>
            <w:tcW w:w="901" w:type="dxa"/>
            <w:tcBorders>
              <w:top w:val="nil"/>
              <w:left w:val="nil"/>
              <w:bottom w:val="single" w:sz="4" w:space="0" w:color="auto"/>
              <w:right w:val="single" w:sz="4" w:space="0" w:color="auto"/>
            </w:tcBorders>
            <w:shd w:val="clear" w:color="000000" w:fill="FFFFFF"/>
            <w:vAlign w:val="center"/>
            <w:hideMark/>
          </w:tcPr>
          <w:p w14:paraId="3848D7E0"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34</w:t>
            </w:r>
          </w:p>
        </w:tc>
        <w:tc>
          <w:tcPr>
            <w:tcW w:w="876" w:type="dxa"/>
            <w:tcBorders>
              <w:top w:val="nil"/>
              <w:left w:val="nil"/>
              <w:bottom w:val="single" w:sz="4" w:space="0" w:color="auto"/>
              <w:right w:val="single" w:sz="4" w:space="0" w:color="auto"/>
            </w:tcBorders>
            <w:shd w:val="clear" w:color="000000" w:fill="FFFFFF"/>
            <w:vAlign w:val="center"/>
            <w:hideMark/>
          </w:tcPr>
          <w:p w14:paraId="7CE58F48"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33</w:t>
            </w:r>
          </w:p>
        </w:tc>
        <w:tc>
          <w:tcPr>
            <w:tcW w:w="877" w:type="dxa"/>
            <w:tcBorders>
              <w:top w:val="nil"/>
              <w:left w:val="nil"/>
              <w:bottom w:val="single" w:sz="4" w:space="0" w:color="auto"/>
              <w:right w:val="single" w:sz="4" w:space="0" w:color="auto"/>
            </w:tcBorders>
            <w:shd w:val="clear" w:color="000000" w:fill="FFFFFF"/>
            <w:vAlign w:val="center"/>
            <w:hideMark/>
          </w:tcPr>
          <w:p w14:paraId="72E4F76D"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23</w:t>
            </w:r>
          </w:p>
        </w:tc>
        <w:tc>
          <w:tcPr>
            <w:tcW w:w="876" w:type="dxa"/>
            <w:tcBorders>
              <w:top w:val="nil"/>
              <w:left w:val="nil"/>
              <w:bottom w:val="single" w:sz="4" w:space="0" w:color="auto"/>
              <w:right w:val="single" w:sz="4" w:space="0" w:color="auto"/>
            </w:tcBorders>
            <w:shd w:val="clear" w:color="000000" w:fill="FFFFFF"/>
            <w:vAlign w:val="center"/>
            <w:hideMark/>
          </w:tcPr>
          <w:p w14:paraId="2AFCDB24"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25</w:t>
            </w:r>
          </w:p>
        </w:tc>
        <w:tc>
          <w:tcPr>
            <w:tcW w:w="864" w:type="dxa"/>
            <w:tcBorders>
              <w:top w:val="nil"/>
              <w:left w:val="nil"/>
              <w:bottom w:val="single" w:sz="4" w:space="0" w:color="auto"/>
              <w:right w:val="single" w:sz="4" w:space="0" w:color="auto"/>
            </w:tcBorders>
            <w:shd w:val="clear" w:color="000000" w:fill="FFFFFF"/>
            <w:vAlign w:val="center"/>
            <w:hideMark/>
          </w:tcPr>
          <w:p w14:paraId="62C3DA19"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29</w:t>
            </w:r>
          </w:p>
        </w:tc>
        <w:tc>
          <w:tcPr>
            <w:tcW w:w="888" w:type="dxa"/>
            <w:tcBorders>
              <w:top w:val="nil"/>
              <w:left w:val="nil"/>
              <w:bottom w:val="single" w:sz="4" w:space="0" w:color="auto"/>
              <w:right w:val="single" w:sz="4" w:space="0" w:color="auto"/>
            </w:tcBorders>
            <w:shd w:val="clear" w:color="000000" w:fill="FFFFFF"/>
            <w:vAlign w:val="center"/>
            <w:hideMark/>
          </w:tcPr>
          <w:p w14:paraId="22C3D75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w:t>
            </w:r>
          </w:p>
        </w:tc>
        <w:tc>
          <w:tcPr>
            <w:tcW w:w="877" w:type="dxa"/>
            <w:tcBorders>
              <w:top w:val="nil"/>
              <w:left w:val="nil"/>
              <w:bottom w:val="single" w:sz="4" w:space="0" w:color="auto"/>
              <w:right w:val="single" w:sz="4" w:space="0" w:color="auto"/>
            </w:tcBorders>
            <w:shd w:val="clear" w:color="000000" w:fill="FFFFFF"/>
            <w:vAlign w:val="center"/>
            <w:hideMark/>
          </w:tcPr>
          <w:p w14:paraId="5FCB5F4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8</w:t>
            </w:r>
          </w:p>
        </w:tc>
        <w:tc>
          <w:tcPr>
            <w:tcW w:w="876" w:type="dxa"/>
            <w:tcBorders>
              <w:top w:val="nil"/>
              <w:left w:val="nil"/>
              <w:bottom w:val="single" w:sz="4" w:space="0" w:color="auto"/>
              <w:right w:val="single" w:sz="4" w:space="0" w:color="auto"/>
            </w:tcBorders>
            <w:shd w:val="clear" w:color="000000" w:fill="FFFFFF"/>
            <w:vAlign w:val="center"/>
            <w:hideMark/>
          </w:tcPr>
          <w:p w14:paraId="1946A7AE"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6</w:t>
            </w:r>
          </w:p>
        </w:tc>
        <w:tc>
          <w:tcPr>
            <w:tcW w:w="876" w:type="dxa"/>
            <w:tcBorders>
              <w:top w:val="nil"/>
              <w:left w:val="nil"/>
              <w:bottom w:val="single" w:sz="4" w:space="0" w:color="auto"/>
              <w:right w:val="single" w:sz="4" w:space="0" w:color="auto"/>
            </w:tcBorders>
            <w:shd w:val="clear" w:color="000000" w:fill="FFFFFF"/>
            <w:vAlign w:val="center"/>
            <w:hideMark/>
          </w:tcPr>
          <w:p w14:paraId="0E865782"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8</w:t>
            </w:r>
          </w:p>
        </w:tc>
        <w:tc>
          <w:tcPr>
            <w:tcW w:w="877" w:type="dxa"/>
            <w:tcBorders>
              <w:top w:val="nil"/>
              <w:left w:val="nil"/>
              <w:bottom w:val="single" w:sz="4" w:space="0" w:color="auto"/>
              <w:right w:val="single" w:sz="4" w:space="0" w:color="auto"/>
            </w:tcBorders>
            <w:shd w:val="clear" w:color="000000" w:fill="FFFFFF"/>
            <w:vAlign w:val="center"/>
            <w:hideMark/>
          </w:tcPr>
          <w:p w14:paraId="48DF98D7"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12</w:t>
            </w:r>
          </w:p>
        </w:tc>
      </w:tr>
      <w:tr w:rsidR="00173C65" w:rsidRPr="00452B5C" w14:paraId="777D9B49" w14:textId="77777777" w:rsidTr="00A57174">
        <w:trPr>
          <w:trHeight w:val="900"/>
          <w:tblHeader/>
        </w:trPr>
        <w:tc>
          <w:tcPr>
            <w:tcW w:w="1701" w:type="dxa"/>
            <w:tcBorders>
              <w:top w:val="nil"/>
              <w:left w:val="single" w:sz="4" w:space="0" w:color="auto"/>
              <w:bottom w:val="single" w:sz="4" w:space="0" w:color="auto"/>
              <w:right w:val="single" w:sz="4" w:space="0" w:color="auto"/>
            </w:tcBorders>
            <w:shd w:val="clear" w:color="000000" w:fill="FFFFFF"/>
            <w:vAlign w:val="bottom"/>
            <w:hideMark/>
          </w:tcPr>
          <w:p w14:paraId="2D3B260B" w14:textId="77777777" w:rsidR="00173C65" w:rsidRPr="00452B5C" w:rsidRDefault="00173C65" w:rsidP="00B7659B">
            <w:pPr>
              <w:pStyle w:val="afb"/>
              <w:rPr>
                <w:sz w:val="24"/>
                <w:szCs w:val="24"/>
              </w:rPr>
            </w:pPr>
            <w:r w:rsidRPr="00452B5C">
              <w:rPr>
                <w:sz w:val="24"/>
                <w:szCs w:val="24"/>
              </w:rPr>
              <w:t>Магаданская область</w:t>
            </w:r>
          </w:p>
        </w:tc>
        <w:tc>
          <w:tcPr>
            <w:tcW w:w="901" w:type="dxa"/>
            <w:tcBorders>
              <w:top w:val="nil"/>
              <w:left w:val="nil"/>
              <w:bottom w:val="single" w:sz="4" w:space="0" w:color="auto"/>
              <w:right w:val="single" w:sz="4" w:space="0" w:color="auto"/>
            </w:tcBorders>
            <w:shd w:val="clear" w:color="000000" w:fill="FFFFFF"/>
            <w:vAlign w:val="center"/>
            <w:hideMark/>
          </w:tcPr>
          <w:p w14:paraId="161F074D"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29</w:t>
            </w:r>
          </w:p>
        </w:tc>
        <w:tc>
          <w:tcPr>
            <w:tcW w:w="876" w:type="dxa"/>
            <w:tcBorders>
              <w:top w:val="nil"/>
              <w:left w:val="nil"/>
              <w:bottom w:val="single" w:sz="4" w:space="0" w:color="auto"/>
              <w:right w:val="single" w:sz="4" w:space="0" w:color="auto"/>
            </w:tcBorders>
            <w:shd w:val="clear" w:color="000000" w:fill="FFFFFF"/>
            <w:vAlign w:val="center"/>
            <w:hideMark/>
          </w:tcPr>
          <w:p w14:paraId="6D024D6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29</w:t>
            </w:r>
          </w:p>
        </w:tc>
        <w:tc>
          <w:tcPr>
            <w:tcW w:w="877" w:type="dxa"/>
            <w:tcBorders>
              <w:top w:val="nil"/>
              <w:left w:val="nil"/>
              <w:bottom w:val="single" w:sz="4" w:space="0" w:color="auto"/>
              <w:right w:val="single" w:sz="4" w:space="0" w:color="auto"/>
            </w:tcBorders>
            <w:shd w:val="clear" w:color="000000" w:fill="FFFFFF"/>
            <w:vAlign w:val="center"/>
            <w:hideMark/>
          </w:tcPr>
          <w:p w14:paraId="219897CE"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30</w:t>
            </w:r>
          </w:p>
        </w:tc>
        <w:tc>
          <w:tcPr>
            <w:tcW w:w="876" w:type="dxa"/>
            <w:tcBorders>
              <w:top w:val="nil"/>
              <w:left w:val="nil"/>
              <w:bottom w:val="single" w:sz="4" w:space="0" w:color="auto"/>
              <w:right w:val="single" w:sz="4" w:space="0" w:color="auto"/>
            </w:tcBorders>
            <w:shd w:val="clear" w:color="000000" w:fill="FFFFFF"/>
            <w:vAlign w:val="center"/>
            <w:hideMark/>
          </w:tcPr>
          <w:p w14:paraId="7CDC7B3B"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27</w:t>
            </w:r>
          </w:p>
        </w:tc>
        <w:tc>
          <w:tcPr>
            <w:tcW w:w="864" w:type="dxa"/>
            <w:tcBorders>
              <w:top w:val="nil"/>
              <w:left w:val="nil"/>
              <w:bottom w:val="single" w:sz="4" w:space="0" w:color="auto"/>
              <w:right w:val="single" w:sz="4" w:space="0" w:color="auto"/>
            </w:tcBorders>
            <w:shd w:val="clear" w:color="000000" w:fill="FFFFFF"/>
            <w:vAlign w:val="center"/>
            <w:hideMark/>
          </w:tcPr>
          <w:p w14:paraId="57D182F7"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31</w:t>
            </w:r>
          </w:p>
        </w:tc>
        <w:tc>
          <w:tcPr>
            <w:tcW w:w="888" w:type="dxa"/>
            <w:tcBorders>
              <w:top w:val="nil"/>
              <w:left w:val="nil"/>
              <w:bottom w:val="single" w:sz="4" w:space="0" w:color="auto"/>
              <w:right w:val="single" w:sz="4" w:space="0" w:color="auto"/>
            </w:tcBorders>
            <w:shd w:val="clear" w:color="000000" w:fill="FFFFFF"/>
            <w:vAlign w:val="center"/>
            <w:hideMark/>
          </w:tcPr>
          <w:p w14:paraId="43FBD11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45</w:t>
            </w:r>
          </w:p>
        </w:tc>
        <w:tc>
          <w:tcPr>
            <w:tcW w:w="877" w:type="dxa"/>
            <w:tcBorders>
              <w:top w:val="nil"/>
              <w:left w:val="nil"/>
              <w:bottom w:val="single" w:sz="4" w:space="0" w:color="auto"/>
              <w:right w:val="single" w:sz="4" w:space="0" w:color="auto"/>
            </w:tcBorders>
            <w:shd w:val="clear" w:color="000000" w:fill="FFFFFF"/>
            <w:vAlign w:val="center"/>
            <w:hideMark/>
          </w:tcPr>
          <w:p w14:paraId="7DED4AF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45</w:t>
            </w:r>
          </w:p>
        </w:tc>
        <w:tc>
          <w:tcPr>
            <w:tcW w:w="876" w:type="dxa"/>
            <w:tcBorders>
              <w:top w:val="nil"/>
              <w:left w:val="nil"/>
              <w:bottom w:val="single" w:sz="4" w:space="0" w:color="auto"/>
              <w:right w:val="single" w:sz="4" w:space="0" w:color="auto"/>
            </w:tcBorders>
            <w:shd w:val="clear" w:color="000000" w:fill="FFFFFF"/>
            <w:vAlign w:val="center"/>
            <w:hideMark/>
          </w:tcPr>
          <w:p w14:paraId="2AB2778B"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45</w:t>
            </w:r>
          </w:p>
        </w:tc>
        <w:tc>
          <w:tcPr>
            <w:tcW w:w="876" w:type="dxa"/>
            <w:tcBorders>
              <w:top w:val="nil"/>
              <w:left w:val="nil"/>
              <w:bottom w:val="single" w:sz="4" w:space="0" w:color="auto"/>
              <w:right w:val="single" w:sz="4" w:space="0" w:color="auto"/>
            </w:tcBorders>
            <w:shd w:val="clear" w:color="000000" w:fill="FFFFFF"/>
            <w:vAlign w:val="center"/>
            <w:hideMark/>
          </w:tcPr>
          <w:p w14:paraId="00CA47E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46</w:t>
            </w:r>
          </w:p>
        </w:tc>
        <w:tc>
          <w:tcPr>
            <w:tcW w:w="877" w:type="dxa"/>
            <w:tcBorders>
              <w:top w:val="nil"/>
              <w:left w:val="nil"/>
              <w:bottom w:val="single" w:sz="4" w:space="0" w:color="auto"/>
              <w:right w:val="single" w:sz="4" w:space="0" w:color="auto"/>
            </w:tcBorders>
            <w:shd w:val="clear" w:color="000000" w:fill="FFFFFF"/>
            <w:vAlign w:val="center"/>
            <w:hideMark/>
          </w:tcPr>
          <w:p w14:paraId="54368C02"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49</w:t>
            </w:r>
          </w:p>
        </w:tc>
      </w:tr>
      <w:tr w:rsidR="00173C65" w:rsidRPr="00452B5C" w14:paraId="3E7C8EA1" w14:textId="77777777" w:rsidTr="00A57174">
        <w:trPr>
          <w:trHeight w:val="900"/>
          <w:tblHeader/>
        </w:trPr>
        <w:tc>
          <w:tcPr>
            <w:tcW w:w="1701" w:type="dxa"/>
            <w:tcBorders>
              <w:top w:val="nil"/>
              <w:left w:val="single" w:sz="4" w:space="0" w:color="auto"/>
              <w:bottom w:val="single" w:sz="4" w:space="0" w:color="auto"/>
              <w:right w:val="single" w:sz="4" w:space="0" w:color="auto"/>
            </w:tcBorders>
            <w:shd w:val="clear" w:color="000000" w:fill="FFFFFF"/>
            <w:vAlign w:val="bottom"/>
            <w:hideMark/>
          </w:tcPr>
          <w:p w14:paraId="6A89DA1E" w14:textId="77777777" w:rsidR="00173C65" w:rsidRPr="00452B5C" w:rsidRDefault="00173C65" w:rsidP="00B7659B">
            <w:pPr>
              <w:pStyle w:val="afb"/>
              <w:rPr>
                <w:sz w:val="24"/>
                <w:szCs w:val="24"/>
              </w:rPr>
            </w:pPr>
            <w:r w:rsidRPr="00452B5C">
              <w:rPr>
                <w:sz w:val="24"/>
                <w:szCs w:val="24"/>
              </w:rPr>
              <w:t>Сахалинская область</w:t>
            </w:r>
          </w:p>
        </w:tc>
        <w:tc>
          <w:tcPr>
            <w:tcW w:w="901" w:type="dxa"/>
            <w:tcBorders>
              <w:top w:val="nil"/>
              <w:left w:val="nil"/>
              <w:bottom w:val="single" w:sz="4" w:space="0" w:color="auto"/>
              <w:right w:val="single" w:sz="4" w:space="0" w:color="auto"/>
            </w:tcBorders>
            <w:shd w:val="clear" w:color="000000" w:fill="FFFFFF"/>
            <w:vAlign w:val="center"/>
            <w:hideMark/>
          </w:tcPr>
          <w:p w14:paraId="5054A1BE"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87</w:t>
            </w:r>
          </w:p>
        </w:tc>
        <w:tc>
          <w:tcPr>
            <w:tcW w:w="876" w:type="dxa"/>
            <w:tcBorders>
              <w:top w:val="nil"/>
              <w:left w:val="nil"/>
              <w:bottom w:val="single" w:sz="4" w:space="0" w:color="auto"/>
              <w:right w:val="single" w:sz="4" w:space="0" w:color="auto"/>
            </w:tcBorders>
            <w:shd w:val="clear" w:color="000000" w:fill="FFFFFF"/>
            <w:vAlign w:val="center"/>
            <w:hideMark/>
          </w:tcPr>
          <w:p w14:paraId="23DB4977"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77</w:t>
            </w:r>
          </w:p>
        </w:tc>
        <w:tc>
          <w:tcPr>
            <w:tcW w:w="877" w:type="dxa"/>
            <w:tcBorders>
              <w:top w:val="nil"/>
              <w:left w:val="nil"/>
              <w:bottom w:val="single" w:sz="4" w:space="0" w:color="auto"/>
              <w:right w:val="single" w:sz="4" w:space="0" w:color="auto"/>
            </w:tcBorders>
            <w:shd w:val="clear" w:color="000000" w:fill="FFFFFF"/>
            <w:vAlign w:val="center"/>
            <w:hideMark/>
          </w:tcPr>
          <w:p w14:paraId="3FC84AF2"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65</w:t>
            </w:r>
          </w:p>
        </w:tc>
        <w:tc>
          <w:tcPr>
            <w:tcW w:w="876" w:type="dxa"/>
            <w:tcBorders>
              <w:top w:val="nil"/>
              <w:left w:val="nil"/>
              <w:bottom w:val="single" w:sz="4" w:space="0" w:color="auto"/>
              <w:right w:val="single" w:sz="4" w:space="0" w:color="auto"/>
            </w:tcBorders>
            <w:shd w:val="clear" w:color="000000" w:fill="FFFFFF"/>
            <w:vAlign w:val="center"/>
            <w:hideMark/>
          </w:tcPr>
          <w:p w14:paraId="23D9E55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72</w:t>
            </w:r>
          </w:p>
        </w:tc>
        <w:tc>
          <w:tcPr>
            <w:tcW w:w="864" w:type="dxa"/>
            <w:tcBorders>
              <w:top w:val="nil"/>
              <w:left w:val="nil"/>
              <w:bottom w:val="single" w:sz="4" w:space="0" w:color="auto"/>
              <w:right w:val="single" w:sz="4" w:space="0" w:color="auto"/>
            </w:tcBorders>
            <w:shd w:val="clear" w:color="000000" w:fill="FFFFFF"/>
            <w:vAlign w:val="center"/>
            <w:hideMark/>
          </w:tcPr>
          <w:p w14:paraId="03C795E6"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77</w:t>
            </w:r>
          </w:p>
        </w:tc>
        <w:tc>
          <w:tcPr>
            <w:tcW w:w="888" w:type="dxa"/>
            <w:tcBorders>
              <w:top w:val="nil"/>
              <w:left w:val="nil"/>
              <w:bottom w:val="single" w:sz="4" w:space="0" w:color="auto"/>
              <w:right w:val="single" w:sz="4" w:space="0" w:color="auto"/>
            </w:tcBorders>
            <w:shd w:val="clear" w:color="000000" w:fill="FFFFFF"/>
            <w:vAlign w:val="center"/>
            <w:hideMark/>
          </w:tcPr>
          <w:p w14:paraId="09C28DC2"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275</w:t>
            </w:r>
          </w:p>
        </w:tc>
        <w:tc>
          <w:tcPr>
            <w:tcW w:w="877" w:type="dxa"/>
            <w:tcBorders>
              <w:top w:val="nil"/>
              <w:left w:val="nil"/>
              <w:bottom w:val="single" w:sz="4" w:space="0" w:color="auto"/>
              <w:right w:val="single" w:sz="4" w:space="0" w:color="auto"/>
            </w:tcBorders>
            <w:shd w:val="clear" w:color="000000" w:fill="FFFFFF"/>
            <w:vAlign w:val="center"/>
            <w:hideMark/>
          </w:tcPr>
          <w:p w14:paraId="4C3C3ED4"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107</w:t>
            </w:r>
          </w:p>
        </w:tc>
        <w:tc>
          <w:tcPr>
            <w:tcW w:w="876" w:type="dxa"/>
            <w:tcBorders>
              <w:top w:val="nil"/>
              <w:left w:val="nil"/>
              <w:bottom w:val="single" w:sz="4" w:space="0" w:color="auto"/>
              <w:right w:val="single" w:sz="4" w:space="0" w:color="auto"/>
            </w:tcBorders>
            <w:shd w:val="clear" w:color="000000" w:fill="FFFFFF"/>
            <w:vAlign w:val="center"/>
            <w:hideMark/>
          </w:tcPr>
          <w:p w14:paraId="6089FD39"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48</w:t>
            </w:r>
          </w:p>
        </w:tc>
        <w:tc>
          <w:tcPr>
            <w:tcW w:w="876" w:type="dxa"/>
            <w:tcBorders>
              <w:top w:val="nil"/>
              <w:left w:val="nil"/>
              <w:bottom w:val="single" w:sz="4" w:space="0" w:color="auto"/>
              <w:right w:val="single" w:sz="4" w:space="0" w:color="auto"/>
            </w:tcBorders>
            <w:shd w:val="clear" w:color="000000" w:fill="FFFFFF"/>
            <w:vAlign w:val="center"/>
            <w:hideMark/>
          </w:tcPr>
          <w:p w14:paraId="0EA40B7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39</w:t>
            </w:r>
          </w:p>
        </w:tc>
        <w:tc>
          <w:tcPr>
            <w:tcW w:w="877" w:type="dxa"/>
            <w:tcBorders>
              <w:top w:val="nil"/>
              <w:left w:val="nil"/>
              <w:bottom w:val="single" w:sz="4" w:space="0" w:color="auto"/>
              <w:right w:val="single" w:sz="4" w:space="0" w:color="auto"/>
            </w:tcBorders>
            <w:shd w:val="clear" w:color="000000" w:fill="FFFFFF"/>
            <w:vAlign w:val="center"/>
            <w:hideMark/>
          </w:tcPr>
          <w:p w14:paraId="3CBA40D0"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51</w:t>
            </w:r>
          </w:p>
        </w:tc>
      </w:tr>
      <w:tr w:rsidR="00173C65" w:rsidRPr="00452B5C" w14:paraId="4899BD36" w14:textId="77777777" w:rsidTr="00A57174">
        <w:trPr>
          <w:trHeight w:val="900"/>
          <w:tblHeader/>
        </w:trPr>
        <w:tc>
          <w:tcPr>
            <w:tcW w:w="1701" w:type="dxa"/>
            <w:tcBorders>
              <w:top w:val="nil"/>
              <w:left w:val="single" w:sz="4" w:space="0" w:color="auto"/>
              <w:bottom w:val="single" w:sz="4" w:space="0" w:color="auto"/>
              <w:right w:val="single" w:sz="4" w:space="0" w:color="auto"/>
            </w:tcBorders>
            <w:shd w:val="clear" w:color="000000" w:fill="FFFFFF"/>
            <w:vAlign w:val="bottom"/>
            <w:hideMark/>
          </w:tcPr>
          <w:p w14:paraId="5E5FB441" w14:textId="77777777" w:rsidR="00173C65" w:rsidRPr="00452B5C" w:rsidRDefault="00173C65" w:rsidP="00B7659B">
            <w:pPr>
              <w:pStyle w:val="afb"/>
              <w:rPr>
                <w:sz w:val="24"/>
                <w:szCs w:val="24"/>
              </w:rPr>
            </w:pPr>
            <w:r w:rsidRPr="00452B5C">
              <w:rPr>
                <w:sz w:val="24"/>
                <w:szCs w:val="24"/>
              </w:rPr>
              <w:t>Хабаровский край</w:t>
            </w:r>
          </w:p>
        </w:tc>
        <w:tc>
          <w:tcPr>
            <w:tcW w:w="901" w:type="dxa"/>
            <w:tcBorders>
              <w:top w:val="nil"/>
              <w:left w:val="nil"/>
              <w:bottom w:val="single" w:sz="4" w:space="0" w:color="auto"/>
              <w:right w:val="single" w:sz="4" w:space="0" w:color="auto"/>
            </w:tcBorders>
            <w:shd w:val="clear" w:color="000000" w:fill="FFFFFF"/>
            <w:vAlign w:val="center"/>
            <w:hideMark/>
          </w:tcPr>
          <w:p w14:paraId="7FBB681B"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115</w:t>
            </w:r>
          </w:p>
        </w:tc>
        <w:tc>
          <w:tcPr>
            <w:tcW w:w="876" w:type="dxa"/>
            <w:tcBorders>
              <w:top w:val="nil"/>
              <w:left w:val="nil"/>
              <w:bottom w:val="single" w:sz="4" w:space="0" w:color="auto"/>
              <w:right w:val="single" w:sz="4" w:space="0" w:color="auto"/>
            </w:tcBorders>
            <w:shd w:val="clear" w:color="000000" w:fill="FFFFFF"/>
            <w:vAlign w:val="center"/>
            <w:hideMark/>
          </w:tcPr>
          <w:p w14:paraId="31A9243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114</w:t>
            </w:r>
          </w:p>
        </w:tc>
        <w:tc>
          <w:tcPr>
            <w:tcW w:w="877" w:type="dxa"/>
            <w:tcBorders>
              <w:top w:val="nil"/>
              <w:left w:val="nil"/>
              <w:bottom w:val="single" w:sz="4" w:space="0" w:color="auto"/>
              <w:right w:val="single" w:sz="4" w:space="0" w:color="auto"/>
            </w:tcBorders>
            <w:shd w:val="clear" w:color="000000" w:fill="FFFFFF"/>
            <w:vAlign w:val="center"/>
            <w:hideMark/>
          </w:tcPr>
          <w:p w14:paraId="49FB466E"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103</w:t>
            </w:r>
          </w:p>
        </w:tc>
        <w:tc>
          <w:tcPr>
            <w:tcW w:w="876" w:type="dxa"/>
            <w:tcBorders>
              <w:top w:val="nil"/>
              <w:left w:val="nil"/>
              <w:bottom w:val="single" w:sz="4" w:space="0" w:color="auto"/>
              <w:right w:val="single" w:sz="4" w:space="0" w:color="auto"/>
            </w:tcBorders>
            <w:shd w:val="clear" w:color="000000" w:fill="FFFFFF"/>
            <w:vAlign w:val="center"/>
            <w:hideMark/>
          </w:tcPr>
          <w:p w14:paraId="0ED2173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116</w:t>
            </w:r>
          </w:p>
        </w:tc>
        <w:tc>
          <w:tcPr>
            <w:tcW w:w="864" w:type="dxa"/>
            <w:tcBorders>
              <w:top w:val="nil"/>
              <w:left w:val="nil"/>
              <w:bottom w:val="single" w:sz="4" w:space="0" w:color="auto"/>
              <w:right w:val="single" w:sz="4" w:space="0" w:color="auto"/>
            </w:tcBorders>
            <w:shd w:val="clear" w:color="000000" w:fill="FFFFFF"/>
            <w:vAlign w:val="center"/>
            <w:hideMark/>
          </w:tcPr>
          <w:p w14:paraId="6B6B3B2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114</w:t>
            </w:r>
          </w:p>
        </w:tc>
        <w:tc>
          <w:tcPr>
            <w:tcW w:w="888" w:type="dxa"/>
            <w:tcBorders>
              <w:top w:val="nil"/>
              <w:left w:val="nil"/>
              <w:bottom w:val="single" w:sz="4" w:space="0" w:color="auto"/>
              <w:right w:val="single" w:sz="4" w:space="0" w:color="auto"/>
            </w:tcBorders>
            <w:shd w:val="clear" w:color="000000" w:fill="FFFFFF"/>
            <w:vAlign w:val="center"/>
            <w:hideMark/>
          </w:tcPr>
          <w:p w14:paraId="4C020177"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640</w:t>
            </w:r>
          </w:p>
        </w:tc>
        <w:tc>
          <w:tcPr>
            <w:tcW w:w="877" w:type="dxa"/>
            <w:tcBorders>
              <w:top w:val="nil"/>
              <w:left w:val="nil"/>
              <w:bottom w:val="single" w:sz="4" w:space="0" w:color="auto"/>
              <w:right w:val="single" w:sz="4" w:space="0" w:color="auto"/>
            </w:tcBorders>
            <w:shd w:val="clear" w:color="000000" w:fill="FFFFFF"/>
            <w:vAlign w:val="center"/>
            <w:hideMark/>
          </w:tcPr>
          <w:p w14:paraId="3E819382"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487</w:t>
            </w:r>
          </w:p>
        </w:tc>
        <w:tc>
          <w:tcPr>
            <w:tcW w:w="876" w:type="dxa"/>
            <w:tcBorders>
              <w:top w:val="nil"/>
              <w:left w:val="nil"/>
              <w:bottom w:val="single" w:sz="4" w:space="0" w:color="auto"/>
              <w:right w:val="single" w:sz="4" w:space="0" w:color="auto"/>
            </w:tcBorders>
            <w:shd w:val="clear" w:color="000000" w:fill="FFFFFF"/>
            <w:vAlign w:val="center"/>
            <w:hideMark/>
          </w:tcPr>
          <w:p w14:paraId="0F4B1DB3"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428</w:t>
            </w:r>
          </w:p>
        </w:tc>
        <w:tc>
          <w:tcPr>
            <w:tcW w:w="876" w:type="dxa"/>
            <w:tcBorders>
              <w:top w:val="nil"/>
              <w:left w:val="nil"/>
              <w:bottom w:val="single" w:sz="4" w:space="0" w:color="auto"/>
              <w:right w:val="single" w:sz="4" w:space="0" w:color="auto"/>
            </w:tcBorders>
            <w:shd w:val="clear" w:color="000000" w:fill="FFFFFF"/>
            <w:vAlign w:val="center"/>
            <w:hideMark/>
          </w:tcPr>
          <w:p w14:paraId="75F86EEF"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485</w:t>
            </w:r>
          </w:p>
        </w:tc>
        <w:tc>
          <w:tcPr>
            <w:tcW w:w="877" w:type="dxa"/>
            <w:tcBorders>
              <w:top w:val="nil"/>
              <w:left w:val="nil"/>
              <w:bottom w:val="single" w:sz="4" w:space="0" w:color="auto"/>
              <w:right w:val="single" w:sz="4" w:space="0" w:color="auto"/>
            </w:tcBorders>
            <w:shd w:val="clear" w:color="000000" w:fill="FFFFFF"/>
            <w:vAlign w:val="center"/>
            <w:hideMark/>
          </w:tcPr>
          <w:p w14:paraId="2A1A2021" w14:textId="77777777" w:rsidR="00173C65" w:rsidRPr="00452B5C" w:rsidRDefault="00173C65" w:rsidP="00A57174">
            <w:pPr>
              <w:spacing w:after="0" w:line="240" w:lineRule="auto"/>
              <w:jc w:val="center"/>
              <w:rPr>
                <w:rFonts w:ascii="Times New Roman" w:hAnsi="Times New Roman" w:cs="Times New Roman"/>
                <w:sz w:val="24"/>
                <w:szCs w:val="24"/>
                <w:lang w:eastAsia="ru-RU"/>
              </w:rPr>
            </w:pPr>
            <w:r w:rsidRPr="00452B5C">
              <w:rPr>
                <w:rFonts w:ascii="Times New Roman" w:hAnsi="Times New Roman" w:cs="Times New Roman"/>
                <w:sz w:val="24"/>
                <w:szCs w:val="24"/>
                <w:lang w:eastAsia="ru-RU"/>
              </w:rPr>
              <w:t>556</w:t>
            </w:r>
          </w:p>
        </w:tc>
      </w:tr>
    </w:tbl>
    <w:p w14:paraId="2CA592C4" w14:textId="77777777" w:rsidR="00173C65" w:rsidRPr="00452B5C" w:rsidRDefault="00173C65" w:rsidP="00452B5C">
      <w:pPr>
        <w:spacing w:after="0" w:line="240" w:lineRule="auto"/>
        <w:ind w:firstLine="708"/>
        <w:jc w:val="both"/>
        <w:rPr>
          <w:rFonts w:ascii="Times New Roman" w:hAnsi="Times New Roman" w:cs="Times New Roman"/>
          <w:bCs/>
          <w:sz w:val="24"/>
          <w:szCs w:val="24"/>
        </w:rPr>
      </w:pPr>
      <w:r w:rsidRPr="00452B5C">
        <w:rPr>
          <w:rFonts w:ascii="Times New Roman" w:hAnsi="Times New Roman" w:cs="Times New Roman"/>
          <w:bCs/>
          <w:sz w:val="24"/>
          <w:szCs w:val="24"/>
        </w:rPr>
        <w:t>Следовательно, Приморский край является самым загрязняющим регионом, но и принимает большее количество мер по очищению выбросов из атмосферного  воздуха.</w:t>
      </w:r>
    </w:p>
    <w:p w14:paraId="70D99E64"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Итак, проведя данное исследование, мы сделали выводы, что, во-первых, Приморский край находится в середине списка   по количеству выбросов загрязняющих веществ в атмосферный воздух, во-вторых, он занимает одно из первых мест по улавливанию этих веществ. Также Приморский край является наиболее загрязняющим воздух регионом среди других объектов Дальневосточного федерального округа и в то же время принимает наибольшее количество мер по очищению атмосферы в ДВФО.</w:t>
      </w:r>
    </w:p>
    <w:p w14:paraId="28A6FE55"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r w:rsidRPr="00452B5C">
        <w:rPr>
          <w:rFonts w:ascii="Times New Roman" w:hAnsi="Times New Roman" w:cs="Times New Roman"/>
          <w:bCs/>
          <w:sz w:val="24"/>
          <w:szCs w:val="24"/>
        </w:rPr>
        <w:t>Чтобы вредных веществ в атмосфере было меньше, можно: 1) покупать товары без упаковки (пластик, фольга и картон, которые используются для создания упаковки, производятся с помощью технологий, которые негативно отражаются на качестве воздуха); 2)  использовать повторно, перерабатывать и сжимать мусор (чем меньше отходов попадёт на свалку, тем лучше, ведь они являются ещё одном большим источником загрязнения воздуха); не включать освещение и бытовые приборы без необходимости (это очень важно для снижения уровня загрязнения воздуха, поскольку электричество вырабатывается на теплоэлектростанциях с использованием каменного угля или природного газа).[1, с.1]</w:t>
      </w:r>
    </w:p>
    <w:p w14:paraId="7EE3B4B9" w14:textId="77777777" w:rsidR="00173C65" w:rsidRPr="00452B5C" w:rsidRDefault="00173C65" w:rsidP="00173C65">
      <w:pPr>
        <w:pBdr>
          <w:bottom w:val="single" w:sz="6" w:space="1" w:color="auto"/>
        </w:pBdr>
        <w:spacing w:after="0" w:line="240" w:lineRule="auto"/>
        <w:ind w:firstLine="709"/>
        <w:jc w:val="both"/>
        <w:rPr>
          <w:rFonts w:ascii="Times New Roman" w:hAnsi="Times New Roman" w:cs="Times New Roman"/>
          <w:bCs/>
          <w:sz w:val="24"/>
          <w:szCs w:val="24"/>
        </w:rPr>
      </w:pPr>
    </w:p>
    <w:p w14:paraId="17D63EA2" w14:textId="77777777" w:rsidR="00173C65" w:rsidRPr="00452B5C" w:rsidRDefault="00173C65" w:rsidP="00173C65">
      <w:pPr>
        <w:spacing w:after="0" w:line="240" w:lineRule="auto"/>
        <w:ind w:firstLine="709"/>
        <w:jc w:val="both"/>
        <w:rPr>
          <w:rFonts w:ascii="Times New Roman" w:hAnsi="Times New Roman" w:cs="Times New Roman"/>
          <w:bCs/>
          <w:sz w:val="24"/>
          <w:szCs w:val="24"/>
        </w:rPr>
      </w:pPr>
    </w:p>
    <w:p w14:paraId="7762C21D" w14:textId="77777777" w:rsidR="00173C65" w:rsidRPr="00452B5C" w:rsidRDefault="00173C65" w:rsidP="00202D58">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Как уменьшить загрязнение воздуха [Электронный ресурс]. – Режим доступа: </w:t>
      </w:r>
      <w:hyperlink r:id="rId63" w:history="1">
        <w:r w:rsidRPr="00452B5C">
          <w:rPr>
            <w:rFonts w:ascii="Times New Roman" w:eastAsia="Times New Roman" w:hAnsi="Times New Roman" w:cs="Times New Roman"/>
            <w:sz w:val="24"/>
            <w:szCs w:val="24"/>
            <w:lang w:eastAsia="ru-RU"/>
          </w:rPr>
          <w:t>https://ru.wikihow.com/уменьшить-загрязнение-воздуха</w:t>
        </w:r>
      </w:hyperlink>
    </w:p>
    <w:p w14:paraId="7DD53ED6" w14:textId="77777777" w:rsidR="00173C65" w:rsidRPr="00452B5C" w:rsidRDefault="00173C65" w:rsidP="00202D58">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Холодов А.С., Угай С.М., Дрозд В.А., Голохваст К.С. Микроразмерное загрязнение в малых и средних населённых пунктах приморского края. 2016. 3 с.</w:t>
      </w:r>
    </w:p>
    <w:p w14:paraId="3C3C4AF6" w14:textId="77777777" w:rsidR="00173C65" w:rsidRPr="00452B5C" w:rsidRDefault="00173C65" w:rsidP="00202D58">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Апатцев В.И., Матешева А.В. Нормативно-правовое обеспечение снижения социально-экономических последтвий для работников от загрязнения атмосферы. 2017. 4 с.</w:t>
      </w:r>
    </w:p>
    <w:p w14:paraId="38EDB1EE" w14:textId="77777777" w:rsidR="00173C65" w:rsidRPr="00452B5C" w:rsidRDefault="00173C65" w:rsidP="00202D58">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Подкопаева О.В. Особенности, тенденции  последствия загрязнения атмосферы городов Приморского края. 2014. 17 с.</w:t>
      </w:r>
    </w:p>
    <w:p w14:paraId="67CD03F4" w14:textId="77777777" w:rsidR="00173C65" w:rsidRPr="00452B5C" w:rsidRDefault="00173C65" w:rsidP="00202D58">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Регионы России. Социально – экономические показатели: стат. сб. / Федеральная служба государственной статистики; [под ред. С. Н. Егоенко]. Москва: Изд-во Федеральная служба государственной статистики, 2017, 142 с.</w:t>
      </w:r>
    </w:p>
    <w:p w14:paraId="52E608EF" w14:textId="77777777" w:rsidR="004E48F7" w:rsidRDefault="004E48F7" w:rsidP="004E48F7">
      <w:pPr>
        <w:spacing w:after="0" w:line="240" w:lineRule="auto"/>
        <w:ind w:left="397"/>
        <w:jc w:val="both"/>
        <w:rPr>
          <w:rFonts w:ascii="Times New Roman" w:eastAsia="Times New Roman" w:hAnsi="Times New Roman" w:cs="Times New Roman"/>
          <w:sz w:val="20"/>
          <w:szCs w:val="20"/>
          <w:lang w:eastAsia="ru-RU"/>
        </w:rPr>
      </w:pPr>
    </w:p>
    <w:p w14:paraId="074E47F7" w14:textId="77777777" w:rsidR="004E48F7" w:rsidRDefault="004E48F7" w:rsidP="004E48F7">
      <w:pPr>
        <w:spacing w:after="0" w:line="240" w:lineRule="auto"/>
        <w:ind w:left="397"/>
        <w:jc w:val="both"/>
        <w:rPr>
          <w:rFonts w:ascii="Times New Roman" w:eastAsia="Times New Roman" w:hAnsi="Times New Roman" w:cs="Times New Roman"/>
          <w:sz w:val="20"/>
          <w:szCs w:val="20"/>
          <w:lang w:eastAsia="ru-RU"/>
        </w:rPr>
      </w:pPr>
    </w:p>
    <w:p w14:paraId="154F67BE" w14:textId="77777777" w:rsidR="004E48F7" w:rsidRPr="00163E4B" w:rsidRDefault="004E48F7" w:rsidP="00163E4B">
      <w:pPr>
        <w:pStyle w:val="Default"/>
        <w:spacing w:after="240"/>
        <w:rPr>
          <w:b/>
          <w:color w:val="000000" w:themeColor="text1"/>
        </w:rPr>
      </w:pPr>
      <w:r w:rsidRPr="00163E4B">
        <w:rPr>
          <w:b/>
          <w:color w:val="000000" w:themeColor="text1"/>
        </w:rPr>
        <w:lastRenderedPageBreak/>
        <w:t xml:space="preserve">Рубрика:  Учёт, анализ, аудит и статистика: исследование тенденций и проблем совершенствования </w:t>
      </w:r>
    </w:p>
    <w:p w14:paraId="6B8CEE54" w14:textId="77777777" w:rsidR="004E48F7" w:rsidRPr="00770DF4" w:rsidRDefault="004E48F7" w:rsidP="00163E4B">
      <w:pPr>
        <w:pStyle w:val="Default"/>
        <w:spacing w:after="240"/>
        <w:jc w:val="both"/>
        <w:rPr>
          <w:color w:val="000000" w:themeColor="text1"/>
        </w:rPr>
      </w:pPr>
      <w:r w:rsidRPr="00770DF4">
        <w:rPr>
          <w:color w:val="000000" w:themeColor="text1"/>
        </w:rPr>
        <w:t>УДК 658.14/.17</w:t>
      </w:r>
    </w:p>
    <w:p w14:paraId="4A852BA6" w14:textId="77777777" w:rsidR="004E48F7" w:rsidRPr="00770DF4" w:rsidRDefault="004E48F7" w:rsidP="00163E4B">
      <w:pPr>
        <w:pStyle w:val="afc"/>
        <w:ind w:firstLine="709"/>
        <w:jc w:val="center"/>
        <w:rPr>
          <w:rFonts w:ascii="Times New Roman" w:hAnsi="Times New Roman"/>
          <w:color w:val="000000" w:themeColor="text1"/>
          <w:sz w:val="24"/>
          <w:szCs w:val="24"/>
        </w:rPr>
      </w:pPr>
    </w:p>
    <w:p w14:paraId="2C97E039" w14:textId="77777777" w:rsidR="004E48F7" w:rsidRDefault="00163E4B" w:rsidP="00163E4B">
      <w:pPr>
        <w:pStyle w:val="aff"/>
        <w:spacing w:after="0"/>
        <w:ind w:left="0" w:firstLine="709"/>
        <w:jc w:val="center"/>
        <w:outlineLvl w:val="1"/>
        <w:rPr>
          <w:rFonts w:ascii="Times New Roman" w:hAnsi="Times New Roman" w:cs="Times New Roman"/>
          <w:b/>
          <w:color w:val="000000" w:themeColor="text1"/>
          <w:sz w:val="24"/>
          <w:szCs w:val="24"/>
        </w:rPr>
      </w:pPr>
      <w:r w:rsidRPr="00770DF4">
        <w:rPr>
          <w:rFonts w:ascii="Times New Roman" w:hAnsi="Times New Roman" w:cs="Times New Roman"/>
          <w:b/>
          <w:color w:val="000000" w:themeColor="text1"/>
          <w:sz w:val="24"/>
          <w:szCs w:val="24"/>
        </w:rPr>
        <w:t>ОБЗОР ЗАКОНОДАТЕЛЬСТВА РОССИЙСКОЙ ФЕДЕРАЦИИ ПО БУХГАЛТЕРСКОМУ УЧЕТУ ТОВАРНЫХ ОПЕРАЦИЙ</w:t>
      </w:r>
    </w:p>
    <w:p w14:paraId="1299FC03" w14:textId="77777777" w:rsidR="00163E4B" w:rsidRPr="00770DF4" w:rsidRDefault="00163E4B" w:rsidP="00770DF4">
      <w:pPr>
        <w:pStyle w:val="aff"/>
        <w:spacing w:after="0"/>
        <w:ind w:left="0" w:firstLine="709"/>
        <w:jc w:val="center"/>
        <w:outlineLvl w:val="1"/>
        <w:rPr>
          <w:rFonts w:ascii="Times New Roman" w:hAnsi="Times New Roman" w:cs="Times New Roman"/>
          <w:b/>
          <w:color w:val="000000" w:themeColor="text1"/>
          <w:sz w:val="24"/>
          <w:szCs w:val="24"/>
        </w:rPr>
      </w:pPr>
    </w:p>
    <w:p w14:paraId="5F177ADE" w14:textId="77777777" w:rsidR="004E48F7" w:rsidRPr="00117149" w:rsidRDefault="00117149" w:rsidP="00770DF4">
      <w:pPr>
        <w:pStyle w:val="Default"/>
        <w:ind w:firstLine="709"/>
        <w:jc w:val="center"/>
        <w:rPr>
          <w:b/>
          <w:color w:val="000000" w:themeColor="text1"/>
        </w:rPr>
      </w:pPr>
      <w:r w:rsidRPr="00117149">
        <w:rPr>
          <w:b/>
          <w:color w:val="000000" w:themeColor="text1"/>
        </w:rPr>
        <w:t>Щербович Елена Николаевна</w:t>
      </w:r>
    </w:p>
    <w:p w14:paraId="7403046B" w14:textId="77777777" w:rsidR="004E48F7" w:rsidRPr="00770DF4" w:rsidRDefault="004E48F7" w:rsidP="00770DF4">
      <w:pPr>
        <w:pStyle w:val="Default"/>
        <w:ind w:firstLine="709"/>
        <w:jc w:val="center"/>
        <w:rPr>
          <w:color w:val="000000" w:themeColor="text1"/>
          <w:lang w:eastAsia="ru-RU"/>
        </w:rPr>
      </w:pPr>
      <w:r w:rsidRPr="00770DF4">
        <w:rPr>
          <w:color w:val="000000" w:themeColor="text1"/>
          <w:lang w:eastAsia="ru-RU"/>
        </w:rPr>
        <w:t xml:space="preserve">магистрант </w:t>
      </w:r>
    </w:p>
    <w:p w14:paraId="53508331" w14:textId="77777777" w:rsidR="00117149" w:rsidRDefault="00117149" w:rsidP="00770DF4">
      <w:pPr>
        <w:pStyle w:val="Default"/>
        <w:ind w:firstLine="709"/>
        <w:jc w:val="center"/>
        <w:rPr>
          <w:i/>
          <w:iCs/>
          <w:color w:val="000000" w:themeColor="text1"/>
        </w:rPr>
      </w:pPr>
    </w:p>
    <w:p w14:paraId="11007FB7" w14:textId="77777777" w:rsidR="004E48F7" w:rsidRPr="00770DF4" w:rsidRDefault="004E48F7" w:rsidP="00770DF4">
      <w:pPr>
        <w:pStyle w:val="Default"/>
        <w:ind w:firstLine="709"/>
        <w:jc w:val="center"/>
        <w:rPr>
          <w:color w:val="000000" w:themeColor="text1"/>
        </w:rPr>
      </w:pPr>
      <w:r w:rsidRPr="00770DF4">
        <w:rPr>
          <w:i/>
          <w:iCs/>
          <w:color w:val="000000" w:themeColor="text1"/>
        </w:rPr>
        <w:t>Владивостокский государственный университет экономики и сервиса</w:t>
      </w:r>
    </w:p>
    <w:p w14:paraId="15C6F646" w14:textId="77777777" w:rsidR="004E48F7" w:rsidRPr="00770DF4" w:rsidRDefault="004E48F7" w:rsidP="00770DF4">
      <w:pPr>
        <w:pStyle w:val="Default"/>
        <w:ind w:firstLine="709"/>
        <w:jc w:val="center"/>
        <w:rPr>
          <w:color w:val="000000" w:themeColor="text1"/>
        </w:rPr>
      </w:pPr>
      <w:r w:rsidRPr="00770DF4">
        <w:rPr>
          <w:i/>
          <w:iCs/>
          <w:color w:val="000000" w:themeColor="text1"/>
        </w:rPr>
        <w:t>Россия. Владивосток</w:t>
      </w:r>
    </w:p>
    <w:p w14:paraId="4C694B97" w14:textId="77777777" w:rsidR="00117149" w:rsidRPr="00117149" w:rsidRDefault="00117149" w:rsidP="00770DF4">
      <w:pPr>
        <w:pStyle w:val="Default"/>
        <w:ind w:firstLine="709"/>
        <w:jc w:val="center"/>
        <w:rPr>
          <w:color w:val="000000" w:themeColor="text1"/>
        </w:rPr>
      </w:pPr>
    </w:p>
    <w:p w14:paraId="5C431CD5" w14:textId="77777777" w:rsidR="004E48F7" w:rsidRPr="007E1000" w:rsidRDefault="004E48F7" w:rsidP="00770DF4">
      <w:pPr>
        <w:pStyle w:val="Default"/>
        <w:ind w:firstLine="709"/>
        <w:jc w:val="center"/>
        <w:rPr>
          <w:color w:val="000000" w:themeColor="text1"/>
        </w:rPr>
      </w:pPr>
      <w:r w:rsidRPr="00770DF4">
        <w:rPr>
          <w:color w:val="000000" w:themeColor="text1"/>
          <w:lang w:val="en-US"/>
        </w:rPr>
        <w:t>E</w:t>
      </w:r>
      <w:r w:rsidRPr="007E1000">
        <w:rPr>
          <w:color w:val="000000" w:themeColor="text1"/>
        </w:rPr>
        <w:t>-</w:t>
      </w:r>
      <w:r w:rsidRPr="00770DF4">
        <w:rPr>
          <w:color w:val="000000" w:themeColor="text1"/>
          <w:lang w:val="en-US"/>
        </w:rPr>
        <w:t>mail</w:t>
      </w:r>
      <w:r w:rsidRPr="007E1000">
        <w:rPr>
          <w:color w:val="000000" w:themeColor="text1"/>
        </w:rPr>
        <w:t xml:space="preserve">: </w:t>
      </w:r>
      <w:r w:rsidRPr="00770DF4">
        <w:rPr>
          <w:color w:val="000000" w:themeColor="text1"/>
          <w:lang w:val="en-US"/>
        </w:rPr>
        <w:t>doshido</w:t>
      </w:r>
      <w:r w:rsidRPr="007E1000">
        <w:rPr>
          <w:color w:val="000000" w:themeColor="text1"/>
        </w:rPr>
        <w:t>@</w:t>
      </w:r>
      <w:r w:rsidRPr="00770DF4">
        <w:rPr>
          <w:color w:val="000000" w:themeColor="text1"/>
          <w:lang w:val="en-US"/>
        </w:rPr>
        <w:t>mail</w:t>
      </w:r>
      <w:r w:rsidRPr="007E1000">
        <w:rPr>
          <w:color w:val="000000" w:themeColor="text1"/>
        </w:rPr>
        <w:t>.</w:t>
      </w:r>
      <w:r w:rsidRPr="00770DF4">
        <w:rPr>
          <w:color w:val="000000" w:themeColor="text1"/>
          <w:lang w:val="en-US"/>
        </w:rPr>
        <w:t>ru</w:t>
      </w:r>
      <w:r w:rsidRPr="007E1000">
        <w:rPr>
          <w:color w:val="000000" w:themeColor="text1"/>
        </w:rPr>
        <w:t xml:space="preserve">; </w:t>
      </w:r>
      <w:r w:rsidRPr="00770DF4">
        <w:rPr>
          <w:color w:val="000000" w:themeColor="text1"/>
        </w:rPr>
        <w:t>тел</w:t>
      </w:r>
      <w:r w:rsidRPr="007E1000">
        <w:rPr>
          <w:color w:val="000000" w:themeColor="text1"/>
        </w:rPr>
        <w:t>.: +79084489596</w:t>
      </w:r>
    </w:p>
    <w:p w14:paraId="5F7B2D03" w14:textId="77777777" w:rsidR="004E48F7" w:rsidRPr="00770DF4" w:rsidRDefault="004E48F7" w:rsidP="00770DF4">
      <w:pPr>
        <w:pStyle w:val="Default"/>
        <w:ind w:firstLine="709"/>
        <w:jc w:val="center"/>
        <w:rPr>
          <w:color w:val="000000" w:themeColor="text1"/>
        </w:rPr>
      </w:pPr>
      <w:r w:rsidRPr="00770DF4">
        <w:rPr>
          <w:color w:val="000000" w:themeColor="text1"/>
        </w:rPr>
        <w:t>ул. Гоголя, 41, г. Владивосток, Приморский край, Россия, 690014</w:t>
      </w:r>
    </w:p>
    <w:p w14:paraId="5EB26D91" w14:textId="77777777" w:rsidR="004E48F7" w:rsidRPr="00770DF4" w:rsidRDefault="004E48F7" w:rsidP="00770DF4">
      <w:pPr>
        <w:pStyle w:val="Default"/>
        <w:ind w:firstLine="709"/>
        <w:jc w:val="center"/>
        <w:rPr>
          <w:color w:val="000000" w:themeColor="text1"/>
        </w:rPr>
      </w:pPr>
    </w:p>
    <w:p w14:paraId="3C96370A" w14:textId="77777777" w:rsidR="004E48F7" w:rsidRPr="00770DF4" w:rsidRDefault="004E48F7" w:rsidP="00770DF4">
      <w:pPr>
        <w:spacing w:after="0" w:line="240" w:lineRule="auto"/>
        <w:ind w:firstLine="709"/>
        <w:jc w:val="both"/>
        <w:rPr>
          <w:rFonts w:ascii="Times New Roman" w:hAnsi="Times New Roman" w:cs="Times New Roman"/>
          <w:i/>
          <w:color w:val="000000" w:themeColor="text1"/>
          <w:sz w:val="24"/>
          <w:szCs w:val="24"/>
          <w:lang w:eastAsia="ru-RU"/>
        </w:rPr>
      </w:pPr>
      <w:r w:rsidRPr="00770DF4">
        <w:rPr>
          <w:rFonts w:ascii="Times New Roman" w:hAnsi="Times New Roman" w:cs="Times New Roman"/>
          <w:i/>
          <w:iCs/>
          <w:color w:val="000000" w:themeColor="text1"/>
          <w:sz w:val="24"/>
          <w:szCs w:val="24"/>
        </w:rPr>
        <w:t>В статье проводится обзор законодательства Российской Федерации по ведению бухгалтерского учета товарных операций.</w:t>
      </w:r>
      <w:r w:rsidRPr="00770DF4">
        <w:rPr>
          <w:rFonts w:ascii="Times New Roman" w:hAnsi="Times New Roman" w:cs="Times New Roman"/>
          <w:i/>
          <w:color w:val="000000" w:themeColor="text1"/>
          <w:sz w:val="24"/>
          <w:szCs w:val="24"/>
          <w:lang w:eastAsia="ru-RU"/>
        </w:rPr>
        <w:t xml:space="preserve"> </w:t>
      </w:r>
    </w:p>
    <w:p w14:paraId="224A3E54" w14:textId="77777777" w:rsidR="004E48F7" w:rsidRPr="00770DF4" w:rsidRDefault="004E48F7" w:rsidP="00770DF4">
      <w:pPr>
        <w:spacing w:after="0" w:line="240" w:lineRule="auto"/>
        <w:ind w:firstLine="709"/>
        <w:jc w:val="both"/>
        <w:rPr>
          <w:rFonts w:ascii="Times New Roman" w:eastAsia="ArialNarrow" w:hAnsi="Times New Roman" w:cs="Times New Roman"/>
          <w:b/>
          <w:bCs/>
          <w:i/>
          <w:iCs/>
          <w:color w:val="000000" w:themeColor="text1"/>
          <w:sz w:val="24"/>
          <w:szCs w:val="24"/>
          <w:lang w:eastAsia="ru-RU"/>
        </w:rPr>
      </w:pPr>
      <w:r w:rsidRPr="00770DF4">
        <w:rPr>
          <w:rFonts w:ascii="Times New Roman" w:hAnsi="Times New Roman" w:cs="Times New Roman"/>
          <w:i/>
          <w:color w:val="000000" w:themeColor="text1"/>
          <w:sz w:val="24"/>
          <w:szCs w:val="24"/>
          <w:lang w:eastAsia="ru-RU"/>
        </w:rPr>
        <w:t xml:space="preserve">Актуальность статьи обуславливается тем, что, </w:t>
      </w:r>
      <w:r w:rsidRPr="00770DF4">
        <w:rPr>
          <w:rFonts w:ascii="Times New Roman" w:hAnsi="Times New Roman" w:cs="Times New Roman"/>
          <w:i/>
          <w:color w:val="000000" w:themeColor="text1"/>
          <w:sz w:val="24"/>
          <w:szCs w:val="24"/>
        </w:rPr>
        <w:t>на торговом предприятии учет товарных операций является наиболее трудоемким, так как в основе хозяйственной деятельности торгового предприятия лежат процессы приобретения, хранения и реализации товаров. Поэтому особая роль уделяется организации бухгалтерского учета товарных операций на предприятиях торговли.</w:t>
      </w:r>
      <w:r w:rsidRPr="00770DF4">
        <w:rPr>
          <w:rFonts w:ascii="Times New Roman" w:eastAsia="ArialNarrow" w:hAnsi="Times New Roman" w:cs="Times New Roman"/>
          <w:b/>
          <w:bCs/>
          <w:i/>
          <w:iCs/>
          <w:color w:val="000000" w:themeColor="text1"/>
          <w:sz w:val="24"/>
          <w:szCs w:val="24"/>
          <w:lang w:eastAsia="ru-RU"/>
        </w:rPr>
        <w:t xml:space="preserve"> </w:t>
      </w:r>
    </w:p>
    <w:p w14:paraId="192EE779" w14:textId="77777777" w:rsidR="004E48F7" w:rsidRPr="00770DF4" w:rsidRDefault="004E48F7" w:rsidP="00770DF4">
      <w:pPr>
        <w:spacing w:after="0" w:line="240" w:lineRule="auto"/>
        <w:ind w:firstLine="709"/>
        <w:jc w:val="both"/>
        <w:rPr>
          <w:rFonts w:ascii="Times New Roman" w:eastAsia="ArialNarrow" w:hAnsi="Times New Roman" w:cs="Times New Roman"/>
          <w:bCs/>
          <w:i/>
          <w:color w:val="000000" w:themeColor="text1"/>
          <w:sz w:val="24"/>
          <w:szCs w:val="24"/>
          <w:lang w:eastAsia="ru-RU"/>
        </w:rPr>
      </w:pPr>
      <w:r w:rsidRPr="00770DF4">
        <w:rPr>
          <w:rFonts w:ascii="Times New Roman" w:eastAsia="ArialNarrow" w:hAnsi="Times New Roman" w:cs="Times New Roman"/>
          <w:b/>
          <w:bCs/>
          <w:i/>
          <w:iCs/>
          <w:color w:val="000000" w:themeColor="text1"/>
          <w:sz w:val="24"/>
          <w:szCs w:val="24"/>
          <w:lang w:eastAsia="ru-RU"/>
        </w:rPr>
        <w:t>Ключевые слова</w:t>
      </w:r>
      <w:r w:rsidRPr="00770DF4">
        <w:rPr>
          <w:rFonts w:ascii="Times New Roman" w:eastAsia="ArialNarrow" w:hAnsi="Times New Roman" w:cs="Times New Roman"/>
          <w:b/>
          <w:bCs/>
          <w:i/>
          <w:color w:val="000000" w:themeColor="text1"/>
          <w:sz w:val="24"/>
          <w:szCs w:val="24"/>
          <w:lang w:eastAsia="ru-RU"/>
        </w:rPr>
        <w:t xml:space="preserve">: </w:t>
      </w:r>
      <w:r w:rsidRPr="00770DF4">
        <w:rPr>
          <w:rFonts w:ascii="Times New Roman" w:eastAsia="ArialNarrow" w:hAnsi="Times New Roman" w:cs="Times New Roman"/>
          <w:bCs/>
          <w:i/>
          <w:color w:val="000000" w:themeColor="text1"/>
          <w:sz w:val="24"/>
          <w:szCs w:val="24"/>
          <w:lang w:eastAsia="ru-RU"/>
        </w:rPr>
        <w:t>товарные операции, бухгалтерский учет, бухгалтерская отчетность, нормативные акты, действующее законодательство, налоговый кодекс, гражданский кодекс.</w:t>
      </w:r>
    </w:p>
    <w:p w14:paraId="3BC8F9AD" w14:textId="77777777" w:rsidR="004E48F7" w:rsidRPr="00770DF4" w:rsidRDefault="004E48F7" w:rsidP="00770DF4">
      <w:pPr>
        <w:spacing w:after="0" w:line="240" w:lineRule="auto"/>
        <w:ind w:firstLine="709"/>
        <w:jc w:val="both"/>
        <w:rPr>
          <w:rFonts w:ascii="Times New Roman" w:eastAsia="ArialNarrow" w:hAnsi="Times New Roman" w:cs="Times New Roman"/>
          <w:bCs/>
          <w:i/>
          <w:color w:val="000000" w:themeColor="text1"/>
          <w:sz w:val="24"/>
          <w:szCs w:val="24"/>
          <w:lang w:eastAsia="ru-RU"/>
        </w:rPr>
      </w:pPr>
    </w:p>
    <w:p w14:paraId="526EB0F0" w14:textId="77777777" w:rsidR="004E48F7" w:rsidRPr="00770DF4" w:rsidRDefault="00117149" w:rsidP="00117149">
      <w:pPr>
        <w:spacing w:after="0" w:line="240" w:lineRule="auto"/>
        <w:ind w:firstLine="709"/>
        <w:jc w:val="center"/>
        <w:rPr>
          <w:rFonts w:ascii="Times New Roman" w:hAnsi="Times New Roman" w:cs="Times New Roman"/>
          <w:b/>
          <w:color w:val="000000" w:themeColor="text1"/>
          <w:sz w:val="24"/>
          <w:szCs w:val="24"/>
          <w:lang w:val="en-US"/>
        </w:rPr>
      </w:pPr>
      <w:r w:rsidRPr="00770DF4">
        <w:rPr>
          <w:rFonts w:ascii="Times New Roman" w:hAnsi="Times New Roman" w:cs="Times New Roman"/>
          <w:b/>
          <w:color w:val="000000" w:themeColor="text1"/>
          <w:sz w:val="24"/>
          <w:szCs w:val="24"/>
          <w:lang w:val="en-US"/>
        </w:rPr>
        <w:t>REVIEW OF THE LEGISLATION OF THE RUSSIAN FEDERATION ON ACCOUNTING OF COMMODITY</w:t>
      </w:r>
      <w:r w:rsidRPr="00770DF4">
        <w:rPr>
          <w:rFonts w:ascii="Times New Roman" w:hAnsi="Times New Roman" w:cs="Times New Roman"/>
          <w:b/>
          <w:color w:val="000000" w:themeColor="text1"/>
          <w:sz w:val="24"/>
          <w:szCs w:val="24"/>
          <w:lang w:val="en-US"/>
        </w:rPr>
        <w:br/>
        <w:t>OPERATIONS</w:t>
      </w:r>
    </w:p>
    <w:p w14:paraId="18D160CB" w14:textId="77777777" w:rsidR="004E48F7" w:rsidRPr="00770DF4" w:rsidRDefault="004E48F7" w:rsidP="00770DF4">
      <w:pPr>
        <w:tabs>
          <w:tab w:val="left" w:pos="2330"/>
        </w:tabs>
        <w:spacing w:after="0" w:line="240" w:lineRule="auto"/>
        <w:ind w:firstLine="709"/>
        <w:jc w:val="both"/>
        <w:rPr>
          <w:rFonts w:ascii="Times New Roman" w:hAnsi="Times New Roman" w:cs="Times New Roman"/>
          <w:i/>
          <w:color w:val="000000" w:themeColor="text1"/>
          <w:sz w:val="24"/>
          <w:szCs w:val="24"/>
          <w:lang w:val="en-US"/>
        </w:rPr>
      </w:pPr>
      <w:r w:rsidRPr="00770DF4">
        <w:rPr>
          <w:rFonts w:ascii="Times New Roman" w:hAnsi="Times New Roman" w:cs="Times New Roman"/>
          <w:i/>
          <w:color w:val="000000" w:themeColor="text1"/>
          <w:sz w:val="24"/>
          <w:szCs w:val="24"/>
          <w:lang w:val="en-US"/>
        </w:rPr>
        <w:tab/>
      </w:r>
    </w:p>
    <w:p w14:paraId="0C7B34E5" w14:textId="77777777" w:rsidR="004E48F7" w:rsidRPr="00770DF4" w:rsidRDefault="004E48F7" w:rsidP="00770DF4">
      <w:pPr>
        <w:pStyle w:val="afc"/>
        <w:spacing w:line="276" w:lineRule="auto"/>
        <w:ind w:firstLine="709"/>
        <w:jc w:val="both"/>
        <w:rPr>
          <w:rFonts w:ascii="Times New Roman" w:hAnsi="Times New Roman"/>
          <w:i/>
          <w:color w:val="000000" w:themeColor="text1"/>
          <w:sz w:val="24"/>
          <w:szCs w:val="24"/>
          <w:lang w:val="en-US"/>
        </w:rPr>
      </w:pPr>
      <w:r w:rsidRPr="00770DF4">
        <w:rPr>
          <w:rFonts w:ascii="Times New Roman" w:hAnsi="Times New Roman"/>
          <w:i/>
          <w:color w:val="000000" w:themeColor="text1"/>
          <w:sz w:val="24"/>
          <w:szCs w:val="24"/>
          <w:lang w:val="en-US"/>
        </w:rPr>
        <w:t>The article reviews the legislation of the Russian Federation on accounting for commodity transactions.</w:t>
      </w:r>
    </w:p>
    <w:p w14:paraId="3F84C902" w14:textId="77777777" w:rsidR="004E48F7" w:rsidRPr="00770DF4" w:rsidRDefault="004E48F7" w:rsidP="00770DF4">
      <w:pPr>
        <w:pStyle w:val="afc"/>
        <w:spacing w:line="276" w:lineRule="auto"/>
        <w:ind w:firstLine="709"/>
        <w:jc w:val="both"/>
        <w:rPr>
          <w:rFonts w:ascii="Times New Roman" w:hAnsi="Times New Roman"/>
          <w:i/>
          <w:color w:val="000000" w:themeColor="text1"/>
          <w:sz w:val="24"/>
          <w:szCs w:val="24"/>
          <w:lang w:val="en-US"/>
        </w:rPr>
      </w:pPr>
      <w:r w:rsidRPr="00770DF4">
        <w:rPr>
          <w:rFonts w:ascii="Times New Roman" w:hAnsi="Times New Roman"/>
          <w:i/>
          <w:color w:val="000000" w:themeColor="text1"/>
          <w:sz w:val="24"/>
          <w:szCs w:val="24"/>
          <w:lang w:val="en-US"/>
        </w:rPr>
        <w:t>The urgency of the article is conditioned by the fact that, at a trading enterprise, the accounting of commodity transactions is the most laborious, since the economic activities of a trading enterprise are based on the processes of acquiring, storing and selling goods. Therefore, a special role is given to the organization of accounting of commodity transactions at trading enterprises.</w:t>
      </w:r>
    </w:p>
    <w:p w14:paraId="33D89D87" w14:textId="77777777" w:rsidR="004E48F7" w:rsidRPr="00770DF4" w:rsidRDefault="004E48F7" w:rsidP="00770DF4">
      <w:pPr>
        <w:pStyle w:val="afc"/>
        <w:spacing w:line="276" w:lineRule="auto"/>
        <w:ind w:firstLine="709"/>
        <w:jc w:val="both"/>
        <w:rPr>
          <w:rFonts w:ascii="Times New Roman" w:hAnsi="Times New Roman"/>
          <w:i/>
          <w:color w:val="000000" w:themeColor="text1"/>
          <w:sz w:val="24"/>
          <w:szCs w:val="24"/>
          <w:lang w:val="en-US"/>
        </w:rPr>
      </w:pPr>
      <w:r w:rsidRPr="00770DF4">
        <w:rPr>
          <w:rFonts w:ascii="Times New Roman" w:hAnsi="Times New Roman"/>
          <w:b/>
          <w:i/>
          <w:color w:val="000000" w:themeColor="text1"/>
          <w:sz w:val="24"/>
          <w:szCs w:val="24"/>
          <w:lang w:val="en-US"/>
        </w:rPr>
        <w:t>Keywords</w:t>
      </w:r>
      <w:r w:rsidRPr="00770DF4">
        <w:rPr>
          <w:rFonts w:ascii="Times New Roman" w:hAnsi="Times New Roman"/>
          <w:i/>
          <w:color w:val="000000" w:themeColor="text1"/>
          <w:sz w:val="24"/>
          <w:szCs w:val="24"/>
          <w:lang w:val="en-US"/>
        </w:rPr>
        <w:t>: commodity transactions, accounting, accounting reporting, regulations, current legislation, tax code, civil code.</w:t>
      </w:r>
    </w:p>
    <w:p w14:paraId="61AC30FB" w14:textId="77777777" w:rsidR="004E48F7" w:rsidRPr="00770DF4" w:rsidRDefault="004E48F7" w:rsidP="00770DF4">
      <w:pPr>
        <w:pStyle w:val="afc"/>
        <w:spacing w:line="276" w:lineRule="auto"/>
        <w:ind w:firstLine="709"/>
        <w:jc w:val="both"/>
        <w:rPr>
          <w:rFonts w:ascii="Times New Roman" w:hAnsi="Times New Roman"/>
          <w:i/>
          <w:color w:val="000000" w:themeColor="text1"/>
          <w:sz w:val="24"/>
          <w:szCs w:val="24"/>
          <w:lang w:val="en-US"/>
        </w:rPr>
      </w:pPr>
    </w:p>
    <w:p w14:paraId="677A7E5F" w14:textId="77777777" w:rsidR="004E48F7" w:rsidRPr="00770DF4" w:rsidRDefault="004E48F7" w:rsidP="00770DF4">
      <w:pPr>
        <w:pStyle w:val="afc"/>
        <w:ind w:firstLine="709"/>
        <w:jc w:val="both"/>
        <w:rPr>
          <w:rFonts w:ascii="Times New Roman" w:hAnsi="Times New Roman"/>
          <w:bCs/>
          <w:iCs/>
          <w:color w:val="000000" w:themeColor="text1"/>
          <w:sz w:val="24"/>
          <w:szCs w:val="24"/>
        </w:rPr>
      </w:pPr>
      <w:r w:rsidRPr="00770DF4">
        <w:rPr>
          <w:rFonts w:ascii="Times New Roman" w:hAnsi="Times New Roman"/>
          <w:color w:val="000000" w:themeColor="text1"/>
          <w:sz w:val="24"/>
          <w:szCs w:val="24"/>
        </w:rPr>
        <w:t xml:space="preserve">Основным объектом учета в торговых организациях являются товарные операции. Значение бухгалтерского учета товарных операций для предприятий заключается в формировании достоверной и оперативной информации по основному виду деятельности. Значение системы учета для отрасли в целом  - получение сведений о финансовых результатах от осуществления товарных операций с целью оценки, планирования и прогнозирования  оптимальных направлений развития торговли. Задачи учета и анализа товарных операций формируются в соответствии с особенностями деятельности организации </w:t>
      </w:r>
      <w:r w:rsidRPr="00770DF4">
        <w:rPr>
          <w:rFonts w:ascii="Times New Roman" w:hAnsi="Times New Roman"/>
          <w:color w:val="000000" w:themeColor="text1"/>
          <w:sz w:val="24"/>
          <w:szCs w:val="24"/>
        </w:rPr>
        <w:lastRenderedPageBreak/>
        <w:t>и конечной целью. Ведение учета основано на положениях действующих нормативных актов, регулирующих процесс товарных операций и организацию их бухгалтерского учета.</w:t>
      </w:r>
    </w:p>
    <w:p w14:paraId="5C5B43B1"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К документам в области регулирования бухгалтерского учета товарных операций в соответствии с действующим законодательством относятся нормативные акты, расположенные по уровням в соответствии с Законом «О бухгалтерском учете» № 402-ФЗ от 6 декабря 2011 года </w:t>
      </w:r>
      <w:r w:rsidRPr="00770DF4">
        <w:rPr>
          <w:rFonts w:ascii="Times New Roman" w:hAnsi="Times New Roman"/>
          <w:color w:val="000000" w:themeColor="text1"/>
          <w:sz w:val="24"/>
          <w:szCs w:val="24"/>
          <w:shd w:val="clear" w:color="auto" w:fill="FFFFFF"/>
        </w:rPr>
        <w:t>[1].</w:t>
      </w:r>
    </w:p>
    <w:p w14:paraId="568DE29D"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В Российской Федерации существуют следующие стандарты нормативного регулирование бухгалтерского учета товарных операций:</w:t>
      </w:r>
    </w:p>
    <w:p w14:paraId="482FD78C"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 </w:t>
      </w:r>
      <w:r w:rsidRPr="00770DF4">
        <w:rPr>
          <w:rFonts w:ascii="Times New Roman" w:hAnsi="Times New Roman"/>
          <w:b/>
          <w:color w:val="000000" w:themeColor="text1"/>
          <w:sz w:val="24"/>
          <w:szCs w:val="24"/>
        </w:rPr>
        <w:t>федеральные</w:t>
      </w:r>
      <w:r w:rsidRPr="00770DF4">
        <w:rPr>
          <w:rFonts w:ascii="Times New Roman" w:hAnsi="Times New Roman"/>
          <w:color w:val="000000" w:themeColor="text1"/>
          <w:sz w:val="24"/>
          <w:szCs w:val="24"/>
        </w:rPr>
        <w:t xml:space="preserve"> </w:t>
      </w:r>
    </w:p>
    <w:p w14:paraId="6EDC2F86"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(Гражданский  кодекс РФ № 54-ФЗ от 15.05.2001; Налоговый кодекс РФ № 117-ФЗ от 05.08.2000; Федеральный закон «О бухгалтерском учете» № 402-ФЗ от 06.12.2011; Положение по бухгалтерскому учету «Учет материально- производственных запасов» ПБУ 5/01 от 9.06.2001 №44н; Положение по бухгалтерскому учету «Расходы организации» ПБУ 10/99 от 6.05.1999 № 33н);</w:t>
      </w:r>
    </w:p>
    <w:p w14:paraId="6464C8B5" w14:textId="77777777" w:rsidR="004E48F7" w:rsidRPr="00770DF4" w:rsidRDefault="004E48F7" w:rsidP="00770DF4">
      <w:pPr>
        <w:pStyle w:val="afc"/>
        <w:ind w:firstLine="709"/>
        <w:jc w:val="both"/>
        <w:rPr>
          <w:rFonts w:ascii="Times New Roman" w:hAnsi="Times New Roman"/>
          <w:b/>
          <w:color w:val="000000" w:themeColor="text1"/>
          <w:sz w:val="24"/>
          <w:szCs w:val="24"/>
        </w:rPr>
      </w:pPr>
      <w:r w:rsidRPr="00770DF4">
        <w:rPr>
          <w:rFonts w:ascii="Times New Roman" w:hAnsi="Times New Roman"/>
          <w:color w:val="000000" w:themeColor="text1"/>
          <w:sz w:val="24"/>
          <w:szCs w:val="24"/>
        </w:rPr>
        <w:t xml:space="preserve">- </w:t>
      </w:r>
      <w:r w:rsidRPr="00770DF4">
        <w:rPr>
          <w:rFonts w:ascii="Times New Roman" w:hAnsi="Times New Roman"/>
          <w:b/>
          <w:color w:val="000000" w:themeColor="text1"/>
          <w:sz w:val="24"/>
          <w:szCs w:val="24"/>
        </w:rPr>
        <w:t xml:space="preserve">отраслевые </w:t>
      </w:r>
    </w:p>
    <w:p w14:paraId="6B148AA9" w14:textId="77777777" w:rsidR="004E48F7" w:rsidRPr="00770DF4" w:rsidRDefault="004E48F7" w:rsidP="00770DF4">
      <w:pPr>
        <w:pStyle w:val="afc"/>
        <w:ind w:firstLine="709"/>
        <w:jc w:val="both"/>
        <w:rPr>
          <w:rFonts w:ascii="Times New Roman" w:hAnsi="Times New Roman"/>
          <w:b/>
          <w:color w:val="000000" w:themeColor="text1"/>
          <w:sz w:val="24"/>
          <w:szCs w:val="24"/>
        </w:rPr>
      </w:pPr>
      <w:r w:rsidRPr="00770DF4">
        <w:rPr>
          <w:rFonts w:ascii="Times New Roman" w:hAnsi="Times New Roman"/>
          <w:color w:val="000000" w:themeColor="text1"/>
          <w:sz w:val="24"/>
          <w:szCs w:val="24"/>
        </w:rPr>
        <w:t>(Торговля. Термины и определения. Государственный стандарт РФ ГОСТ Р 51303-99: Постановление Госстандарта России от 11.08.1999 г. № 242-ст);</w:t>
      </w:r>
    </w:p>
    <w:p w14:paraId="5C364109"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 </w:t>
      </w:r>
      <w:r w:rsidRPr="00770DF4">
        <w:rPr>
          <w:rFonts w:ascii="Times New Roman" w:hAnsi="Times New Roman"/>
          <w:b/>
          <w:color w:val="000000" w:themeColor="text1"/>
          <w:sz w:val="24"/>
          <w:szCs w:val="24"/>
        </w:rPr>
        <w:t>рекомендации в области бухгалтерского учета</w:t>
      </w:r>
      <w:r w:rsidRPr="00770DF4">
        <w:rPr>
          <w:rFonts w:ascii="Times New Roman" w:hAnsi="Times New Roman"/>
          <w:color w:val="000000" w:themeColor="text1"/>
          <w:sz w:val="24"/>
          <w:szCs w:val="24"/>
        </w:rPr>
        <w:t xml:space="preserve"> </w:t>
      </w:r>
    </w:p>
    <w:p w14:paraId="31CD1177"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(Методические указания по бухгалтерскому учету материально-производственных запасов» № 119н от 28.12.2001;</w:t>
      </w:r>
      <w:r w:rsidRPr="00770DF4">
        <w:rPr>
          <w:rFonts w:ascii="Times New Roman" w:hAnsi="Times New Roman"/>
          <w:b/>
          <w:color w:val="000000" w:themeColor="text1"/>
          <w:sz w:val="24"/>
          <w:szCs w:val="24"/>
        </w:rPr>
        <w:t xml:space="preserve"> </w:t>
      </w:r>
      <w:r w:rsidRPr="00770DF4">
        <w:rPr>
          <w:rFonts w:ascii="Times New Roman" w:hAnsi="Times New Roman"/>
          <w:color w:val="000000" w:themeColor="text1"/>
          <w:sz w:val="24"/>
          <w:szCs w:val="24"/>
        </w:rPr>
        <w:t>Методические указания по инвентаризации имущества и финансовых обязательств, утвержденных приказом Минфина России от 13 июня 1995 г. №49);</w:t>
      </w:r>
    </w:p>
    <w:p w14:paraId="6DF6AF3A"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 </w:t>
      </w:r>
      <w:r w:rsidRPr="00770DF4">
        <w:rPr>
          <w:rFonts w:ascii="Times New Roman" w:hAnsi="Times New Roman"/>
          <w:b/>
          <w:color w:val="000000" w:themeColor="text1"/>
          <w:sz w:val="24"/>
          <w:szCs w:val="24"/>
        </w:rPr>
        <w:t>стандарты экономического субъекта</w:t>
      </w:r>
      <w:r w:rsidRPr="00770DF4">
        <w:rPr>
          <w:rFonts w:ascii="Times New Roman" w:hAnsi="Times New Roman"/>
          <w:color w:val="000000" w:themeColor="text1"/>
          <w:sz w:val="24"/>
          <w:szCs w:val="24"/>
        </w:rPr>
        <w:t xml:space="preserve"> </w:t>
      </w:r>
    </w:p>
    <w:p w14:paraId="090CC58D"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(Приказ об учетной политике, рабочий план счетов, график документооборота) </w:t>
      </w:r>
      <w:r w:rsidRPr="00770DF4">
        <w:rPr>
          <w:rFonts w:ascii="Times New Roman" w:hAnsi="Times New Roman"/>
          <w:color w:val="000000" w:themeColor="text1"/>
          <w:sz w:val="24"/>
          <w:szCs w:val="24"/>
          <w:shd w:val="clear" w:color="auto" w:fill="FFFFFF"/>
        </w:rPr>
        <w:t>[1].</w:t>
      </w:r>
    </w:p>
    <w:p w14:paraId="1BDAD5E4"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 При организации товарных операций необходимо руководствоваться бухгалтерским, гражданским и налоговым законодательством.</w:t>
      </w:r>
    </w:p>
    <w:p w14:paraId="630866E6"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Основным документом, регулирующим осуществление торговых операций, является Гражданский  кодекс РФ № 54-ФЗ от 15.05.2001, в котором определяются условия заключения договора купли-продажи товаров, его форма и порядок признания. Расчеты с участием граждан, не связанные с осуществлением ими предпринимательской деятельности, могут производиться наличными деньгами  без ограничения суммы или в безналичном порядке. При этом следует отметить отсутствие детализации договорных отношений применительно к операциям с товарами [2].</w:t>
      </w:r>
    </w:p>
    <w:p w14:paraId="4DD9C319"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Налоговый кодекс РФ № 117-ФЗ от 05.08.2000 г. регулирует отношения по установлению, введению и взиманию налогов и сборов в РФ, а также отношения, возникающие в процессе осуществления налогового контроля, обжалования актов налоговых органов, действий (бездействия) их должностных лиц и привлечения к ответственности за совершение налогового правонарушения. Глава 25 НК РФ «Налог на прибыль организаций» содержит порядок налогообложения операций с товарами [3]. </w:t>
      </w:r>
      <w:r w:rsidRPr="00770DF4">
        <w:rPr>
          <w:rStyle w:val="aff1"/>
          <w:rFonts w:ascii="Times New Roman" w:hAnsi="Times New Roman"/>
          <w:i w:val="0"/>
          <w:iCs/>
          <w:color w:val="000000" w:themeColor="text1"/>
          <w:sz w:val="24"/>
          <w:szCs w:val="24"/>
        </w:rPr>
        <w:t>При организации налогового учета важно точное соблюдение налогового законодательства. При этом существуют определенные проблемы, решение которых – одна из основных задач при организации налогового учета операций с товарами.</w:t>
      </w:r>
    </w:p>
    <w:p w14:paraId="177AF716"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 xml:space="preserve">При формировании финансового результата от осуществления товарных операций  расходы должны быть обоснованными (статья 252 НК РФ).  Экономическая обоснованность является относительной категорией, кроме того, не все расходы приносят доход. По смыслу ст. 252 НК РФ экономическая обоснованность понесенных налогоплательщиком расходов определяется не фактическим получением доходов в конкретном налоговом (отчетном) периоде, а направленностью таких расходов на получение дохода </w:t>
      </w:r>
      <w:r w:rsidRPr="00770DF4">
        <w:rPr>
          <w:rFonts w:ascii="Times New Roman" w:hAnsi="Times New Roman"/>
          <w:color w:val="000000" w:themeColor="text1"/>
          <w:sz w:val="24"/>
          <w:szCs w:val="24"/>
        </w:rPr>
        <w:t>[3]</w:t>
      </w:r>
      <w:r w:rsidRPr="00770DF4">
        <w:rPr>
          <w:rStyle w:val="aff1"/>
          <w:rFonts w:ascii="Times New Roman" w:hAnsi="Times New Roman"/>
          <w:i w:val="0"/>
          <w:iCs/>
          <w:color w:val="000000" w:themeColor="text1"/>
          <w:sz w:val="24"/>
          <w:szCs w:val="24"/>
        </w:rPr>
        <w:t>. При этом коммерческая деятельность подразумевает, в том числе, риск возникновения убытка. В связи с этим данное обстоятельство не свидетельствует о получении необоснованной налоговой выгоды и не препятствует учету затрат в целях налога на прибыль.</w:t>
      </w:r>
    </w:p>
    <w:p w14:paraId="069BC591"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lastRenderedPageBreak/>
        <w:t xml:space="preserve">Товарные операции (доходы и расходы по ним) должны быть документально подтвержденными (статья 252 НК РФ) </w:t>
      </w:r>
      <w:r w:rsidRPr="00770DF4">
        <w:rPr>
          <w:rFonts w:ascii="Times New Roman" w:hAnsi="Times New Roman"/>
          <w:color w:val="000000" w:themeColor="text1"/>
          <w:sz w:val="24"/>
          <w:szCs w:val="24"/>
        </w:rPr>
        <w:t>[3]</w:t>
      </w:r>
      <w:r w:rsidRPr="00770DF4">
        <w:rPr>
          <w:rStyle w:val="aff1"/>
          <w:rFonts w:ascii="Times New Roman" w:hAnsi="Times New Roman"/>
          <w:i w:val="0"/>
          <w:iCs/>
          <w:color w:val="000000" w:themeColor="text1"/>
          <w:sz w:val="24"/>
          <w:szCs w:val="24"/>
        </w:rPr>
        <w:t>. Вместе с тем, налоговый кодекс не содержит конкретного перечня документов, позволяющих обосновать доходы и расходы компании. В этой связи эту проблему приходится решать в суде.  Спорным вопросом является подтверждение тех или иных операций при отсутствии каких-либо документов. </w:t>
      </w:r>
    </w:p>
    <w:p w14:paraId="3883632F"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Проблема товарных операций.  Подтверждению хозяйственных операций не посвящено ни одной статьи в Налоговом кодексе. Вместе с тем, налоговые органы часто доначисляют налог на прибыль, если заподозрят налогоплательщика в том, что хозяйственные операции не были осуществлены. Налогоплательщикам часто в судебном порядке требуется доказать, что налогоплательщик правомерно уменьшил налогооблагаемую базу. </w:t>
      </w:r>
    </w:p>
    <w:p w14:paraId="33095CAE"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Период учета.  Период признания конкретного вида доходов и расходов также вызывает многочисленные споры, ведь период признания влияет на налогооблагаемую базу. Расходы на приобретение товаров подлежат учету в том налоговом периоде, в котором произошла их реализация, в стоимости которой они учтены [3]. </w:t>
      </w:r>
    </w:p>
    <w:p w14:paraId="6B2DE99C"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Наличие противоречий в документах.  Налоговый орган не говорит об ошибках и противоречиях в документах. Однако, ошибки в документах имеют место и важно их вовремя исправить, даже если они сделаны не отчитывающейся организацией, а её контрагентом.</w:t>
      </w:r>
    </w:p>
    <w:p w14:paraId="15D0A881"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Нормирование товарных потерь. Судебная практика часто связана с нормативами потерь. Однако часто нормы либо не предусмотрены законодательно, либо установлены уже давно и не соответствуют современным нормативам. </w:t>
      </w:r>
    </w:p>
    <w:p w14:paraId="53D73E77" w14:textId="77777777" w:rsidR="004E48F7" w:rsidRPr="00770DF4" w:rsidRDefault="004E48F7" w:rsidP="00770DF4">
      <w:pPr>
        <w:pStyle w:val="afc"/>
        <w:numPr>
          <w:ilvl w:val="0"/>
          <w:numId w:val="79"/>
        </w:numPr>
        <w:ind w:left="284"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Проблема должной осмотрительности. Понятие должной осмотрительности и перечень необходимых мероприятий в Налоговом кодексе отсутствуют. Однако такая проблема широко рассмотрена в судебной практике. Налоговые органы часто предъявляют претензии в отношении должной осмотрительности. При взаимодействии с контрагентами налогоплательщикам приходится подтверждать проявление той самой должной осмотрительности.  </w:t>
      </w:r>
    </w:p>
    <w:p w14:paraId="7E6B861D" w14:textId="77777777" w:rsidR="004E48F7" w:rsidRPr="00770DF4" w:rsidRDefault="004E48F7" w:rsidP="00770DF4">
      <w:pPr>
        <w:pStyle w:val="afc"/>
        <w:ind w:firstLine="709"/>
        <w:jc w:val="both"/>
        <w:rPr>
          <w:rStyle w:val="aff1"/>
          <w:rFonts w:ascii="Times New Roman" w:hAnsi="Times New Roman"/>
          <w:i w:val="0"/>
          <w:iCs/>
          <w:color w:val="000000" w:themeColor="text1"/>
          <w:sz w:val="24"/>
          <w:szCs w:val="24"/>
        </w:rPr>
      </w:pPr>
      <w:r w:rsidRPr="00770DF4">
        <w:rPr>
          <w:rStyle w:val="aff1"/>
          <w:rFonts w:ascii="Times New Roman" w:hAnsi="Times New Roman"/>
          <w:i w:val="0"/>
          <w:iCs/>
          <w:color w:val="000000" w:themeColor="text1"/>
          <w:sz w:val="24"/>
          <w:szCs w:val="24"/>
        </w:rPr>
        <w:t>Следовательно, Налоговый кодекс РФ содержит множество спорных моментов, которые суды и налоговые органы трактуют не в пользу налогоплательщика. Эти проблемные моменты нужно учитывать при ведении хозяйственной деятельности.</w:t>
      </w:r>
    </w:p>
    <w:p w14:paraId="581191AB"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Регулирование бухгалтерского учета устанавливается Законом «О бухгалтерском учете» № 402-ФЗ от 6 декабря 2011 года [1]. Статьей 20 этого закона определено, что ведение бухгалтерского учета производится на основании принципов:</w:t>
      </w:r>
    </w:p>
    <w:p w14:paraId="47A6B834" w14:textId="77777777" w:rsidR="004E48F7" w:rsidRPr="00770DF4" w:rsidRDefault="004E48F7" w:rsidP="00770DF4">
      <w:pPr>
        <w:pStyle w:val="afc"/>
        <w:numPr>
          <w:ilvl w:val="0"/>
          <w:numId w:val="80"/>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федеральные и отраслевые стандарты должны соответствовать потребностям внутренних и внешних пользователей информации бухгалтерской (финансовой) отчетности, с учетом развития и достижений науки и практики ведения бухгалтерского учета;</w:t>
      </w:r>
    </w:p>
    <w:p w14:paraId="2402B9C8" w14:textId="77777777" w:rsidR="004E48F7" w:rsidRPr="00770DF4" w:rsidRDefault="004E48F7" w:rsidP="00770DF4">
      <w:pPr>
        <w:pStyle w:val="afc"/>
        <w:numPr>
          <w:ilvl w:val="0"/>
          <w:numId w:val="80"/>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системы задач и требований к бухгалтерскому учету должны быть едины;</w:t>
      </w:r>
    </w:p>
    <w:p w14:paraId="292D16C1" w14:textId="77777777" w:rsidR="004E48F7" w:rsidRPr="00770DF4" w:rsidRDefault="004E48F7" w:rsidP="00770DF4">
      <w:pPr>
        <w:pStyle w:val="afc"/>
        <w:numPr>
          <w:ilvl w:val="0"/>
          <w:numId w:val="80"/>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способы ведения бухгалтерского учета должны быть упрощены, что включает в себя упрощенную отчетность и формы учета для малых предприятий и отдельных хозяйствующих субъектов;</w:t>
      </w:r>
    </w:p>
    <w:p w14:paraId="36A5E230" w14:textId="77777777" w:rsidR="004E48F7" w:rsidRPr="00770DF4" w:rsidRDefault="004E48F7" w:rsidP="00770DF4">
      <w:pPr>
        <w:pStyle w:val="afc"/>
        <w:numPr>
          <w:ilvl w:val="0"/>
          <w:numId w:val="80"/>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в качестве основ положений и стандартов бухгалтерского учета должны применяться международные стандарты учета и отчетности;</w:t>
      </w:r>
    </w:p>
    <w:p w14:paraId="5AAD8B9E" w14:textId="77777777" w:rsidR="004E48F7" w:rsidRPr="00770DF4" w:rsidRDefault="004E48F7" w:rsidP="00770DF4">
      <w:pPr>
        <w:pStyle w:val="afc"/>
        <w:numPr>
          <w:ilvl w:val="0"/>
          <w:numId w:val="80"/>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должны быть предоставлены условия для общеустановленного применения федеральных и отраслевых положений стандартов учета;</w:t>
      </w:r>
    </w:p>
    <w:p w14:paraId="2DB6C052" w14:textId="77777777" w:rsidR="004E48F7" w:rsidRPr="00770DF4" w:rsidRDefault="004E48F7" w:rsidP="00770DF4">
      <w:pPr>
        <w:pStyle w:val="afc"/>
        <w:numPr>
          <w:ilvl w:val="0"/>
          <w:numId w:val="80"/>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не должны совмещаться полномочия органов утверждения федеральных стандартов и государственного контроля бухгалтерского учета [1].</w:t>
      </w:r>
    </w:p>
    <w:p w14:paraId="76F3AA66"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Положение по ведению бухгалтерского учета и бухгалтерской отчетности в Российской Федерации, утв.  Приказом Минфина от 29.07.98 №34н, определяет порядок организации и ведения бухгалтерского учета [6].</w:t>
      </w:r>
    </w:p>
    <w:p w14:paraId="74B91C97"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lastRenderedPageBreak/>
        <w:t>Положение по бухгалтерскому учету «Учетная политика органи</w:t>
      </w:r>
      <w:r w:rsidRPr="00770DF4">
        <w:rPr>
          <w:rFonts w:ascii="Times New Roman" w:hAnsi="Times New Roman"/>
          <w:color w:val="000000" w:themeColor="text1"/>
          <w:sz w:val="24"/>
          <w:szCs w:val="24"/>
        </w:rPr>
        <w:softHyphen/>
        <w:t>зации» (ПБУ 1/2008), утв. Приказом Министерства финансов Рос</w:t>
      </w:r>
      <w:r w:rsidRPr="00770DF4">
        <w:rPr>
          <w:rFonts w:ascii="Times New Roman" w:hAnsi="Times New Roman"/>
          <w:color w:val="000000" w:themeColor="text1"/>
          <w:sz w:val="24"/>
          <w:szCs w:val="24"/>
        </w:rPr>
        <w:softHyphen/>
        <w:t xml:space="preserve">сийской Федерации </w:t>
      </w:r>
      <w:r w:rsidRPr="00770DF4">
        <w:rPr>
          <w:rFonts w:ascii="Times New Roman" w:hAnsi="Times New Roman"/>
          <w:bCs/>
          <w:color w:val="000000" w:themeColor="text1"/>
          <w:sz w:val="24"/>
          <w:szCs w:val="24"/>
        </w:rPr>
        <w:t xml:space="preserve">от 6 октября 2008 г. № 106н </w:t>
      </w:r>
      <w:r w:rsidRPr="00770DF4">
        <w:rPr>
          <w:rFonts w:ascii="Times New Roman" w:hAnsi="Times New Roman"/>
          <w:color w:val="000000" w:themeColor="text1"/>
          <w:sz w:val="24"/>
          <w:szCs w:val="24"/>
        </w:rPr>
        <w:t>(</w:t>
      </w:r>
      <w:r w:rsidRPr="00770DF4">
        <w:rPr>
          <w:rFonts w:ascii="Times New Roman" w:hAnsi="Times New Roman"/>
          <w:bCs/>
          <w:color w:val="000000" w:themeColor="text1"/>
          <w:sz w:val="24"/>
          <w:szCs w:val="24"/>
        </w:rPr>
        <w:t xml:space="preserve">ред. </w:t>
      </w:r>
      <w:r w:rsidRPr="00770DF4">
        <w:rPr>
          <w:rFonts w:ascii="Times New Roman" w:hAnsi="Times New Roman"/>
          <w:color w:val="000000" w:themeColor="text1"/>
          <w:sz w:val="24"/>
          <w:szCs w:val="24"/>
        </w:rPr>
        <w:t xml:space="preserve">от 27.04.2012 </w:t>
      </w:r>
      <w:hyperlink r:id="rId64" w:history="1">
        <w:r w:rsidRPr="00770DF4">
          <w:rPr>
            <w:rStyle w:val="a4"/>
            <w:rFonts w:ascii="Times New Roman" w:hAnsi="Times New Roman"/>
            <w:color w:val="000000" w:themeColor="text1"/>
            <w:sz w:val="24"/>
            <w:szCs w:val="24"/>
          </w:rPr>
          <w:t>N 55н</w:t>
        </w:r>
      </w:hyperlink>
      <w:r w:rsidRPr="00770DF4">
        <w:rPr>
          <w:rFonts w:ascii="Times New Roman" w:hAnsi="Times New Roman"/>
          <w:bCs/>
          <w:color w:val="000000" w:themeColor="text1"/>
          <w:sz w:val="24"/>
          <w:szCs w:val="24"/>
        </w:rPr>
        <w:t>)</w:t>
      </w:r>
      <w:r w:rsidRPr="00770DF4">
        <w:rPr>
          <w:rFonts w:ascii="Times New Roman" w:hAnsi="Times New Roman"/>
          <w:color w:val="000000" w:themeColor="text1"/>
          <w:sz w:val="24"/>
          <w:szCs w:val="24"/>
        </w:rPr>
        <w:t>, отражает требования по формированию учетной политики организации и определяет элементы, подлежащие раскрытию и в том, числе  порядок ее утверждения, а также порядок внесения изменений в учетную политику. Положением установлено, что при формировании учетной политики в части учета товаров утверждаются:</w:t>
      </w:r>
    </w:p>
    <w:p w14:paraId="19E96759" w14:textId="77777777" w:rsidR="004E48F7" w:rsidRPr="00770DF4" w:rsidRDefault="004E48F7" w:rsidP="00770DF4">
      <w:pPr>
        <w:pStyle w:val="afc"/>
        <w:numPr>
          <w:ilvl w:val="0"/>
          <w:numId w:val="81"/>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рабочий план счетов учета хозяйственных операций, который содержит синтетические и аналитические счета учета товаров, их движения и результатов от продажи;</w:t>
      </w:r>
    </w:p>
    <w:p w14:paraId="07C6454B" w14:textId="77777777" w:rsidR="004E48F7" w:rsidRPr="00770DF4" w:rsidRDefault="004E48F7" w:rsidP="00770DF4">
      <w:pPr>
        <w:pStyle w:val="afc"/>
        <w:numPr>
          <w:ilvl w:val="0"/>
          <w:numId w:val="81"/>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формы первичной учетной документации, используемых регистров бухгалтерского учета, а также форм внутренней отчетности;</w:t>
      </w:r>
    </w:p>
    <w:p w14:paraId="67A1D8FF" w14:textId="77777777" w:rsidR="004E48F7" w:rsidRPr="00770DF4" w:rsidRDefault="004E48F7" w:rsidP="00770DF4">
      <w:pPr>
        <w:pStyle w:val="afc"/>
        <w:numPr>
          <w:ilvl w:val="0"/>
          <w:numId w:val="81"/>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режим проведения инвентаризации товарных запасов, а также обязательств и расчетов по товарным операциям;</w:t>
      </w:r>
    </w:p>
    <w:p w14:paraId="6541F2F1" w14:textId="77777777" w:rsidR="004E48F7" w:rsidRPr="00770DF4" w:rsidRDefault="004E48F7" w:rsidP="00770DF4">
      <w:pPr>
        <w:pStyle w:val="afc"/>
        <w:numPr>
          <w:ilvl w:val="0"/>
          <w:numId w:val="81"/>
        </w:numPr>
        <w:ind w:left="284"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методы оценки товаров при поступлении и их выбытии [7].</w:t>
      </w:r>
    </w:p>
    <w:p w14:paraId="73065526"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Положение по бухгалтерскому учету «Бухгалтерская отчетность организации» ПБУ 4/99, утв. приказом Минфина от 6 июля 1999 г. № 43н, определяет состав и содержание отчетности. Статьей 20 ПБУ 4/99 установлено, что </w:t>
      </w:r>
      <w:r w:rsidRPr="00770DF4">
        <w:rPr>
          <w:rFonts w:ascii="Times New Roman" w:hAnsi="Times New Roman"/>
          <w:color w:val="000000" w:themeColor="text1"/>
          <w:sz w:val="24"/>
          <w:szCs w:val="24"/>
          <w:shd w:val="clear" w:color="auto" w:fill="FFFFFF"/>
        </w:rPr>
        <w:t xml:space="preserve">бухгалтерский баланс должен содержать числовые показатели по оборотным активам, в числе которых находятся товары и дебиторская задолженность покупателей за товары </w:t>
      </w:r>
      <w:r w:rsidRPr="00770DF4">
        <w:rPr>
          <w:rFonts w:ascii="Times New Roman" w:hAnsi="Times New Roman"/>
          <w:color w:val="000000" w:themeColor="text1"/>
          <w:sz w:val="24"/>
          <w:szCs w:val="24"/>
        </w:rPr>
        <w:t>[8].</w:t>
      </w:r>
    </w:p>
    <w:p w14:paraId="5F97892B"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Положение по бухгалтерскому учету «Учет материально- производственных запасов» ПБУ 5/01, утвержденное приказом Минфина от 9.06.2001 г. №44н, устанавливает порядок оценки товарно-материальных ценностей, методы оценки материалов и товаров при их списании в производство и выбытии, состав информации о состоянии материальных запасов, подлежащей отражению в отчетности [14]. Основным недостатком является отсутствие классификации товаров.</w:t>
      </w:r>
    </w:p>
    <w:p w14:paraId="46AF8653"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Положение по бухгалтерскому учету «Доходы организации» ПБУ 9/99, утвержденное приказом Минфина от 6 мая 1999 г. № 32н, регулирует порядок определения выручки от продаж (реализации) товаров торговой организации, формирования прибыли и учета прочих доходов [9]. </w:t>
      </w:r>
    </w:p>
    <w:p w14:paraId="5837913D"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Положение по бухгалтерскому учету «Расходы организации» ПБУ 10/99, утвержденное приказом Минфина от 6 мая 1999 г. № 33н (в ред. приказа Минфина РФ от 27.04.2012 </w:t>
      </w:r>
      <w:hyperlink r:id="rId65" w:history="1">
        <w:r w:rsidRPr="00770DF4">
          <w:rPr>
            <w:rStyle w:val="a4"/>
            <w:rFonts w:ascii="Times New Roman" w:hAnsi="Times New Roman"/>
            <w:color w:val="000000" w:themeColor="text1"/>
            <w:sz w:val="24"/>
            <w:szCs w:val="24"/>
          </w:rPr>
          <w:t>N 55н</w:t>
        </w:r>
      </w:hyperlink>
      <w:r w:rsidRPr="00770DF4">
        <w:rPr>
          <w:rFonts w:ascii="Times New Roman" w:hAnsi="Times New Roman"/>
          <w:color w:val="000000" w:themeColor="text1"/>
          <w:sz w:val="24"/>
          <w:szCs w:val="24"/>
        </w:rPr>
        <w:t xml:space="preserve">). ПБУ 10/99 регулирует порядок признания и общие правила отражения в бухгалтерском учете и отчетности расходов организации, относимых на увеличение себестоимости товарной продукции и принимаемых к уменьшению валовой прибыли торгового предприятия [4]. </w:t>
      </w:r>
    </w:p>
    <w:p w14:paraId="2D0F0EB4"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Методические указания по бухгалтерскому учету материально- производственных запасов, утвержденные приказом Минфина от 28.12.2001 № 119н, устанавливают, порядок формирования и отражения в учете готовой продукции, учет товаров в неторговых организациях, учет недостач и потерь; порядок проведения инвентаризаций и т.п. [8].</w:t>
      </w:r>
    </w:p>
    <w:p w14:paraId="5F9D344C"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Методические указания по инвентаризации имущества и финансовых обязательств, утв. приказом Минфина РФ от 13.06.95 № 49, устанавливают порядок назначения, проведения и документального оформления инвентаризации, выведения её результатов и их отражения в учете [5].</w:t>
      </w:r>
    </w:p>
    <w:p w14:paraId="69D46ADD"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Порядок ведения учета в соответствии с особенностями деятельности предприятия устанавливают внутренние учетные документы: Приказ об учетной  политике, разработанной для каждого предприятия и утвержденный руководителем, План счетов бухгалтерского учета, Положение о документообороте.</w:t>
      </w:r>
    </w:p>
    <w:p w14:paraId="218A0D7D" w14:textId="77777777" w:rsidR="004E48F7" w:rsidRPr="00770DF4" w:rsidRDefault="004E48F7" w:rsidP="00770DF4">
      <w:pPr>
        <w:pStyle w:val="afc"/>
        <w:ind w:firstLine="709"/>
        <w:jc w:val="both"/>
        <w:rPr>
          <w:rStyle w:val="aff1"/>
          <w:rFonts w:ascii="Times New Roman" w:hAnsi="Times New Roman"/>
          <w:i w:val="0"/>
          <w:iCs/>
          <w:color w:val="000000" w:themeColor="text1"/>
          <w:sz w:val="24"/>
          <w:szCs w:val="24"/>
        </w:rPr>
      </w:pPr>
      <w:r w:rsidRPr="00770DF4">
        <w:rPr>
          <w:rFonts w:ascii="Times New Roman" w:hAnsi="Times New Roman"/>
          <w:color w:val="000000" w:themeColor="text1"/>
          <w:sz w:val="24"/>
          <w:szCs w:val="24"/>
        </w:rPr>
        <w:t xml:space="preserve"> </w:t>
      </w:r>
      <w:bookmarkStart w:id="10" w:name="_Toc448482679"/>
      <w:bookmarkStart w:id="11" w:name="_Toc448482525"/>
      <w:r w:rsidRPr="00770DF4">
        <w:rPr>
          <w:rStyle w:val="aff1"/>
          <w:rFonts w:ascii="Times New Roman" w:hAnsi="Times New Roman"/>
          <w:i w:val="0"/>
          <w:iCs/>
          <w:color w:val="000000" w:themeColor="text1"/>
          <w:sz w:val="24"/>
          <w:szCs w:val="24"/>
        </w:rPr>
        <w:t>Сложившаяся в Российской Федерация система бухгалтерского учета не предполагает возможности простого переноса международных стандартов в российскую учетную систему. Обращается внимание на то, что в МСФО представлены общие принципы учета, а в России утверждены План счетов и положения по бухгалтерскому учету, раскрывающие порядок учета и использование учетных процедур.</w:t>
      </w:r>
      <w:bookmarkEnd w:id="10"/>
      <w:bookmarkEnd w:id="11"/>
    </w:p>
    <w:p w14:paraId="5BB547CF" w14:textId="77777777" w:rsidR="004E48F7" w:rsidRPr="00770DF4" w:rsidRDefault="004E48F7" w:rsidP="00770DF4">
      <w:pPr>
        <w:pStyle w:val="afc"/>
        <w:ind w:firstLine="709"/>
        <w:jc w:val="both"/>
        <w:rPr>
          <w:rStyle w:val="aff1"/>
          <w:rFonts w:ascii="Times New Roman" w:hAnsi="Times New Roman"/>
          <w:i w:val="0"/>
          <w:iCs/>
          <w:color w:val="000000" w:themeColor="text1"/>
          <w:sz w:val="24"/>
          <w:szCs w:val="24"/>
        </w:rPr>
      </w:pPr>
      <w:bookmarkStart w:id="12" w:name="_Toc448482680"/>
      <w:bookmarkStart w:id="13" w:name="_Toc448482526"/>
      <w:r w:rsidRPr="00770DF4">
        <w:rPr>
          <w:rStyle w:val="aff1"/>
          <w:rFonts w:ascii="Times New Roman" w:hAnsi="Times New Roman"/>
          <w:i w:val="0"/>
          <w:iCs/>
          <w:color w:val="000000" w:themeColor="text1"/>
          <w:sz w:val="24"/>
          <w:szCs w:val="24"/>
        </w:rPr>
        <w:lastRenderedPageBreak/>
        <w:t xml:space="preserve">В МСФО экономическое содержание, которое отражается объемом и способом раскрытия информации бухгалтерского учета, преобладает над формой, в которой эта информации представлена. В условиях применения МСФО нет значения, каким документом оформлена сделка, в том числе по товарным операциям, имеет значение только её содержание </w:t>
      </w:r>
      <w:r w:rsidRPr="00770DF4">
        <w:rPr>
          <w:rFonts w:ascii="Times New Roman" w:hAnsi="Times New Roman"/>
          <w:color w:val="000000" w:themeColor="text1"/>
          <w:sz w:val="24"/>
          <w:szCs w:val="24"/>
        </w:rPr>
        <w:t>[10, с.673]</w:t>
      </w:r>
      <w:r w:rsidRPr="00770DF4">
        <w:rPr>
          <w:rStyle w:val="aff1"/>
          <w:rFonts w:ascii="Times New Roman" w:hAnsi="Times New Roman"/>
          <w:i w:val="0"/>
          <w:iCs/>
          <w:color w:val="000000" w:themeColor="text1"/>
          <w:sz w:val="24"/>
          <w:szCs w:val="24"/>
        </w:rPr>
        <w:t>.</w:t>
      </w:r>
      <w:bookmarkEnd w:id="12"/>
      <w:bookmarkEnd w:id="13"/>
      <w:r w:rsidRPr="00770DF4">
        <w:rPr>
          <w:rStyle w:val="aff1"/>
          <w:rFonts w:ascii="Times New Roman" w:hAnsi="Times New Roman"/>
          <w:i w:val="0"/>
          <w:iCs/>
          <w:color w:val="000000" w:themeColor="text1"/>
          <w:sz w:val="24"/>
          <w:szCs w:val="24"/>
        </w:rPr>
        <w:t> </w:t>
      </w:r>
    </w:p>
    <w:p w14:paraId="202FC831"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Следовательно, сравнительно исследование МСФО и российской практики позволяет установить, что международные стандарты включают  узкоспециальные правила и методики[11, с. 78]. В российской нормативной базе уделяется особое внимание уделено вопросам организационного характера, установлены достаточно жесткие условия содержания регистров учета и отчетности, а также первичной и договорной документации. Кроме того, уделено внимание не только на формировании отчетности, но организации и процедуре бухгалтерского учета.</w:t>
      </w:r>
    </w:p>
    <w:p w14:paraId="2FF1421C" w14:textId="77777777" w:rsidR="004E48F7" w:rsidRPr="00770DF4" w:rsidRDefault="004E48F7" w:rsidP="00770DF4">
      <w:pPr>
        <w:pStyle w:val="afc"/>
        <w:ind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Таким образом, в российской нормативной базе уделяется особое внимание вопросам организационного характера, установлены достаточно жесткие условия содержания регистров учета и отчетности, а также первичной и договорной документации [12, с. 313]. Кроме того, уделено внимание не только на формировании отчетности, но организации и процедуре бухгалтерского учета. Основой для формирования информации о товарных операциях является система бухгалтерского учета, ведение которого осуществляется в соответствии с нормативно-правовой базой.</w:t>
      </w:r>
    </w:p>
    <w:p w14:paraId="4254137F" w14:textId="77777777" w:rsidR="004E48F7" w:rsidRPr="00770DF4" w:rsidRDefault="004E48F7" w:rsidP="00117149">
      <w:pPr>
        <w:pStyle w:val="afc"/>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_____________________________________________________________________________</w:t>
      </w:r>
    </w:p>
    <w:p w14:paraId="26B1A375" w14:textId="77777777" w:rsidR="004E48F7" w:rsidRPr="00770DF4" w:rsidRDefault="004E48F7" w:rsidP="00770DF4">
      <w:pPr>
        <w:pStyle w:val="afc"/>
        <w:ind w:firstLine="709"/>
        <w:jc w:val="both"/>
        <w:rPr>
          <w:rFonts w:ascii="Times New Roman" w:hAnsi="Times New Roman"/>
          <w:color w:val="000000" w:themeColor="text1"/>
          <w:sz w:val="24"/>
          <w:szCs w:val="24"/>
        </w:rPr>
      </w:pPr>
    </w:p>
    <w:p w14:paraId="4386D5A7"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О бухгалтерском учете: Закон РФ №402-ФЗ от 06.11.2011 (в ред. </w:t>
      </w:r>
      <w:r w:rsidRPr="00770DF4">
        <w:rPr>
          <w:rFonts w:ascii="Times New Roman" w:hAnsi="Times New Roman"/>
          <w:color w:val="000000" w:themeColor="text1"/>
          <w:sz w:val="24"/>
          <w:szCs w:val="24"/>
          <w:shd w:val="clear" w:color="auto" w:fill="FFFFFF"/>
        </w:rPr>
        <w:t>от 18.07.2017 </w:t>
      </w:r>
      <w:hyperlink r:id="rId66" w:anchor="dst100009" w:history="1">
        <w:r w:rsidRPr="00770DF4">
          <w:rPr>
            <w:rStyle w:val="a4"/>
            <w:rFonts w:ascii="Times New Roman" w:hAnsi="Times New Roman"/>
            <w:color w:val="000000" w:themeColor="text1"/>
            <w:sz w:val="24"/>
            <w:szCs w:val="24"/>
            <w:shd w:val="clear" w:color="auto" w:fill="FFFFFF"/>
          </w:rPr>
          <w:t>N 160-ФЗ</w:t>
        </w:r>
      </w:hyperlink>
      <w:r w:rsidRPr="00770DF4">
        <w:rPr>
          <w:rFonts w:ascii="Times New Roman" w:hAnsi="Times New Roman"/>
          <w:color w:val="000000" w:themeColor="text1"/>
          <w:sz w:val="24"/>
          <w:szCs w:val="24"/>
          <w:shd w:val="clear" w:color="auto" w:fill="FFFFFF"/>
        </w:rPr>
        <w:t>)</w:t>
      </w:r>
      <w:r w:rsidRPr="00770DF4">
        <w:rPr>
          <w:rFonts w:ascii="Times New Roman" w:hAnsi="Times New Roman"/>
          <w:color w:val="000000" w:themeColor="text1"/>
          <w:sz w:val="24"/>
          <w:szCs w:val="24"/>
        </w:rPr>
        <w:t xml:space="preserve"> [Электронный ресурс] / СПС «Консультант плюс». - Режим доступа: </w:t>
      </w:r>
      <w:hyperlink r:id="rId67" w:history="1">
        <w:r w:rsidRPr="00770DF4">
          <w:rPr>
            <w:rStyle w:val="a4"/>
            <w:rFonts w:ascii="Times New Roman" w:hAnsi="Times New Roman"/>
            <w:color w:val="000000" w:themeColor="text1"/>
            <w:sz w:val="24"/>
            <w:szCs w:val="24"/>
          </w:rPr>
          <w:t>http://www.consultant.ru/</w:t>
        </w:r>
      </w:hyperlink>
    </w:p>
    <w:p w14:paraId="622EAF34"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Гражданский кодекс РФ. Федеральный закон от 28.05.2003 № 61-ФЗ (ред. от </w:t>
      </w:r>
      <w:r w:rsidRPr="00770DF4">
        <w:rPr>
          <w:rFonts w:ascii="Times New Roman" w:hAnsi="Times New Roman"/>
          <w:color w:val="000000" w:themeColor="text1"/>
          <w:sz w:val="24"/>
          <w:szCs w:val="24"/>
          <w:shd w:val="clear" w:color="auto" w:fill="FFFFFF"/>
        </w:rPr>
        <w:t>28.03.2017 N 39-ФЗ</w:t>
      </w:r>
      <w:r w:rsidRPr="00770DF4">
        <w:rPr>
          <w:rFonts w:ascii="Times New Roman" w:hAnsi="Times New Roman"/>
          <w:color w:val="000000" w:themeColor="text1"/>
          <w:sz w:val="24"/>
          <w:szCs w:val="24"/>
        </w:rPr>
        <w:t xml:space="preserve">) [Электронный ресурс] / СПС «Консультант плюс». - Режим доступа: </w:t>
      </w:r>
      <w:hyperlink r:id="rId68" w:history="1">
        <w:r w:rsidRPr="00770DF4">
          <w:rPr>
            <w:rStyle w:val="a4"/>
            <w:rFonts w:ascii="Times New Roman" w:hAnsi="Times New Roman"/>
            <w:color w:val="000000" w:themeColor="text1"/>
            <w:sz w:val="24"/>
            <w:szCs w:val="24"/>
          </w:rPr>
          <w:t>http://www.consultant.ru/</w:t>
        </w:r>
      </w:hyperlink>
    </w:p>
    <w:p w14:paraId="569BCB44"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Налоговый кодекс Российской Федерации. Часть вторая: Федеральный закон от 05.08.2000 г. № 117-ФЗ (ред. </w:t>
      </w:r>
      <w:r w:rsidRPr="00770DF4">
        <w:rPr>
          <w:rFonts w:ascii="Times New Roman" w:hAnsi="Times New Roman"/>
          <w:color w:val="000000" w:themeColor="text1"/>
          <w:sz w:val="24"/>
          <w:szCs w:val="24"/>
          <w:shd w:val="clear" w:color="auto" w:fill="FFFFFF"/>
        </w:rPr>
        <w:t>от 18.07.2017 </w:t>
      </w:r>
      <w:hyperlink r:id="rId69" w:anchor="dst100009" w:history="1">
        <w:r w:rsidRPr="00770DF4">
          <w:rPr>
            <w:rStyle w:val="a4"/>
            <w:rFonts w:ascii="Times New Roman" w:hAnsi="Times New Roman"/>
            <w:color w:val="000000" w:themeColor="text1"/>
            <w:sz w:val="24"/>
            <w:szCs w:val="24"/>
            <w:shd w:val="clear" w:color="auto" w:fill="FFFFFF"/>
          </w:rPr>
          <w:t>N 173-ФЗ</w:t>
        </w:r>
      </w:hyperlink>
      <w:r w:rsidRPr="00770DF4">
        <w:rPr>
          <w:rFonts w:ascii="Times New Roman" w:hAnsi="Times New Roman"/>
          <w:color w:val="000000" w:themeColor="text1"/>
          <w:sz w:val="24"/>
          <w:szCs w:val="24"/>
        </w:rPr>
        <w:t xml:space="preserve">) [Электронный ресурс] / СПС «Консультант плюс». - Режим доступа: </w:t>
      </w:r>
      <w:hyperlink r:id="rId70" w:history="1">
        <w:r w:rsidRPr="00770DF4">
          <w:rPr>
            <w:rStyle w:val="a4"/>
            <w:rFonts w:ascii="Times New Roman" w:hAnsi="Times New Roman"/>
            <w:color w:val="000000" w:themeColor="text1"/>
            <w:sz w:val="24"/>
            <w:szCs w:val="24"/>
          </w:rPr>
          <w:t>http://www.consultant.ru/</w:t>
        </w:r>
      </w:hyperlink>
    </w:p>
    <w:p w14:paraId="4C83E625"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Расходы организации. Положение по бухгалтерскому учету.  ПБУ 10/99: Приказ Министерства финансов РФ от 06.05.99 г.№33н (ред. от 06.04.2015 № 144н) [Электронный ресурс] / СПС «Консультант плюс». - Режим доступа: </w:t>
      </w:r>
      <w:hyperlink r:id="rId71" w:history="1">
        <w:r w:rsidRPr="00770DF4">
          <w:rPr>
            <w:rStyle w:val="a4"/>
            <w:rFonts w:ascii="Times New Roman" w:hAnsi="Times New Roman"/>
            <w:color w:val="000000" w:themeColor="text1"/>
            <w:sz w:val="24"/>
            <w:szCs w:val="24"/>
          </w:rPr>
          <w:t>http://www.consultant.ru/</w:t>
        </w:r>
      </w:hyperlink>
    </w:p>
    <w:p w14:paraId="3E9834C8" w14:textId="77777777" w:rsidR="004E48F7" w:rsidRPr="00117149" w:rsidRDefault="004E48F7" w:rsidP="00117149">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Методические указания по инвентаризации имущества и финансовых обязательств, утвержденных приказом Минфина России от 13 июня 1995 г. №49 </w:t>
      </w:r>
      <w:r w:rsidRPr="00770DF4">
        <w:rPr>
          <w:rFonts w:ascii="Times New Roman" w:hAnsi="Times New Roman"/>
          <w:color w:val="000000" w:themeColor="text1"/>
          <w:sz w:val="24"/>
          <w:szCs w:val="24"/>
          <w:shd w:val="clear" w:color="auto" w:fill="FFFFFF"/>
        </w:rPr>
        <w:t>(в ред.</w:t>
      </w:r>
      <w:r w:rsidRPr="00770DF4">
        <w:rPr>
          <w:rStyle w:val="apple-converted-space"/>
          <w:color w:val="000000" w:themeColor="text1"/>
          <w:sz w:val="24"/>
          <w:szCs w:val="24"/>
          <w:shd w:val="clear" w:color="auto" w:fill="FFFFFF"/>
        </w:rPr>
        <w:t> </w:t>
      </w:r>
      <w:hyperlink r:id="rId72" w:anchor="dst100012" w:history="1">
        <w:r w:rsidRPr="00770DF4">
          <w:rPr>
            <w:rStyle w:val="a4"/>
            <w:rFonts w:ascii="Times New Roman" w:hAnsi="Times New Roman"/>
            <w:color w:val="000000" w:themeColor="text1"/>
            <w:sz w:val="24"/>
            <w:szCs w:val="24"/>
            <w:shd w:val="clear" w:color="auto" w:fill="FFFFFF"/>
          </w:rPr>
          <w:t>Приказа</w:t>
        </w:r>
      </w:hyperlink>
      <w:r w:rsidRPr="00770DF4">
        <w:rPr>
          <w:rStyle w:val="apple-converted-space"/>
          <w:color w:val="000000" w:themeColor="text1"/>
          <w:sz w:val="24"/>
          <w:szCs w:val="24"/>
          <w:shd w:val="clear" w:color="auto" w:fill="FFFFFF"/>
        </w:rPr>
        <w:t> </w:t>
      </w:r>
      <w:r w:rsidRPr="00770DF4">
        <w:rPr>
          <w:rFonts w:ascii="Times New Roman" w:hAnsi="Times New Roman"/>
          <w:color w:val="000000" w:themeColor="text1"/>
          <w:sz w:val="24"/>
          <w:szCs w:val="24"/>
          <w:shd w:val="clear" w:color="auto" w:fill="FFFFFF"/>
        </w:rPr>
        <w:t xml:space="preserve">Минфина РФ от 08.11.2010 N 142н) </w:t>
      </w:r>
      <w:r w:rsidRPr="00770DF4">
        <w:rPr>
          <w:rFonts w:ascii="Times New Roman" w:hAnsi="Times New Roman"/>
          <w:color w:val="000000" w:themeColor="text1"/>
          <w:sz w:val="24"/>
          <w:szCs w:val="24"/>
        </w:rPr>
        <w:t xml:space="preserve">[Электронный ресурс] / СПС «Консультант плюс». - Режим доступа: </w:t>
      </w:r>
      <w:hyperlink r:id="rId73" w:history="1">
        <w:r w:rsidRPr="00770DF4">
          <w:rPr>
            <w:rStyle w:val="a4"/>
            <w:rFonts w:ascii="Times New Roman" w:hAnsi="Times New Roman"/>
            <w:color w:val="000000" w:themeColor="text1"/>
            <w:sz w:val="24"/>
            <w:szCs w:val="24"/>
          </w:rPr>
          <w:t>http://www.consultant.ru/.</w:t>
        </w:r>
      </w:hyperlink>
    </w:p>
    <w:p w14:paraId="0413EF4A"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Положение по ведению бухгалтерского учета и бухгалтерской отчетности в Российской Федерации от 29.07.98 г. № 34н (в ред. от 24.12.2010) [Электронный ресурс] / СПС «Консультант плюс». - Режим доступа: </w:t>
      </w:r>
      <w:hyperlink r:id="rId74" w:history="1">
        <w:r w:rsidRPr="00770DF4">
          <w:rPr>
            <w:rStyle w:val="a4"/>
            <w:rFonts w:ascii="Times New Roman" w:hAnsi="Times New Roman"/>
            <w:color w:val="000000" w:themeColor="text1"/>
            <w:sz w:val="24"/>
            <w:szCs w:val="24"/>
          </w:rPr>
          <w:t>http://www.consultant.ru/.</w:t>
        </w:r>
      </w:hyperlink>
    </w:p>
    <w:p w14:paraId="69E0CD5C"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Учетная политика организации. Положение по бухгалтерскому учету. ПБУ 1/08: Приказ Министерства финансов РФ от 06.10.2008 г. №106н </w:t>
      </w:r>
      <w:r w:rsidRPr="00770DF4">
        <w:rPr>
          <w:rFonts w:ascii="Times New Roman" w:hAnsi="Times New Roman"/>
          <w:bCs/>
          <w:color w:val="000000" w:themeColor="text1"/>
          <w:sz w:val="24"/>
          <w:szCs w:val="24"/>
        </w:rPr>
        <w:t>(ред. от 06.04.2015)</w:t>
      </w:r>
      <w:r w:rsidRPr="00770DF4">
        <w:rPr>
          <w:rFonts w:ascii="Times New Roman" w:hAnsi="Times New Roman"/>
          <w:color w:val="000000" w:themeColor="text1"/>
          <w:sz w:val="24"/>
          <w:szCs w:val="24"/>
        </w:rPr>
        <w:t xml:space="preserve"> [Электронный ресурс] / СПС «Консультант плюс». - Режим доступа: </w:t>
      </w:r>
      <w:hyperlink r:id="rId75" w:history="1">
        <w:r w:rsidRPr="00770DF4">
          <w:rPr>
            <w:rStyle w:val="a4"/>
            <w:rFonts w:ascii="Times New Roman" w:hAnsi="Times New Roman"/>
            <w:color w:val="000000" w:themeColor="text1"/>
            <w:sz w:val="24"/>
            <w:szCs w:val="24"/>
          </w:rPr>
          <w:t>http://www.consultant.ru/.</w:t>
        </w:r>
      </w:hyperlink>
    </w:p>
    <w:p w14:paraId="39310741"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Бухгалтерская отчетность организации. Положение по бухгалтерскому учету. ПБУ 4/99: Приказ Министерства финансов РФ от 06.07.99г. №43н (ред. от 08.11.2010 N 142н) [Электронный ресурс] / СПС «Консультант плюс». - Режим доступа: </w:t>
      </w:r>
      <w:hyperlink r:id="rId76" w:history="1">
        <w:r w:rsidRPr="00770DF4">
          <w:rPr>
            <w:rStyle w:val="a4"/>
            <w:rFonts w:ascii="Times New Roman" w:hAnsi="Times New Roman"/>
            <w:color w:val="000000" w:themeColor="text1"/>
            <w:sz w:val="24"/>
            <w:szCs w:val="24"/>
          </w:rPr>
          <w:t>http://www.consultant.ru/.</w:t>
        </w:r>
      </w:hyperlink>
    </w:p>
    <w:p w14:paraId="48A47DF5" w14:textId="77777777" w:rsidR="004E48F7" w:rsidRPr="00770DF4" w:rsidRDefault="004E48F7" w:rsidP="00770DF4">
      <w:pPr>
        <w:pStyle w:val="afc"/>
        <w:numPr>
          <w:ilvl w:val="0"/>
          <w:numId w:val="78"/>
        </w:numPr>
        <w:ind w:left="0" w:firstLine="709"/>
        <w:jc w:val="both"/>
        <w:rPr>
          <w:rStyle w:val="a4"/>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Доходы организации. Положение по бухгалтерскому учету. ПБУ 9/99: Приказ Министерства финансов РФ от 06.05.99 г. № 32н (ред. от 06.04.2015 № 144н) [Электронный ресурс] / СПС «Консультант плюс». - Режим доступа: </w:t>
      </w:r>
      <w:hyperlink r:id="rId77" w:history="1">
        <w:r w:rsidRPr="00770DF4">
          <w:rPr>
            <w:rStyle w:val="a4"/>
            <w:rFonts w:ascii="Times New Roman" w:hAnsi="Times New Roman"/>
            <w:color w:val="000000" w:themeColor="text1"/>
            <w:sz w:val="24"/>
            <w:szCs w:val="24"/>
          </w:rPr>
          <w:t>http://www.consultant.ru/.</w:t>
        </w:r>
      </w:hyperlink>
    </w:p>
    <w:p w14:paraId="30352A6D"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Style w:val="a4"/>
          <w:rFonts w:ascii="Times New Roman" w:hAnsi="Times New Roman"/>
          <w:color w:val="000000" w:themeColor="text1"/>
          <w:sz w:val="24"/>
          <w:szCs w:val="24"/>
        </w:rPr>
        <w:lastRenderedPageBreak/>
        <w:t>Василенко М.А., Василенко Е.Н. Проблемы внедрения международных стандартов бухгалтерского учета в России // Журнал Экономика и предпринимательство. 2013 − №12-4 (41-4) - С. 672-674</w:t>
      </w:r>
      <w:r w:rsidRPr="00770DF4">
        <w:rPr>
          <w:rFonts w:ascii="Times New Roman" w:hAnsi="Times New Roman"/>
          <w:color w:val="000000" w:themeColor="text1"/>
          <w:sz w:val="24"/>
          <w:szCs w:val="24"/>
        </w:rPr>
        <w:tab/>
      </w:r>
    </w:p>
    <w:p w14:paraId="75CCF966"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Василенко М.Е., Левкина Е.В, Малышева В.В. Совершенствование бухгалтерской отчетности в соответствии с международными стандартами финансовой отчетности // Территория новых возможностей Вестник Владивостокского государственного университета экономики и сервиса. 2017 – №4(39) – С.66-80</w:t>
      </w:r>
    </w:p>
    <w:p w14:paraId="7D770F73"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Березняк Е.Е., Алексеева Л.Ф. Актуальность проблематики применения МСФО на территории России // Журнал Экономика и предпринимательство.  2017 </w:t>
      </w:r>
      <w:r w:rsidRPr="00770DF4">
        <w:rPr>
          <w:rStyle w:val="a4"/>
          <w:rFonts w:ascii="Times New Roman" w:hAnsi="Times New Roman"/>
          <w:color w:val="000000" w:themeColor="text1"/>
          <w:sz w:val="24"/>
          <w:szCs w:val="24"/>
        </w:rPr>
        <w:t>− №9-1 (86-1) - С. 310-313</w:t>
      </w:r>
      <w:r w:rsidRPr="00770DF4">
        <w:rPr>
          <w:rFonts w:ascii="Times New Roman" w:hAnsi="Times New Roman"/>
          <w:color w:val="000000" w:themeColor="text1"/>
          <w:sz w:val="24"/>
          <w:szCs w:val="24"/>
        </w:rPr>
        <w:tab/>
      </w:r>
    </w:p>
    <w:p w14:paraId="3B542DF3" w14:textId="77777777" w:rsidR="004E48F7" w:rsidRPr="00770DF4" w:rsidRDefault="004E48F7" w:rsidP="00770DF4">
      <w:pPr>
        <w:pStyle w:val="afc"/>
        <w:numPr>
          <w:ilvl w:val="0"/>
          <w:numId w:val="78"/>
        </w:numPr>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Методические указания по бухгалтерскому учету материально- производственных запасов. Приказ Минфина от 28.12.2001 № 119н (ред. от 26.03.2007 N 26н) Электронный ресурс] / СПС «Консультант плюс». - Режим доступа: </w:t>
      </w:r>
      <w:hyperlink r:id="rId78" w:history="1">
        <w:r w:rsidRPr="00770DF4">
          <w:rPr>
            <w:rStyle w:val="a4"/>
            <w:rFonts w:ascii="Times New Roman" w:hAnsi="Times New Roman"/>
            <w:color w:val="000000" w:themeColor="text1"/>
            <w:sz w:val="24"/>
            <w:szCs w:val="24"/>
          </w:rPr>
          <w:t>http://www.consultant.ru/.</w:t>
        </w:r>
      </w:hyperlink>
    </w:p>
    <w:p w14:paraId="11260EDA" w14:textId="77777777" w:rsidR="004E48F7" w:rsidRPr="00770DF4" w:rsidRDefault="004E48F7" w:rsidP="00770DF4">
      <w:pPr>
        <w:pStyle w:val="af2"/>
        <w:numPr>
          <w:ilvl w:val="0"/>
          <w:numId w:val="78"/>
        </w:numPr>
        <w:tabs>
          <w:tab w:val="left" w:pos="426"/>
          <w:tab w:val="left" w:pos="1134"/>
          <w:tab w:val="left" w:pos="1276"/>
        </w:tabs>
        <w:ind w:left="0" w:firstLine="709"/>
        <w:jc w:val="both"/>
        <w:rPr>
          <w:rFonts w:ascii="Times New Roman" w:hAnsi="Times New Roman"/>
          <w:color w:val="000000" w:themeColor="text1"/>
          <w:sz w:val="24"/>
          <w:szCs w:val="24"/>
        </w:rPr>
      </w:pPr>
      <w:r w:rsidRPr="00770DF4">
        <w:rPr>
          <w:rFonts w:ascii="Times New Roman" w:hAnsi="Times New Roman"/>
          <w:color w:val="000000" w:themeColor="text1"/>
          <w:sz w:val="24"/>
          <w:szCs w:val="24"/>
        </w:rPr>
        <w:t xml:space="preserve">Учет материально-производственных запасов. Положение по бухгалтерскому учету. ПБУ 5/01: Приказ Министерства финансов РФ от 09.06.01 № 44н (ред. от </w:t>
      </w:r>
      <w:r w:rsidRPr="00770DF4">
        <w:rPr>
          <w:rFonts w:ascii="Times New Roman" w:hAnsi="Times New Roman"/>
          <w:color w:val="000000" w:themeColor="text1"/>
          <w:sz w:val="24"/>
          <w:szCs w:val="24"/>
          <w:shd w:val="clear" w:color="auto" w:fill="FFFFFF"/>
        </w:rPr>
        <w:t>от 16.05.2016 </w:t>
      </w:r>
      <w:hyperlink r:id="rId79" w:anchor="dst100010" w:history="1">
        <w:r w:rsidRPr="00770DF4">
          <w:rPr>
            <w:rStyle w:val="a4"/>
            <w:rFonts w:ascii="Times New Roman" w:hAnsi="Times New Roman"/>
            <w:color w:val="000000" w:themeColor="text1"/>
            <w:sz w:val="24"/>
            <w:szCs w:val="24"/>
            <w:shd w:val="clear" w:color="auto" w:fill="FFFFFF"/>
          </w:rPr>
          <w:t>N 64н</w:t>
        </w:r>
      </w:hyperlink>
      <w:r w:rsidRPr="00770DF4">
        <w:rPr>
          <w:rFonts w:ascii="Times New Roman" w:hAnsi="Times New Roman"/>
          <w:color w:val="000000" w:themeColor="text1"/>
          <w:sz w:val="24"/>
          <w:szCs w:val="24"/>
          <w:shd w:val="clear" w:color="auto" w:fill="FFFFFF"/>
        </w:rPr>
        <w:t>)</w:t>
      </w:r>
      <w:r w:rsidRPr="00770DF4">
        <w:rPr>
          <w:rFonts w:ascii="Times New Roman" w:hAnsi="Times New Roman"/>
          <w:color w:val="000000" w:themeColor="text1"/>
          <w:sz w:val="24"/>
          <w:szCs w:val="24"/>
        </w:rPr>
        <w:t xml:space="preserve"> [Электронный ресурс] / СПС «Консультант плюс». - Режим доступа: </w:t>
      </w:r>
      <w:hyperlink r:id="rId80" w:history="1">
        <w:r w:rsidRPr="00770DF4">
          <w:rPr>
            <w:rStyle w:val="a4"/>
            <w:rFonts w:ascii="Times New Roman" w:hAnsi="Times New Roman"/>
            <w:color w:val="000000" w:themeColor="text1"/>
            <w:sz w:val="24"/>
            <w:szCs w:val="24"/>
          </w:rPr>
          <w:t>http://www.consultant.ru/.</w:t>
        </w:r>
      </w:hyperlink>
    </w:p>
    <w:p w14:paraId="211FC6EA" w14:textId="77777777" w:rsidR="004E48F7" w:rsidRPr="00117149" w:rsidRDefault="004E48F7" w:rsidP="00770DF4">
      <w:pPr>
        <w:pStyle w:val="afc"/>
        <w:ind w:firstLine="709"/>
        <w:jc w:val="both"/>
        <w:rPr>
          <w:rFonts w:ascii="Times New Roman" w:hAnsi="Times New Roman"/>
          <w:b/>
          <w:sz w:val="24"/>
          <w:szCs w:val="24"/>
        </w:rPr>
      </w:pPr>
    </w:p>
    <w:p w14:paraId="57A78F0B" w14:textId="77777777" w:rsidR="004E48F7" w:rsidRPr="00117149" w:rsidRDefault="00770DF4" w:rsidP="00117149">
      <w:pPr>
        <w:widowControl w:val="0"/>
        <w:spacing w:line="240" w:lineRule="auto"/>
        <w:rPr>
          <w:rFonts w:ascii="Times New Roman" w:hAnsi="Times New Roman" w:cs="Times New Roman"/>
          <w:b/>
          <w:sz w:val="24"/>
          <w:szCs w:val="24"/>
        </w:rPr>
      </w:pPr>
      <w:r w:rsidRPr="00117149">
        <w:rPr>
          <w:rFonts w:ascii="Times New Roman" w:hAnsi="Times New Roman" w:cs="Times New Roman"/>
          <w:b/>
          <w:sz w:val="24"/>
          <w:szCs w:val="24"/>
        </w:rPr>
        <w:t>Рубрика:</w:t>
      </w:r>
      <w:r w:rsidR="004E48F7" w:rsidRPr="00117149">
        <w:rPr>
          <w:rFonts w:ascii="Times New Roman" w:hAnsi="Times New Roman" w:cs="Times New Roman"/>
          <w:b/>
          <w:sz w:val="24"/>
          <w:szCs w:val="24"/>
        </w:rPr>
        <w:t>Учёт, анализ, аудит и статистика: исследование тенденций и проблем совершенствования;</w:t>
      </w:r>
    </w:p>
    <w:p w14:paraId="0D5E35F4" w14:textId="77777777" w:rsidR="00117149" w:rsidRPr="00117149" w:rsidRDefault="00117149" w:rsidP="00117149">
      <w:pPr>
        <w:spacing w:line="240" w:lineRule="auto"/>
        <w:ind w:firstLine="709"/>
        <w:jc w:val="center"/>
        <w:rPr>
          <w:rFonts w:ascii="Times New Roman" w:hAnsi="Times New Roman" w:cs="Times New Roman"/>
          <w:b/>
          <w:sz w:val="24"/>
          <w:szCs w:val="24"/>
        </w:rPr>
      </w:pPr>
      <w:r w:rsidRPr="000474BB">
        <w:rPr>
          <w:rFonts w:ascii="Times New Roman" w:hAnsi="Times New Roman" w:cs="Times New Roman"/>
          <w:b/>
          <w:sz w:val="24"/>
          <w:szCs w:val="24"/>
        </w:rPr>
        <w:t>НОВЕЙШИЕ СИСТЕМЫ КАЛЬКУЛИРОВАНИЯ СЕБЕСТОИМОСТИ</w:t>
      </w:r>
    </w:p>
    <w:p w14:paraId="4A79D2DB" w14:textId="77777777" w:rsidR="004E48F7" w:rsidRPr="00117149" w:rsidRDefault="004E48F7" w:rsidP="00117149">
      <w:pPr>
        <w:spacing w:after="0" w:line="240" w:lineRule="auto"/>
        <w:ind w:left="566" w:right="29"/>
        <w:jc w:val="center"/>
        <w:rPr>
          <w:rFonts w:ascii="Times New Roman" w:hAnsi="Times New Roman" w:cs="Times New Roman"/>
          <w:b/>
          <w:color w:val="212121"/>
          <w:sz w:val="24"/>
          <w:szCs w:val="24"/>
        </w:rPr>
      </w:pPr>
      <w:r w:rsidRPr="00117149">
        <w:rPr>
          <w:rFonts w:ascii="Times New Roman" w:hAnsi="Times New Roman" w:cs="Times New Roman"/>
          <w:b/>
          <w:color w:val="212121"/>
          <w:sz w:val="24"/>
          <w:szCs w:val="24"/>
        </w:rPr>
        <w:t>Щукина Татьяна, Торбина Ангелина</w:t>
      </w:r>
    </w:p>
    <w:p w14:paraId="4DCDCDAB" w14:textId="77777777" w:rsidR="004E48F7" w:rsidRPr="000474BB" w:rsidRDefault="004E48F7" w:rsidP="00117149">
      <w:pPr>
        <w:spacing w:after="0" w:line="240" w:lineRule="auto"/>
        <w:ind w:right="29"/>
        <w:jc w:val="center"/>
        <w:rPr>
          <w:rFonts w:ascii="Times New Roman" w:hAnsi="Times New Roman" w:cs="Times New Roman"/>
          <w:color w:val="212121"/>
          <w:sz w:val="24"/>
          <w:szCs w:val="24"/>
        </w:rPr>
      </w:pPr>
      <w:r w:rsidRPr="000474BB">
        <w:rPr>
          <w:rFonts w:ascii="Times New Roman" w:hAnsi="Times New Roman" w:cs="Times New Roman"/>
          <w:color w:val="212121"/>
          <w:sz w:val="24"/>
          <w:szCs w:val="24"/>
        </w:rPr>
        <w:t xml:space="preserve">Магистранты 2 куpсa, гpуппa </w:t>
      </w:r>
      <w:r w:rsidRPr="000474BB">
        <w:rPr>
          <w:rFonts w:ascii="Times New Roman" w:hAnsi="Times New Roman" w:cs="Times New Roman"/>
          <w:sz w:val="24"/>
          <w:szCs w:val="24"/>
        </w:rPr>
        <w:t>ЗМЭУ-16-УА</w:t>
      </w:r>
      <w:r w:rsidRPr="000474BB">
        <w:rPr>
          <w:rFonts w:ascii="Times New Roman" w:hAnsi="Times New Roman" w:cs="Times New Roman"/>
          <w:color w:val="212121"/>
          <w:sz w:val="24"/>
          <w:szCs w:val="24"/>
        </w:rPr>
        <w:t xml:space="preserve">, </w:t>
      </w:r>
    </w:p>
    <w:p w14:paraId="1AD6C3EA" w14:textId="77777777" w:rsidR="004E48F7" w:rsidRDefault="004E48F7" w:rsidP="001171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rPr>
      </w:pPr>
      <w:r w:rsidRPr="000474BB">
        <w:rPr>
          <w:rFonts w:ascii="Times New Roman" w:hAnsi="Times New Roman" w:cs="Times New Roman"/>
          <w:color w:val="212121"/>
          <w:sz w:val="24"/>
          <w:szCs w:val="24"/>
        </w:rPr>
        <w:t>кaфeдpa экономики</w:t>
      </w:r>
    </w:p>
    <w:p w14:paraId="764ED501" w14:textId="77777777" w:rsidR="00117149" w:rsidRPr="000474BB" w:rsidRDefault="00117149" w:rsidP="0011714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rPr>
      </w:pPr>
    </w:p>
    <w:p w14:paraId="56A450FE" w14:textId="77777777" w:rsidR="004E48F7" w:rsidRPr="00117149"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rPr>
      </w:pPr>
      <w:r w:rsidRPr="00117149">
        <w:rPr>
          <w:rFonts w:ascii="Times New Roman" w:hAnsi="Times New Roman" w:cs="Times New Roman"/>
          <w:i/>
          <w:color w:val="212121"/>
          <w:sz w:val="24"/>
          <w:szCs w:val="24"/>
        </w:rPr>
        <w:t>Влaдивoстoкский гoсудapствeнный институт экoнoмики и сepвисa</w:t>
      </w:r>
    </w:p>
    <w:p w14:paraId="0A544316" w14:textId="77777777" w:rsidR="004E48F7"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rPr>
      </w:pPr>
      <w:r w:rsidRPr="00117149">
        <w:rPr>
          <w:rFonts w:ascii="Times New Roman" w:hAnsi="Times New Roman" w:cs="Times New Roman"/>
          <w:i/>
          <w:color w:val="212121"/>
          <w:sz w:val="24"/>
          <w:szCs w:val="24"/>
        </w:rPr>
        <w:t>Poссия. Влaдивoстoк</w:t>
      </w:r>
    </w:p>
    <w:p w14:paraId="0AB93745" w14:textId="77777777" w:rsidR="00117149" w:rsidRPr="00117149" w:rsidRDefault="00117149"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rPr>
      </w:pPr>
    </w:p>
    <w:p w14:paraId="7447FEEB" w14:textId="77777777" w:rsidR="004E48F7" w:rsidRPr="007E1000"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630840AF">
        <w:rPr>
          <w:rFonts w:ascii="Times New Roman" w:hAnsi="Times New Roman" w:cs="Times New Roman"/>
          <w:color w:val="212121"/>
          <w:sz w:val="24"/>
          <w:szCs w:val="24"/>
          <w:lang w:val="en-US"/>
        </w:rPr>
        <w:t>E</w:t>
      </w:r>
      <w:r w:rsidRPr="630840AF">
        <w:rPr>
          <w:rFonts w:ascii="Times New Roman" w:hAnsi="Times New Roman" w:cs="Times New Roman"/>
          <w:color w:val="212121"/>
          <w:sz w:val="24"/>
          <w:szCs w:val="24"/>
        </w:rPr>
        <w:t>-</w:t>
      </w:r>
      <w:r w:rsidRPr="630840AF">
        <w:rPr>
          <w:rFonts w:ascii="Times New Roman" w:hAnsi="Times New Roman" w:cs="Times New Roman"/>
          <w:color w:val="212121"/>
          <w:sz w:val="24"/>
          <w:szCs w:val="24"/>
          <w:lang w:val="en-US"/>
        </w:rPr>
        <w:t>mail</w:t>
      </w:r>
      <w:r w:rsidRPr="630840AF">
        <w:rPr>
          <w:rFonts w:ascii="Times New Roman" w:hAnsi="Times New Roman" w:cs="Times New Roman"/>
          <w:color w:val="212121"/>
          <w:sz w:val="24"/>
          <w:szCs w:val="24"/>
        </w:rPr>
        <w:t xml:space="preserve">: </w:t>
      </w:r>
      <w:hyperlink r:id="rId81">
        <w:r w:rsidRPr="630840AF">
          <w:rPr>
            <w:rFonts w:ascii="Times New Roman" w:hAnsi="Times New Roman" w:cs="Times New Roman"/>
            <w:color w:val="1155CC"/>
            <w:sz w:val="24"/>
            <w:szCs w:val="24"/>
            <w:u w:val="single"/>
            <w:lang w:val="en-US"/>
          </w:rPr>
          <w:t>tatiana</w:t>
        </w:r>
        <w:r w:rsidRPr="630840AF">
          <w:rPr>
            <w:rFonts w:ascii="Times New Roman" w:hAnsi="Times New Roman" w:cs="Times New Roman"/>
            <w:color w:val="1155CC"/>
            <w:sz w:val="24"/>
            <w:szCs w:val="24"/>
            <w:u w:val="single"/>
          </w:rPr>
          <w:t>_</w:t>
        </w:r>
        <w:r w:rsidRPr="630840AF">
          <w:rPr>
            <w:rFonts w:ascii="Times New Roman" w:hAnsi="Times New Roman" w:cs="Times New Roman"/>
            <w:color w:val="1155CC"/>
            <w:sz w:val="24"/>
            <w:szCs w:val="24"/>
            <w:u w:val="single"/>
            <w:lang w:val="en-US"/>
          </w:rPr>
          <w:t>shchukina</w:t>
        </w:r>
        <w:r w:rsidRPr="630840AF">
          <w:rPr>
            <w:rFonts w:ascii="Times New Roman" w:hAnsi="Times New Roman" w:cs="Times New Roman"/>
            <w:color w:val="1155CC"/>
            <w:sz w:val="24"/>
            <w:szCs w:val="24"/>
            <w:u w:val="single"/>
          </w:rPr>
          <w:t>@</w:t>
        </w:r>
        <w:r w:rsidRPr="630840AF">
          <w:rPr>
            <w:rFonts w:ascii="Times New Roman" w:hAnsi="Times New Roman" w:cs="Times New Roman"/>
            <w:color w:val="1155CC"/>
            <w:sz w:val="24"/>
            <w:szCs w:val="24"/>
            <w:u w:val="single"/>
            <w:lang w:val="en-US"/>
          </w:rPr>
          <w:t>inbox</w:t>
        </w:r>
        <w:r w:rsidRPr="630840AF">
          <w:rPr>
            <w:rFonts w:ascii="Times New Roman" w:hAnsi="Times New Roman" w:cs="Times New Roman"/>
            <w:color w:val="1155CC"/>
            <w:sz w:val="24"/>
            <w:szCs w:val="24"/>
            <w:u w:val="single"/>
          </w:rPr>
          <w:t>.</w:t>
        </w:r>
        <w:r w:rsidRPr="630840AF">
          <w:rPr>
            <w:rFonts w:ascii="Times New Roman" w:hAnsi="Times New Roman" w:cs="Times New Roman"/>
            <w:color w:val="1155CC"/>
            <w:sz w:val="24"/>
            <w:szCs w:val="24"/>
            <w:u w:val="single"/>
            <w:lang w:val="en-US"/>
          </w:rPr>
          <w:t>ru</w:t>
        </w:r>
      </w:hyperlink>
      <w:r w:rsidRPr="630840AF">
        <w:rPr>
          <w:rFonts w:ascii="Times New Roman" w:hAnsi="Times New Roman" w:cs="Times New Roman"/>
          <w:sz w:val="24"/>
          <w:szCs w:val="24"/>
        </w:rPr>
        <w:t xml:space="preserve">, </w:t>
      </w:r>
      <w:hyperlink r:id="rId82">
        <w:r w:rsidRPr="630840AF">
          <w:rPr>
            <w:rFonts w:ascii="Times New Roman" w:hAnsi="Times New Roman" w:cs="Times New Roman"/>
            <w:color w:val="1155CC"/>
            <w:sz w:val="24"/>
            <w:szCs w:val="24"/>
            <w:u w:val="single"/>
            <w:lang w:val="en-US"/>
          </w:rPr>
          <w:t>angelina</w:t>
        </w:r>
        <w:r w:rsidRPr="630840AF">
          <w:rPr>
            <w:rFonts w:ascii="Times New Roman" w:hAnsi="Times New Roman" w:cs="Times New Roman"/>
            <w:color w:val="1155CC"/>
            <w:sz w:val="24"/>
            <w:szCs w:val="24"/>
            <w:u w:val="single"/>
          </w:rPr>
          <w:t>_</w:t>
        </w:r>
        <w:r w:rsidRPr="630840AF">
          <w:rPr>
            <w:rFonts w:ascii="Times New Roman" w:hAnsi="Times New Roman" w:cs="Times New Roman"/>
            <w:color w:val="1155CC"/>
            <w:sz w:val="24"/>
            <w:szCs w:val="24"/>
            <w:u w:val="single"/>
            <w:lang w:val="en-US"/>
          </w:rPr>
          <w:t>kopai</w:t>
        </w:r>
        <w:r w:rsidRPr="630840AF">
          <w:rPr>
            <w:rFonts w:ascii="Times New Roman" w:hAnsi="Times New Roman" w:cs="Times New Roman"/>
            <w:color w:val="1155CC"/>
            <w:sz w:val="24"/>
            <w:szCs w:val="24"/>
            <w:u w:val="single"/>
          </w:rPr>
          <w:t>@</w:t>
        </w:r>
        <w:r w:rsidRPr="630840AF">
          <w:rPr>
            <w:rFonts w:ascii="Times New Roman" w:hAnsi="Times New Roman" w:cs="Times New Roman"/>
            <w:color w:val="1155CC"/>
            <w:sz w:val="24"/>
            <w:szCs w:val="24"/>
            <w:u w:val="single"/>
            <w:lang w:val="en-US"/>
          </w:rPr>
          <w:t>mail</w:t>
        </w:r>
        <w:r w:rsidRPr="630840AF">
          <w:rPr>
            <w:rFonts w:ascii="Times New Roman" w:hAnsi="Times New Roman" w:cs="Times New Roman"/>
            <w:color w:val="1155CC"/>
            <w:sz w:val="24"/>
            <w:szCs w:val="24"/>
            <w:u w:val="single"/>
          </w:rPr>
          <w:t>.</w:t>
        </w:r>
        <w:r w:rsidRPr="630840AF">
          <w:rPr>
            <w:rFonts w:ascii="Times New Roman" w:hAnsi="Times New Roman" w:cs="Times New Roman"/>
            <w:color w:val="1155CC"/>
            <w:sz w:val="24"/>
            <w:szCs w:val="24"/>
            <w:u w:val="single"/>
            <w:lang w:val="en-US"/>
          </w:rPr>
          <w:t>ru</w:t>
        </w:r>
      </w:hyperlink>
      <w:r w:rsidRPr="630840AF">
        <w:rPr>
          <w:rFonts w:ascii="Times New Roman" w:hAnsi="Times New Roman" w:cs="Times New Roman"/>
          <w:sz w:val="24"/>
          <w:szCs w:val="24"/>
        </w:rPr>
        <w:t xml:space="preserve"> , +79025065582, +79623343233</w:t>
      </w:r>
    </w:p>
    <w:p w14:paraId="04B66790" w14:textId="77777777" w:rsidR="004E48F7" w:rsidRPr="000474BB" w:rsidRDefault="004E48F7" w:rsidP="004E48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0474BB">
        <w:rPr>
          <w:rFonts w:ascii="Times New Roman" w:hAnsi="Times New Roman" w:cs="Times New Roman"/>
          <w:color w:val="212121"/>
          <w:sz w:val="24"/>
          <w:szCs w:val="24"/>
        </w:rPr>
        <w:t>Ул. Гoгoля, 41, г. Влaдивoстoк, Пpимopский кpaй</w:t>
      </w:r>
      <w:r w:rsidRPr="000474BB">
        <w:rPr>
          <w:rFonts w:ascii="Times New Roman" w:hAnsi="Times New Roman" w:cs="Times New Roman"/>
          <w:sz w:val="24"/>
          <w:szCs w:val="24"/>
        </w:rPr>
        <w:t>, Poссия, 690014</w:t>
      </w:r>
    </w:p>
    <w:p w14:paraId="49635555" w14:textId="77777777" w:rsidR="004E48F7" w:rsidRPr="000474BB" w:rsidRDefault="004E48F7" w:rsidP="00117149">
      <w:pPr>
        <w:spacing w:after="0" w:line="240" w:lineRule="auto"/>
        <w:rPr>
          <w:rFonts w:ascii="Times New Roman" w:hAnsi="Times New Roman" w:cs="Times New Roman"/>
          <w:b/>
          <w:sz w:val="24"/>
          <w:szCs w:val="24"/>
        </w:rPr>
      </w:pPr>
    </w:p>
    <w:p w14:paraId="718A2B25" w14:textId="77777777" w:rsidR="004E48F7" w:rsidRPr="000474BB" w:rsidRDefault="004E48F7" w:rsidP="004E48F7">
      <w:pPr>
        <w:spacing w:after="0" w:line="240" w:lineRule="auto"/>
        <w:ind w:firstLine="709"/>
        <w:jc w:val="both"/>
        <w:rPr>
          <w:rFonts w:ascii="Times New Roman" w:hAnsi="Times New Roman" w:cs="Times New Roman"/>
          <w:i/>
          <w:sz w:val="24"/>
          <w:szCs w:val="24"/>
        </w:rPr>
      </w:pPr>
      <w:bookmarkStart w:id="14" w:name="_gjdgxs" w:colFirst="0" w:colLast="0"/>
      <w:bookmarkEnd w:id="14"/>
      <w:r w:rsidRPr="000474BB">
        <w:rPr>
          <w:rFonts w:ascii="Times New Roman" w:hAnsi="Times New Roman" w:cs="Times New Roman"/>
          <w:b/>
          <w:i/>
          <w:sz w:val="24"/>
          <w:szCs w:val="24"/>
        </w:rPr>
        <w:t>Аннотация</w:t>
      </w:r>
      <w:r w:rsidRPr="000474BB">
        <w:rPr>
          <w:rFonts w:ascii="Times New Roman" w:hAnsi="Times New Roman" w:cs="Times New Roman"/>
          <w:i/>
          <w:sz w:val="24"/>
          <w:szCs w:val="24"/>
        </w:rPr>
        <w:t xml:space="preserve">: В статье рассмотрены современные системы калькулирования себестоимости продукции в управленческом учёте. Актуальность статьи обусловлена значимостью формирования и учёта в формировании общей структуры показателей деятельности предприятия. Обоснована эффективность применения систем калькулирования. </w:t>
      </w:r>
    </w:p>
    <w:p w14:paraId="1FDD36FA" w14:textId="77777777" w:rsidR="004E48F7" w:rsidRDefault="004E48F7" w:rsidP="004E48F7">
      <w:pPr>
        <w:spacing w:after="0" w:line="240" w:lineRule="auto"/>
        <w:ind w:firstLine="709"/>
        <w:jc w:val="both"/>
        <w:rPr>
          <w:rFonts w:ascii="Times New Roman" w:hAnsi="Times New Roman" w:cs="Times New Roman"/>
          <w:i/>
          <w:color w:val="000000"/>
          <w:sz w:val="24"/>
          <w:szCs w:val="24"/>
        </w:rPr>
      </w:pPr>
      <w:r w:rsidRPr="000474BB">
        <w:rPr>
          <w:rFonts w:ascii="Times New Roman" w:hAnsi="Times New Roman" w:cs="Times New Roman"/>
          <w:b/>
          <w:i/>
          <w:color w:val="000000"/>
          <w:sz w:val="24"/>
          <w:szCs w:val="24"/>
        </w:rPr>
        <w:t xml:space="preserve">Ключевые слова:  </w:t>
      </w:r>
      <w:r w:rsidRPr="000474BB">
        <w:rPr>
          <w:rFonts w:ascii="Times New Roman" w:hAnsi="Times New Roman" w:cs="Times New Roman"/>
          <w:i/>
          <w:sz w:val="24"/>
          <w:szCs w:val="24"/>
        </w:rPr>
        <w:t>калькулирование себестоимости, АВ-костинг, таргет-костинг,  кайзен-костинг, управленческий учёт, производственные расходы, системы калькулирования</w:t>
      </w:r>
      <w:r w:rsidRPr="000474BB">
        <w:rPr>
          <w:rFonts w:ascii="Times New Roman" w:hAnsi="Times New Roman" w:cs="Times New Roman"/>
          <w:i/>
          <w:color w:val="000000"/>
          <w:sz w:val="24"/>
          <w:szCs w:val="24"/>
        </w:rPr>
        <w:t>.</w:t>
      </w:r>
    </w:p>
    <w:p w14:paraId="17A53FC6" w14:textId="77777777" w:rsidR="00117149" w:rsidRPr="000474BB" w:rsidRDefault="00117149" w:rsidP="004E48F7">
      <w:pPr>
        <w:spacing w:after="0" w:line="240" w:lineRule="auto"/>
        <w:ind w:firstLine="709"/>
        <w:jc w:val="both"/>
        <w:rPr>
          <w:rFonts w:ascii="Times New Roman" w:hAnsi="Times New Roman" w:cs="Times New Roman"/>
          <w:i/>
          <w:color w:val="000000"/>
          <w:sz w:val="24"/>
          <w:szCs w:val="24"/>
        </w:rPr>
      </w:pPr>
    </w:p>
    <w:p w14:paraId="5CFBFF70" w14:textId="77777777" w:rsidR="00117149" w:rsidRDefault="00117149" w:rsidP="00117149">
      <w:pPr>
        <w:spacing w:after="0" w:line="240" w:lineRule="auto"/>
        <w:ind w:firstLine="709"/>
        <w:jc w:val="center"/>
        <w:rPr>
          <w:rFonts w:ascii="Times New Roman" w:hAnsi="Times New Roman" w:cs="Times New Roman"/>
          <w:sz w:val="24"/>
          <w:szCs w:val="24"/>
          <w:lang w:val="en-US"/>
        </w:rPr>
      </w:pPr>
      <w:r w:rsidRPr="000474BB">
        <w:rPr>
          <w:rFonts w:ascii="Times New Roman" w:hAnsi="Times New Roman" w:cs="Times New Roman"/>
          <w:b/>
          <w:sz w:val="24"/>
          <w:szCs w:val="24"/>
          <w:lang w:val="en-US"/>
        </w:rPr>
        <w:t>STATE-OF-THE-ART SYSTEMS OF COST PRICE CALCULATION</w:t>
      </w:r>
      <w:r w:rsidRPr="000474BB">
        <w:rPr>
          <w:rFonts w:ascii="Times New Roman" w:hAnsi="Times New Roman" w:cs="Times New Roman"/>
          <w:b/>
          <w:sz w:val="24"/>
          <w:szCs w:val="24"/>
          <w:lang w:val="en-US"/>
        </w:rPr>
        <w:br/>
      </w:r>
    </w:p>
    <w:p w14:paraId="55A664E8" w14:textId="77777777" w:rsidR="00117149" w:rsidRDefault="00117149" w:rsidP="00117149">
      <w:pPr>
        <w:spacing w:after="0" w:line="240" w:lineRule="auto"/>
        <w:ind w:firstLine="709"/>
        <w:jc w:val="center"/>
        <w:rPr>
          <w:rFonts w:ascii="Times New Roman" w:hAnsi="Times New Roman" w:cs="Times New Roman"/>
          <w:sz w:val="24"/>
          <w:szCs w:val="24"/>
          <w:lang w:val="en-US"/>
        </w:rPr>
      </w:pPr>
      <w:r w:rsidRPr="00117149">
        <w:rPr>
          <w:rFonts w:ascii="Times New Roman" w:hAnsi="Times New Roman" w:cs="Times New Roman"/>
          <w:b/>
          <w:sz w:val="24"/>
          <w:szCs w:val="24"/>
          <w:lang w:val="en-US"/>
        </w:rPr>
        <w:t>Shchukina Tatiana, Torbina Angelina</w:t>
      </w:r>
      <w:r w:rsidRPr="000474BB">
        <w:rPr>
          <w:rFonts w:ascii="Times New Roman" w:hAnsi="Times New Roman" w:cs="Times New Roman"/>
          <w:sz w:val="24"/>
          <w:szCs w:val="24"/>
          <w:lang w:val="en-US"/>
        </w:rPr>
        <w:br/>
        <w:t xml:space="preserve">Master’s Degree Students, year 2, group </w:t>
      </w:r>
      <w:r w:rsidRPr="000474BB">
        <w:rPr>
          <w:rFonts w:ascii="Times New Roman" w:hAnsi="Times New Roman" w:cs="Times New Roman"/>
          <w:sz w:val="24"/>
          <w:szCs w:val="24"/>
        </w:rPr>
        <w:t>ЗМЭУ</w:t>
      </w:r>
      <w:r w:rsidRPr="000474BB">
        <w:rPr>
          <w:rFonts w:ascii="Times New Roman" w:hAnsi="Times New Roman" w:cs="Times New Roman"/>
          <w:sz w:val="24"/>
          <w:szCs w:val="24"/>
          <w:lang w:val="en-US"/>
        </w:rPr>
        <w:t>-16-</w:t>
      </w:r>
      <w:r w:rsidRPr="000474BB">
        <w:rPr>
          <w:rFonts w:ascii="Times New Roman" w:hAnsi="Times New Roman" w:cs="Times New Roman"/>
          <w:sz w:val="24"/>
          <w:szCs w:val="24"/>
        </w:rPr>
        <w:t>УА</w:t>
      </w:r>
      <w:r w:rsidRPr="000474BB">
        <w:rPr>
          <w:rFonts w:ascii="Times New Roman" w:hAnsi="Times New Roman" w:cs="Times New Roman"/>
          <w:sz w:val="24"/>
          <w:szCs w:val="24"/>
          <w:lang w:val="en-US"/>
        </w:rPr>
        <w:t>,</w:t>
      </w:r>
      <w:r w:rsidRPr="000474BB">
        <w:rPr>
          <w:rFonts w:ascii="Times New Roman" w:hAnsi="Times New Roman" w:cs="Times New Roman"/>
          <w:sz w:val="24"/>
          <w:szCs w:val="24"/>
          <w:lang w:val="en-US"/>
        </w:rPr>
        <w:br/>
        <w:t>Department of Economics</w:t>
      </w:r>
      <w:r w:rsidRPr="000474BB">
        <w:rPr>
          <w:rFonts w:ascii="Times New Roman" w:hAnsi="Times New Roman" w:cs="Times New Roman"/>
          <w:sz w:val="24"/>
          <w:szCs w:val="24"/>
          <w:lang w:val="en-US"/>
        </w:rPr>
        <w:br/>
      </w:r>
    </w:p>
    <w:p w14:paraId="3F98DC81" w14:textId="77777777" w:rsidR="00117149" w:rsidRDefault="00117149" w:rsidP="00117149">
      <w:pPr>
        <w:spacing w:after="0" w:line="240" w:lineRule="auto"/>
        <w:ind w:firstLine="709"/>
        <w:jc w:val="center"/>
        <w:rPr>
          <w:rFonts w:ascii="Times New Roman" w:hAnsi="Times New Roman" w:cs="Times New Roman"/>
          <w:sz w:val="24"/>
          <w:szCs w:val="24"/>
          <w:lang w:val="en-US"/>
        </w:rPr>
      </w:pPr>
      <w:r w:rsidRPr="00117149">
        <w:rPr>
          <w:rFonts w:ascii="Times New Roman" w:hAnsi="Times New Roman" w:cs="Times New Roman"/>
          <w:i/>
          <w:sz w:val="24"/>
          <w:szCs w:val="24"/>
          <w:lang w:val="en-US"/>
        </w:rPr>
        <w:t>Vladivostok State Institute of Economics and Security</w:t>
      </w:r>
      <w:r w:rsidRPr="00117149">
        <w:rPr>
          <w:rFonts w:ascii="Times New Roman" w:hAnsi="Times New Roman" w:cs="Times New Roman"/>
          <w:i/>
          <w:sz w:val="24"/>
          <w:szCs w:val="24"/>
          <w:lang w:val="en-US"/>
        </w:rPr>
        <w:br/>
        <w:t>Russia. Vladivostok</w:t>
      </w:r>
      <w:r w:rsidRPr="000474BB">
        <w:rPr>
          <w:rFonts w:ascii="Times New Roman" w:hAnsi="Times New Roman" w:cs="Times New Roman"/>
          <w:sz w:val="24"/>
          <w:szCs w:val="24"/>
          <w:lang w:val="en-US"/>
        </w:rPr>
        <w:br/>
      </w:r>
    </w:p>
    <w:p w14:paraId="799F8027" w14:textId="77777777" w:rsidR="00117149" w:rsidRPr="007E1000" w:rsidRDefault="00117149" w:rsidP="00117149">
      <w:pPr>
        <w:spacing w:after="0" w:line="240" w:lineRule="auto"/>
        <w:ind w:firstLine="709"/>
        <w:jc w:val="center"/>
        <w:rPr>
          <w:rFonts w:ascii="Times New Roman" w:hAnsi="Times New Roman" w:cs="Times New Roman"/>
          <w:sz w:val="24"/>
          <w:szCs w:val="24"/>
          <w:lang w:val="en-US"/>
        </w:rPr>
      </w:pPr>
      <w:r w:rsidRPr="000474BB">
        <w:rPr>
          <w:rFonts w:ascii="Times New Roman" w:hAnsi="Times New Roman" w:cs="Times New Roman"/>
          <w:sz w:val="24"/>
          <w:szCs w:val="24"/>
          <w:lang w:val="en-US"/>
        </w:rPr>
        <w:lastRenderedPageBreak/>
        <w:t>E-mail:tatiana_shchukina@inbox.ru, angelina_kopai@mail.ru , +79025065582, +79623343233</w:t>
      </w:r>
      <w:r w:rsidRPr="000474BB">
        <w:rPr>
          <w:rFonts w:ascii="Times New Roman" w:hAnsi="Times New Roman" w:cs="Times New Roman"/>
          <w:sz w:val="24"/>
          <w:szCs w:val="24"/>
          <w:lang w:val="en-US"/>
        </w:rPr>
        <w:br/>
        <w:t xml:space="preserve">Ul. </w:t>
      </w:r>
      <w:r w:rsidRPr="007E1000">
        <w:rPr>
          <w:rFonts w:ascii="Times New Roman" w:hAnsi="Times New Roman" w:cs="Times New Roman"/>
          <w:sz w:val="24"/>
          <w:szCs w:val="24"/>
          <w:lang w:val="en-US"/>
        </w:rPr>
        <w:t>Gogolya, 41, Vladivistok, Primorski krai, Russia, 690014</w:t>
      </w:r>
    </w:p>
    <w:p w14:paraId="1CDEAE01" w14:textId="77777777" w:rsidR="004E48F7" w:rsidRPr="007E1000" w:rsidRDefault="004E48F7" w:rsidP="004E48F7">
      <w:pPr>
        <w:spacing w:after="0" w:line="240" w:lineRule="auto"/>
        <w:ind w:firstLine="709"/>
        <w:jc w:val="both"/>
        <w:rPr>
          <w:rFonts w:ascii="Times New Roman" w:hAnsi="Times New Roman" w:cs="Times New Roman"/>
          <w:sz w:val="24"/>
          <w:szCs w:val="24"/>
          <w:lang w:val="en-US"/>
        </w:rPr>
      </w:pPr>
    </w:p>
    <w:p w14:paraId="5581AC1E" w14:textId="77777777" w:rsidR="004E48F7" w:rsidRPr="000474BB" w:rsidRDefault="004E48F7" w:rsidP="004E48F7">
      <w:pPr>
        <w:spacing w:after="0" w:line="240" w:lineRule="auto"/>
        <w:ind w:firstLine="709"/>
        <w:jc w:val="both"/>
        <w:rPr>
          <w:rFonts w:ascii="Times New Roman" w:hAnsi="Times New Roman" w:cs="Times New Roman"/>
          <w:i/>
          <w:sz w:val="24"/>
          <w:szCs w:val="24"/>
          <w:lang w:val="en-US"/>
        </w:rPr>
      </w:pPr>
      <w:r w:rsidRPr="000474BB">
        <w:rPr>
          <w:rFonts w:ascii="Times New Roman" w:hAnsi="Times New Roman" w:cs="Times New Roman"/>
          <w:b/>
          <w:i/>
          <w:sz w:val="24"/>
          <w:szCs w:val="24"/>
          <w:lang w:val="en-US"/>
        </w:rPr>
        <w:t>Abstract:</w:t>
      </w:r>
      <w:r w:rsidRPr="000474BB">
        <w:rPr>
          <w:rFonts w:ascii="Times New Roman" w:hAnsi="Times New Roman" w:cs="Times New Roman"/>
          <w:i/>
          <w:sz w:val="24"/>
          <w:szCs w:val="24"/>
          <w:lang w:val="en-US"/>
        </w:rPr>
        <w:t xml:space="preserve"> This articles considers modern systems of calculating of cost price of products in the field of management accounting. Article’s relevance is based on the importance of forming and accountancy in the forming of the general structure of a company’s performance    parameters. Article explains the efficiency of calculation systems. </w:t>
      </w:r>
    </w:p>
    <w:p w14:paraId="57B1C3BA" w14:textId="77777777" w:rsidR="004E48F7" w:rsidRPr="000474BB" w:rsidRDefault="004E48F7" w:rsidP="004E48F7">
      <w:pPr>
        <w:spacing w:after="0" w:line="240" w:lineRule="auto"/>
        <w:ind w:firstLine="709"/>
        <w:jc w:val="both"/>
        <w:rPr>
          <w:rFonts w:ascii="Times New Roman" w:hAnsi="Times New Roman" w:cs="Times New Roman"/>
          <w:i/>
          <w:sz w:val="24"/>
          <w:szCs w:val="24"/>
          <w:lang w:val="en-US"/>
        </w:rPr>
      </w:pPr>
      <w:r w:rsidRPr="000474BB">
        <w:rPr>
          <w:rFonts w:ascii="Times New Roman" w:hAnsi="Times New Roman" w:cs="Times New Roman"/>
          <w:b/>
          <w:i/>
          <w:sz w:val="24"/>
          <w:szCs w:val="24"/>
          <w:lang w:val="en-US"/>
        </w:rPr>
        <w:t>Keywords:</w:t>
      </w:r>
      <w:r w:rsidRPr="000474BB">
        <w:rPr>
          <w:rFonts w:ascii="Times New Roman" w:hAnsi="Times New Roman" w:cs="Times New Roman"/>
          <w:i/>
          <w:sz w:val="24"/>
          <w:szCs w:val="24"/>
          <w:lang w:val="en-US"/>
        </w:rPr>
        <w:t xml:space="preserve"> cost price calculation, AB-costing, target-costing, kaizen costing, management accounting, business expense, calculation systems.</w:t>
      </w:r>
    </w:p>
    <w:p w14:paraId="50F07069" w14:textId="77777777" w:rsidR="004E48F7" w:rsidRPr="000474BB" w:rsidRDefault="004E48F7" w:rsidP="004E48F7">
      <w:pPr>
        <w:spacing w:after="0" w:line="240" w:lineRule="auto"/>
        <w:ind w:firstLine="709"/>
        <w:jc w:val="both"/>
        <w:rPr>
          <w:rFonts w:ascii="Times New Roman" w:hAnsi="Times New Roman" w:cs="Times New Roman"/>
          <w:b/>
          <w:sz w:val="24"/>
          <w:szCs w:val="24"/>
          <w:lang w:val="en-US"/>
        </w:rPr>
      </w:pPr>
    </w:p>
    <w:p w14:paraId="3356593C" w14:textId="77777777" w:rsidR="004E48F7" w:rsidRPr="000474BB" w:rsidRDefault="004E48F7" w:rsidP="000474BB">
      <w:pPr>
        <w:spacing w:after="0" w:line="240" w:lineRule="auto"/>
        <w:ind w:firstLine="708"/>
        <w:jc w:val="both"/>
        <w:rPr>
          <w:rFonts w:ascii="Times New Roman" w:hAnsi="Times New Roman" w:cs="Times New Roman"/>
          <w:sz w:val="24"/>
          <w:szCs w:val="24"/>
        </w:rPr>
      </w:pPr>
      <w:r w:rsidRPr="000474BB">
        <w:rPr>
          <w:rFonts w:ascii="Times New Roman" w:hAnsi="Times New Roman" w:cs="Times New Roman"/>
          <w:b/>
          <w:sz w:val="24"/>
          <w:szCs w:val="24"/>
        </w:rPr>
        <w:t>Введение.</w:t>
      </w:r>
      <w:r w:rsidRPr="000474BB">
        <w:rPr>
          <w:rFonts w:ascii="Times New Roman" w:hAnsi="Times New Roman" w:cs="Times New Roman"/>
          <w:sz w:val="24"/>
          <w:szCs w:val="24"/>
        </w:rPr>
        <w:t xml:space="preserve"> Традиционные калькуляционные системы продолжают функционировать у хозяйствующих субъектов, но уже недостаточно удовлетворяют требования управления в современных условиях. </w:t>
      </w:r>
    </w:p>
    <w:p w14:paraId="741B1D3D" w14:textId="77777777" w:rsidR="004E48F7" w:rsidRPr="000474BB" w:rsidRDefault="004E48F7" w:rsidP="004E48F7">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b/>
          <w:sz w:val="24"/>
          <w:szCs w:val="24"/>
        </w:rPr>
        <w:t>Основная часть</w:t>
      </w:r>
      <w:r w:rsidRPr="000474BB">
        <w:rPr>
          <w:rFonts w:ascii="Times New Roman" w:hAnsi="Times New Roman" w:cs="Times New Roman"/>
          <w:sz w:val="24"/>
          <w:szCs w:val="24"/>
        </w:rPr>
        <w:t>. При реальном функционировании рыночных механизмов неизбежно возникает необходимость совершенствования и создания четкой системы учета и контроля затрат на производство и калькулирования себестоимости продукции в рамках управленческого учета [1].</w:t>
      </w:r>
      <w:r w:rsidRPr="000474BB">
        <w:rPr>
          <w:rFonts w:ascii="Times New Roman" w:hAnsi="Times New Roman" w:cs="Times New Roman"/>
          <w:sz w:val="24"/>
          <w:szCs w:val="24"/>
        </w:rPr>
        <w:tab/>
      </w:r>
    </w:p>
    <w:p w14:paraId="18410E06" w14:textId="77777777" w:rsidR="004E48F7" w:rsidRPr="000474BB" w:rsidRDefault="004E48F7" w:rsidP="004E48F7">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xml:space="preserve">Для понимания важности применения новейших систем калькулирования представим общий порядок формирования себестоимости. Себестоимость продукции (работ, услуг) является стоимостным показателем используемых в производственной деятельности различных ресурсов, сырья, материалов, топлива, энергии, основных средств, трудовых ресурсов, а также других затрат на производство и реализацию [2]. Себестоимость продукции (работ, услуг) является одним из основных факторов формирования прибыли, так как, если она повысилась, то при остальных равных условиях размер прибыли за этот период обязательно уменьшиться за счет этого фактора на такую же величину [3]. Между показателями значений финансовых результатов и себестоимости существует обратная функциональная зависимость. Чем меньше себестоимость, тем больше прибыль, и наоборот.  </w:t>
      </w:r>
    </w:p>
    <w:p w14:paraId="6FCD4EA6" w14:textId="77777777" w:rsidR="004E48F7" w:rsidRPr="000474BB" w:rsidRDefault="004E48F7" w:rsidP="004E48F7">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xml:space="preserve">Изменения в современных условиях привели к созданию принципиально новых методов калькулирования: </w:t>
      </w:r>
    </w:p>
    <w:p w14:paraId="21E34FCF" w14:textId="77777777" w:rsidR="004E48F7" w:rsidRPr="000474BB" w:rsidRDefault="004E48F7" w:rsidP="004E48F7">
      <w:pPr>
        <w:numPr>
          <w:ilvl w:val="0"/>
          <w:numId w:val="82"/>
        </w:numPr>
        <w:spacing w:after="0" w:line="240" w:lineRule="auto"/>
        <w:contextualSpacing/>
        <w:jc w:val="both"/>
        <w:rPr>
          <w:rFonts w:ascii="Times New Roman" w:hAnsi="Times New Roman" w:cs="Times New Roman"/>
          <w:sz w:val="24"/>
          <w:szCs w:val="24"/>
        </w:rPr>
      </w:pPr>
      <w:r w:rsidRPr="000474BB">
        <w:rPr>
          <w:rFonts w:ascii="Times New Roman" w:hAnsi="Times New Roman" w:cs="Times New Roman"/>
          <w:sz w:val="24"/>
          <w:szCs w:val="24"/>
        </w:rPr>
        <w:t>«АВ-костинг»;</w:t>
      </w:r>
    </w:p>
    <w:p w14:paraId="6BB64A78" w14:textId="77777777" w:rsidR="004E48F7" w:rsidRPr="000474BB" w:rsidRDefault="004E48F7" w:rsidP="004E48F7">
      <w:pPr>
        <w:numPr>
          <w:ilvl w:val="0"/>
          <w:numId w:val="82"/>
        </w:numPr>
        <w:spacing w:after="0" w:line="240" w:lineRule="auto"/>
        <w:contextualSpacing/>
        <w:jc w:val="both"/>
        <w:rPr>
          <w:rFonts w:ascii="Times New Roman" w:hAnsi="Times New Roman" w:cs="Times New Roman"/>
          <w:sz w:val="24"/>
          <w:szCs w:val="24"/>
        </w:rPr>
      </w:pPr>
      <w:r w:rsidRPr="000474BB">
        <w:rPr>
          <w:rFonts w:ascii="Times New Roman" w:hAnsi="Times New Roman" w:cs="Times New Roman"/>
          <w:sz w:val="24"/>
          <w:szCs w:val="24"/>
        </w:rPr>
        <w:t>«таргет-костинг»;</w:t>
      </w:r>
    </w:p>
    <w:p w14:paraId="27001C54" w14:textId="77777777" w:rsidR="004E48F7" w:rsidRPr="000474BB" w:rsidRDefault="004E48F7" w:rsidP="004E48F7">
      <w:pPr>
        <w:numPr>
          <w:ilvl w:val="0"/>
          <w:numId w:val="82"/>
        </w:numPr>
        <w:spacing w:after="0" w:line="240" w:lineRule="auto"/>
        <w:contextualSpacing/>
        <w:jc w:val="both"/>
        <w:rPr>
          <w:rFonts w:ascii="Times New Roman" w:hAnsi="Times New Roman" w:cs="Times New Roman"/>
          <w:sz w:val="24"/>
          <w:szCs w:val="24"/>
        </w:rPr>
      </w:pPr>
      <w:r w:rsidRPr="000474BB">
        <w:rPr>
          <w:rFonts w:ascii="Times New Roman" w:hAnsi="Times New Roman" w:cs="Times New Roman"/>
          <w:sz w:val="24"/>
          <w:szCs w:val="24"/>
        </w:rPr>
        <w:t xml:space="preserve">«кайзен-костинг»; </w:t>
      </w:r>
    </w:p>
    <w:p w14:paraId="08897D5D" w14:textId="77777777" w:rsidR="004E48F7" w:rsidRPr="000474BB" w:rsidRDefault="004E48F7" w:rsidP="004E48F7">
      <w:pPr>
        <w:numPr>
          <w:ilvl w:val="0"/>
          <w:numId w:val="82"/>
        </w:numPr>
        <w:spacing w:after="0" w:line="240" w:lineRule="auto"/>
        <w:contextualSpacing/>
        <w:jc w:val="both"/>
        <w:rPr>
          <w:rFonts w:ascii="Times New Roman" w:hAnsi="Times New Roman" w:cs="Times New Roman"/>
          <w:sz w:val="24"/>
          <w:szCs w:val="24"/>
        </w:rPr>
      </w:pPr>
      <w:r w:rsidRPr="000474BB">
        <w:rPr>
          <w:rFonts w:ascii="Times New Roman" w:hAnsi="Times New Roman" w:cs="Times New Roman"/>
          <w:sz w:val="24"/>
          <w:szCs w:val="24"/>
        </w:rPr>
        <w:t xml:space="preserve">калькулирование по последней операции; </w:t>
      </w:r>
    </w:p>
    <w:p w14:paraId="6B1F8804" w14:textId="77777777" w:rsidR="004E48F7" w:rsidRPr="000474BB" w:rsidRDefault="004E48F7" w:rsidP="004E48F7">
      <w:pPr>
        <w:numPr>
          <w:ilvl w:val="0"/>
          <w:numId w:val="82"/>
        </w:numPr>
        <w:spacing w:after="0" w:line="240" w:lineRule="auto"/>
        <w:contextualSpacing/>
        <w:jc w:val="both"/>
        <w:rPr>
          <w:rFonts w:ascii="Times New Roman" w:hAnsi="Times New Roman" w:cs="Times New Roman"/>
          <w:sz w:val="24"/>
          <w:szCs w:val="24"/>
        </w:rPr>
      </w:pPr>
      <w:r w:rsidRPr="000474BB">
        <w:rPr>
          <w:rFonts w:ascii="Times New Roman" w:hAnsi="Times New Roman" w:cs="Times New Roman"/>
          <w:sz w:val="24"/>
          <w:szCs w:val="24"/>
        </w:rPr>
        <w:t xml:space="preserve">калькулирование по стадиям жизненного цикла. </w:t>
      </w:r>
    </w:p>
    <w:p w14:paraId="35C2ABD1"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Возможности традиционных методов дополняются современными методами калькулирования себестоимости, тем самым обеспечивая успех в условиях рыночной экономики [4].</w:t>
      </w:r>
    </w:p>
    <w:p w14:paraId="5E7CDDA9"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 xml:space="preserve">В основе калькуляционной системы «АВ - костинг» лежит принципиально иной подход к формированию себестоимости продукции у хозяйствующих субъектов с высоким удельным весом косвенных затрат, а именно - их распределение на основе установления причинно - следственных связей с включением в расчеты промежуточного объекта калькулирования — операции.  </w:t>
      </w:r>
    </w:p>
    <w:p w14:paraId="4244CD31"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 xml:space="preserve">Калькулирование себестоимости по стадиям жизненного цикла продукта дает возможность учесть и оценить затраты каждого производимого продукта от стадии научно - технической разработки и до периода, когда предприятие прекращает сервисное обслуживание своего продукта у покупателей [5]. </w:t>
      </w:r>
    </w:p>
    <w:p w14:paraId="204785E9"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 xml:space="preserve">Калькуляционная система «таргет - костинг» создана для обеспечения управленческих решений в части разрабатываемого продукта, доведения себестоимости до заданных менеджментом параметров. Ее продуктом является прогнозная себестоимость проектируемого или улучшаемого изделия в соответствии с целевыми параметрами. Задаются границы будущей цены и размер нормы прибыли изделия, исходя из которых </w:t>
      </w:r>
      <w:r w:rsidRPr="000474BB">
        <w:rPr>
          <w:rFonts w:ascii="Times New Roman" w:hAnsi="Times New Roman" w:cs="Times New Roman"/>
          <w:sz w:val="24"/>
          <w:szCs w:val="24"/>
        </w:rPr>
        <w:lastRenderedPageBreak/>
        <w:t xml:space="preserve">осуществляют поиск конструкции, материалов, технологии, позволяющих выйти на необходимую величину затрат [6].  </w:t>
      </w:r>
    </w:p>
    <w:p w14:paraId="4C64F15D"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 xml:space="preserve">«Кайзен - костинг» - система калькулирования, которая направлена на постепенное усовершенствование качества, бизнес - процессов, снижение издержек производства. Ее основная функция заключается в минимизации разницы между расчетной (после завершения проектирования) и фактической себестоимостями продукта по отдельным статьям затрат. «Кайзен - костинг» нацелена на доведение отдельных статей затрат и себестоимости в целом в процессе производства. </w:t>
      </w:r>
    </w:p>
    <w:p w14:paraId="74EA7463"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Новейшие системы калькулирования себестоимости являются не только более сбалансированными по сравнению с традиционными системами, но и содержат информацию, позволяющую помимо решения обычных каждодневных задач решать сложные управленческие задачи и составлять прогнозы возможных последствий принятия того или иного решения.</w:t>
      </w:r>
    </w:p>
    <w:p w14:paraId="2DD0B8E0"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Исследование сущности и основных принципов применения  новых систем учета позволило выявить, что основными моделями эффективной системы управления затратами (Cost Management System) являются три направления: это «Таргет-Кайзен-АВ-костинг», информация которых, интегрируя между собой, используется как инструмент управления компанией для достижения стратегических целей и задач достижения результата предпринимательской деятельности. Модель тройственной системы управления затратами изображена на рис. 1 [7].</w:t>
      </w:r>
    </w:p>
    <w:p w14:paraId="2FF85D32" w14:textId="77777777" w:rsidR="004E48F7" w:rsidRPr="000474BB" w:rsidRDefault="004E48F7" w:rsidP="004E48F7">
      <w:pPr>
        <w:spacing w:after="0" w:line="240" w:lineRule="auto"/>
        <w:ind w:firstLine="720"/>
        <w:jc w:val="both"/>
        <w:rPr>
          <w:rFonts w:ascii="Times New Roman" w:hAnsi="Times New Roman" w:cs="Times New Roman"/>
          <w:sz w:val="24"/>
          <w:szCs w:val="24"/>
        </w:rPr>
      </w:pPr>
    </w:p>
    <w:p w14:paraId="1E954643" w14:textId="77777777" w:rsidR="004E48F7" w:rsidRPr="000474BB" w:rsidRDefault="004E48F7" w:rsidP="004E48F7">
      <w:pPr>
        <w:spacing w:after="0" w:line="240" w:lineRule="auto"/>
        <w:jc w:val="both"/>
        <w:rPr>
          <w:rFonts w:ascii="Times New Roman" w:hAnsi="Times New Roman" w:cs="Times New Roman"/>
          <w:sz w:val="24"/>
          <w:szCs w:val="24"/>
        </w:rPr>
      </w:pPr>
      <w:r w:rsidRPr="000474BB">
        <w:rPr>
          <w:rFonts w:ascii="Times New Roman" w:hAnsi="Times New Roman" w:cs="Times New Roman"/>
          <w:noProof/>
          <w:sz w:val="24"/>
          <w:szCs w:val="24"/>
          <w:lang w:eastAsia="ru-RU"/>
        </w:rPr>
        <w:drawing>
          <wp:inline distT="0" distB="0" distL="0" distR="0" wp14:anchorId="7A7361DF" wp14:editId="07777777">
            <wp:extent cx="5880100" cy="4710430"/>
            <wp:effectExtent l="19050" t="0" r="635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3" cstate="print"/>
                    <a:srcRect/>
                    <a:stretch>
                      <a:fillRect/>
                    </a:stretch>
                  </pic:blipFill>
                  <pic:spPr bwMode="auto">
                    <a:xfrm>
                      <a:off x="0" y="0"/>
                      <a:ext cx="5880100" cy="4710430"/>
                    </a:xfrm>
                    <a:prstGeom prst="rect">
                      <a:avLst/>
                    </a:prstGeom>
                    <a:noFill/>
                    <a:ln w="9525">
                      <a:noFill/>
                      <a:miter lim="800000"/>
                      <a:headEnd/>
                      <a:tailEnd/>
                    </a:ln>
                  </pic:spPr>
                </pic:pic>
              </a:graphicData>
            </a:graphic>
          </wp:inline>
        </w:drawing>
      </w:r>
    </w:p>
    <w:p w14:paraId="37708AB2" w14:textId="77777777" w:rsidR="004E48F7" w:rsidRPr="000474BB" w:rsidRDefault="004E48F7" w:rsidP="004E48F7">
      <w:pPr>
        <w:spacing w:after="0" w:line="240" w:lineRule="auto"/>
        <w:ind w:firstLine="720"/>
        <w:jc w:val="center"/>
        <w:rPr>
          <w:rFonts w:ascii="Times New Roman" w:hAnsi="Times New Roman" w:cs="Times New Roman"/>
          <w:sz w:val="24"/>
          <w:szCs w:val="24"/>
        </w:rPr>
      </w:pPr>
      <w:r w:rsidRPr="000474BB">
        <w:rPr>
          <w:rFonts w:ascii="Times New Roman" w:hAnsi="Times New Roman" w:cs="Times New Roman"/>
          <w:sz w:val="24"/>
          <w:szCs w:val="24"/>
        </w:rPr>
        <w:t>Рисунок 1 - Концепция управления затратами при взаимодействии новейших систем калькулирования</w:t>
      </w:r>
      <w:r w:rsidRPr="000474BB">
        <w:rPr>
          <w:rFonts w:ascii="Times New Roman" w:hAnsi="Times New Roman" w:cs="Times New Roman"/>
          <w:sz w:val="24"/>
          <w:szCs w:val="24"/>
        </w:rPr>
        <w:br/>
      </w:r>
    </w:p>
    <w:p w14:paraId="6919093B"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lastRenderedPageBreak/>
        <w:t>Как показывает блок-схема, проникновение информации от одной системы (Таргет-костинг) в другую (Кайзен-костинг) и по функциям (АВ-костинг) позволяет в компании организовать и постоянно осуществлять политику снижения себестоимости для достижения ее целевых параметров, принимать решения по эффективному инвестированию финансовых ресурсов в новые продукты, увязывать между собой разнонаправленные действия специалистов, вовлеченных в производственный процесс, и совместными усилиями добиваться достижения результатов предпринимательской деятельности.</w:t>
      </w:r>
    </w:p>
    <w:p w14:paraId="7DC714D4"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Основную нагрузку по обеспечению целевой себестоимости отводится функциональной системе учета затрат, приводящей в действие всю модель, кроме того в современных условиях управления затратами и результатами деятельности менеджмент компании определяет две группы основных задач как по срокам их решения, так и скорости реализации последствий таких решений в тактическом и стратегическом направлении.</w:t>
      </w:r>
    </w:p>
    <w:p w14:paraId="6A2584F3"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 xml:space="preserve">Калькулирование себестоимости по стадиям жизненного цикла продукта позволяет оценивать и учитывать затраты каждого производимого продукта от стадии научно- технической разработки и до периода, когда предприятие прекращает сервисное обслуживание своего продукта у покупателей. Объектом калькулирования является жизненный цикл продукта или отдельные его стадии (характерно для автомобилестроения).  Преимуществами данного метода является детальная оценка затрат по каждому продукту на всех уровнях жизненного цикла, возможность управления себестоимостью на уровнях жизненного цикла. </w:t>
      </w:r>
    </w:p>
    <w:p w14:paraId="691117DE"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Недостатками является организация аналитического учета хозяйственных расходов, проблема идентификации затрат конкретного продукта по маркетингу, научно-исследовательским работам, продажам и т.д..</w:t>
      </w:r>
    </w:p>
    <w:p w14:paraId="6E2A024B"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Возросшая конкуренция и борьба за рынки сбыта привели к тому, что управленческие ошибки из-за решений, принятых на основе искаженной информации становятся более дорогостоящими.</w:t>
      </w:r>
    </w:p>
    <w:p w14:paraId="7A0B3DA1"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Так, если применяемая система учета затрат приведет к искажению информации о себестоимости продукта, то при завышенной себестоимости производства компания установит на него нереальную цену и уступит свои позиции конкурентам, только потому, что их система учета затрат позволяет получать о затратах более реальную информацию, что способствует устанавливать им более низкие цены на продукт. Подобные изменения заставили многие компании изучать и совершенствовать применяемые системы учета затрат, чтобы они позволяли выдавать реальную информацию о затратах по всему жизненному циклу продукта. Соответствующая информация позволит определять целевые затраты на продукт, выявлять убыточные виды деятельности, анализировать прибыль в разрезе продуктов и видов деятельности.</w:t>
      </w:r>
    </w:p>
    <w:p w14:paraId="1AF627A2"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В рамках системы стратегического управления затратами стоимость оценивается и контролируется факторами, которые существенно влияют друг на друга. Это вытекает из того, что предпринимательская деятельность должна ориентироваться на выпуск высококачественного, конкурентоспособного и инновационного продукта при снижении затрат на его изготовление. Поэтому большое значение имеет применение передовых форм и методов организации учета затрат и результатов предпринимательской деятельности [8].</w:t>
      </w:r>
    </w:p>
    <w:p w14:paraId="1AF9FE6A"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t>Проведенные исследования существующей практики и современных методов учета затрат показали, что в практической деятельности компании для её осуществления сталкиваются с необходимостью использования долгосрочных ресурсов. Поэтому, равенство маржинальных издержек и доходов, исчисленных на основе системы директ-костинг, обеспечивает максимальный доход, но его применение эффективно лишь при определенных условиях. Это объясняется двумя причинами: первая заключается в том, что прямые затраты должны составлять большую часть издержек; а вторая - в перечне выпускаемых товаров по узкой номенклатуре – один или два вида, каждый из которой требует практически равных постоянных издержек, в противном случае показатели себестоимости будут искажены.</w:t>
      </w:r>
    </w:p>
    <w:p w14:paraId="1D9B2703"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sz w:val="24"/>
          <w:szCs w:val="24"/>
        </w:rPr>
        <w:lastRenderedPageBreak/>
        <w:t>Поэтому такой подход к учету затрат и расчету себестоимости приводит либо к занижению добавленной стоимости на мелкосерийную продукцию и завышению на крупносерийную, что приводит к низким показателям доходов, отраженных в финансовом учете по сравнению с данными, исчисленными в управленческом учете, либо неоправданно высокую прибыль технологически сложных и инновационных продуктов по сравнению с менее сложными продуктами [9].</w:t>
      </w:r>
    </w:p>
    <w:p w14:paraId="21EF6452" w14:textId="77777777" w:rsidR="004E48F7" w:rsidRPr="000474BB" w:rsidRDefault="004E48F7" w:rsidP="004E48F7">
      <w:pPr>
        <w:spacing w:after="0" w:line="240" w:lineRule="auto"/>
        <w:ind w:firstLine="720"/>
        <w:jc w:val="both"/>
        <w:rPr>
          <w:rFonts w:ascii="Times New Roman" w:hAnsi="Times New Roman" w:cs="Times New Roman"/>
          <w:sz w:val="24"/>
          <w:szCs w:val="24"/>
        </w:rPr>
      </w:pPr>
      <w:r w:rsidRPr="000474BB">
        <w:rPr>
          <w:rFonts w:ascii="Times New Roman" w:hAnsi="Times New Roman" w:cs="Times New Roman"/>
          <w:b/>
          <w:sz w:val="24"/>
          <w:szCs w:val="24"/>
        </w:rPr>
        <w:t>Заключение.</w:t>
      </w:r>
      <w:r w:rsidRPr="000474BB">
        <w:rPr>
          <w:rFonts w:ascii="Times New Roman" w:hAnsi="Times New Roman" w:cs="Times New Roman"/>
          <w:sz w:val="24"/>
          <w:szCs w:val="24"/>
        </w:rPr>
        <w:t xml:space="preserve"> Учет затрат на производство и калькулирование себестоимости продукции являются неотъемлемой частью общей единой системы бухгалтерского учета. Однако, несмотря на то, что традиционные системы калькулирования продолжают использоваться экономистами и аналитиками, они уже не могут в полном объеме удовлетворять требованиям управления предприятием, возникшим в современных условиях. Это в совокупности с усилением конкуренции, неопределенности внешней среды и степени рисков хозяйствования привело к дальнейшему развитию калькулирования и иных инструментов управленческого учета.</w:t>
      </w:r>
    </w:p>
    <w:p w14:paraId="627AA0AC" w14:textId="77777777" w:rsidR="000474BB" w:rsidRDefault="007014C7" w:rsidP="004E48F7">
      <w:pPr>
        <w:spacing w:after="0" w:line="240" w:lineRule="auto"/>
        <w:ind w:firstLine="709"/>
        <w:jc w:val="both"/>
        <w:rPr>
          <w:rFonts w:ascii="Times New Roman" w:hAnsi="Times New Roman" w:cs="Times New Roman"/>
          <w:b/>
          <w:sz w:val="24"/>
          <w:szCs w:val="24"/>
        </w:rPr>
      </w:pPr>
      <w:r>
        <w:rPr>
          <w:rFonts w:ascii="Times New Roman" w:hAnsi="Times New Roman" w:cs="Times New Roman"/>
          <w:b/>
          <w:noProof/>
          <w:sz w:val="24"/>
          <w:szCs w:val="24"/>
          <w:lang w:eastAsia="ru-RU"/>
        </w:rPr>
        <w:pict w14:anchorId="62648354">
          <v:shape id="_x0000_s1227" type="#_x0000_t32" style="position:absolute;left:0;text-align:left;margin-left:.9pt;margin-top:8.65pt;width:251.05pt;height:0;z-index:251742208" o:connectortype="straight"/>
        </w:pict>
      </w:r>
    </w:p>
    <w:p w14:paraId="79D6A167"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color w:val="000000"/>
          <w:sz w:val="24"/>
          <w:szCs w:val="24"/>
        </w:rPr>
      </w:pPr>
      <w:r w:rsidRPr="000474BB">
        <w:rPr>
          <w:rFonts w:ascii="Times New Roman" w:hAnsi="Times New Roman" w:cs="Times New Roman"/>
          <w:sz w:val="24"/>
          <w:szCs w:val="24"/>
        </w:rPr>
        <w:t>Анисимова, В.О. Особенности применения современных систем калькулирования себестоимости продукции / В.О.Анисимова, С.В.Кузнецова // Торговля, предпринимательство и право, 2016. - №3. - С. 13-15.</w:t>
      </w:r>
    </w:p>
    <w:p w14:paraId="6D5EEC68"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color w:val="000000"/>
          <w:sz w:val="24"/>
          <w:szCs w:val="24"/>
        </w:rPr>
      </w:pPr>
      <w:r w:rsidRPr="000474BB">
        <w:rPr>
          <w:rFonts w:ascii="Times New Roman" w:hAnsi="Times New Roman" w:cs="Times New Roman"/>
          <w:sz w:val="24"/>
          <w:szCs w:val="24"/>
        </w:rPr>
        <w:t>Каверина О. Д. Перспективы развития калькуляционной системы «АВ-костинг»// Вестник Санкт-Петербургского университета. – 2015. – № 1.</w:t>
      </w:r>
    </w:p>
    <w:p w14:paraId="57DD7D09"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sz w:val="24"/>
          <w:szCs w:val="24"/>
        </w:rPr>
      </w:pPr>
      <w:r w:rsidRPr="000474BB">
        <w:rPr>
          <w:rFonts w:ascii="Times New Roman" w:hAnsi="Times New Roman" w:cs="Times New Roman"/>
          <w:sz w:val="24"/>
          <w:szCs w:val="24"/>
        </w:rPr>
        <w:t>Лебедева, О.С. АВС-оценка прибыльности клиентов / О.С.Лебедева // Управление экономическими системами: электронный научный журнал, 2017. - №5(99). - С. 25.</w:t>
      </w:r>
    </w:p>
    <w:p w14:paraId="232D4A16"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color w:val="000000"/>
          <w:sz w:val="24"/>
          <w:szCs w:val="24"/>
        </w:rPr>
      </w:pPr>
      <w:r w:rsidRPr="000474BB">
        <w:rPr>
          <w:rFonts w:ascii="Times New Roman" w:hAnsi="Times New Roman" w:cs="Times New Roman"/>
          <w:sz w:val="24"/>
          <w:szCs w:val="24"/>
        </w:rPr>
        <w:t>Балаба, Д.А. Зарубежные системы калькулирования / Д.А.Балаба // В сборнике: Современная экономика: актуальные вопросы, достижения и инновации. Сборник статей победителей VIII Международной научно-практической конференции: в 2 частях, 2017. - С. 129-132.</w:t>
      </w:r>
    </w:p>
    <w:p w14:paraId="6C7E682C"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sz w:val="24"/>
          <w:szCs w:val="24"/>
        </w:rPr>
      </w:pPr>
      <w:r w:rsidRPr="000474BB">
        <w:rPr>
          <w:rFonts w:ascii="Times New Roman" w:hAnsi="Times New Roman" w:cs="Times New Roman"/>
          <w:sz w:val="24"/>
          <w:szCs w:val="24"/>
        </w:rPr>
        <w:t>Бирюкова, А.И. Новейшие системы калькулирования: особенности и эффективность применения / А.И.Бирюкова // Научно-практические проблемы и направления их решения в области высоких технологий. Сборник статей Международной научно-практической конференции, 2017. – С.27-29.</w:t>
      </w:r>
    </w:p>
    <w:p w14:paraId="29899707"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sz w:val="24"/>
          <w:szCs w:val="24"/>
        </w:rPr>
      </w:pPr>
      <w:r w:rsidRPr="000474BB">
        <w:rPr>
          <w:rFonts w:ascii="Times New Roman" w:hAnsi="Times New Roman" w:cs="Times New Roman"/>
          <w:sz w:val="24"/>
          <w:szCs w:val="24"/>
        </w:rPr>
        <w:t>Дегальцева, Ж. В. Сравнительная характеристика различных методов учета затрат и калькулирования себестоимости // Научный журнал КубГАУ. 2014. № 104.</w:t>
      </w:r>
    </w:p>
    <w:p w14:paraId="29E4AA44"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sz w:val="24"/>
          <w:szCs w:val="24"/>
        </w:rPr>
      </w:pPr>
      <w:r w:rsidRPr="000474BB">
        <w:rPr>
          <w:rFonts w:ascii="Times New Roman" w:hAnsi="Times New Roman" w:cs="Times New Roman"/>
          <w:sz w:val="24"/>
          <w:szCs w:val="24"/>
        </w:rPr>
        <w:t>Липина, Е.М. Новейшие системы калькулирования (АВ-костинг, по стадиям жизненного цикла продукции и услуг, тергет-костинг, кайзен-костинг) / В сборнике: Проблемы развития предприятий: теория и практика [Текст] : материалы 16-й Междунар. науч.-практ. конф., 16-17 нояб. 2017 г. : в 3 ч. / [редкол.: Г.Р. Хасаев, С.И. Ашмарина (отв. ред.) и др.]. - Ч. 2. - Самара : Изд-во Самар. гос. экон. ун-та, 2017. - C.257-258.</w:t>
      </w:r>
    </w:p>
    <w:p w14:paraId="4496DEA4"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sz w:val="24"/>
          <w:szCs w:val="24"/>
        </w:rPr>
      </w:pPr>
      <w:r w:rsidRPr="000474BB">
        <w:rPr>
          <w:rFonts w:ascii="Times New Roman" w:hAnsi="Times New Roman" w:cs="Times New Roman"/>
          <w:sz w:val="24"/>
          <w:szCs w:val="24"/>
        </w:rPr>
        <w:t>Жданова, Н.Л. Применение новейших методов калькулирования себестоимости продукции / Н.Л. Жданова // Инновационная экономика: перспективы развития и совершенствования, 2015. - С. 121-126.</w:t>
      </w:r>
    </w:p>
    <w:p w14:paraId="2D828DA9" w14:textId="77777777" w:rsidR="004E48F7" w:rsidRPr="000474BB" w:rsidRDefault="004E48F7" w:rsidP="004E48F7">
      <w:pPr>
        <w:numPr>
          <w:ilvl w:val="0"/>
          <w:numId w:val="83"/>
        </w:numPr>
        <w:spacing w:after="0" w:line="240" w:lineRule="auto"/>
        <w:ind w:left="0" w:firstLine="0"/>
        <w:contextualSpacing/>
        <w:jc w:val="both"/>
        <w:rPr>
          <w:rFonts w:ascii="Times New Roman" w:hAnsi="Times New Roman" w:cs="Times New Roman"/>
          <w:sz w:val="24"/>
          <w:szCs w:val="24"/>
        </w:rPr>
      </w:pPr>
      <w:r w:rsidRPr="000474BB">
        <w:rPr>
          <w:rFonts w:ascii="Times New Roman" w:hAnsi="Times New Roman" w:cs="Times New Roman"/>
          <w:sz w:val="24"/>
          <w:szCs w:val="24"/>
        </w:rPr>
        <w:t>Федулаева, О.А. Система «АВ-Костинг: преимущества и недостатки» / О.А. Федулаева // Экономика и управление: анализ тенденций и перспектив развития, 2016. - № 24. - С. 81-86.</w:t>
      </w:r>
    </w:p>
    <w:p w14:paraId="5A7AF15D" w14:textId="77777777" w:rsidR="004E48F7" w:rsidRPr="000474BB" w:rsidRDefault="004E48F7" w:rsidP="004E48F7">
      <w:pPr>
        <w:spacing w:after="0" w:line="240" w:lineRule="auto"/>
        <w:ind w:left="1069" w:hanging="720"/>
        <w:jc w:val="both"/>
        <w:rPr>
          <w:rFonts w:ascii="Times New Roman" w:hAnsi="Times New Roman" w:cs="Times New Roman"/>
          <w:color w:val="000000"/>
          <w:sz w:val="24"/>
          <w:szCs w:val="24"/>
        </w:rPr>
      </w:pPr>
    </w:p>
    <w:p w14:paraId="06686FEF" w14:textId="77777777" w:rsidR="004E48F7" w:rsidRPr="000474BB" w:rsidRDefault="004E48F7" w:rsidP="004E48F7">
      <w:pPr>
        <w:pStyle w:val="afc"/>
        <w:jc w:val="both"/>
        <w:rPr>
          <w:rFonts w:ascii="Times New Roman" w:hAnsi="Times New Roman"/>
          <w:sz w:val="24"/>
          <w:szCs w:val="24"/>
        </w:rPr>
      </w:pPr>
    </w:p>
    <w:p w14:paraId="3827C507" w14:textId="77777777" w:rsidR="002245D5" w:rsidRPr="00B92001" w:rsidRDefault="00B92001" w:rsidP="004E48F7">
      <w:pPr>
        <w:keepNext/>
        <w:pageBreakBefore/>
        <w:spacing w:after="240" w:line="240" w:lineRule="auto"/>
        <w:jc w:val="center"/>
        <w:outlineLvl w:val="0"/>
        <w:rPr>
          <w:rFonts w:ascii="Book Antiqua" w:eastAsia="Times New Roman" w:hAnsi="Book Antiqua" w:cs="Times New Roman"/>
          <w:b/>
          <w:bCs/>
          <w:caps/>
          <w:kern w:val="28"/>
          <w:sz w:val="24"/>
          <w:szCs w:val="20"/>
          <w:lang w:eastAsia="ru-RU"/>
        </w:rPr>
      </w:pPr>
      <w:r w:rsidRPr="00B92001">
        <w:rPr>
          <w:rFonts w:ascii="Book Antiqua" w:eastAsia="Times New Roman" w:hAnsi="Book Antiqua" w:cs="Times New Roman"/>
          <w:b/>
          <w:bCs/>
          <w:kern w:val="28"/>
          <w:sz w:val="24"/>
          <w:szCs w:val="20"/>
          <w:lang w:eastAsia="ru-RU"/>
        </w:rPr>
        <w:lastRenderedPageBreak/>
        <w:t>Секция</w:t>
      </w:r>
      <w:r w:rsidR="006A10F6" w:rsidRPr="00B92001">
        <w:rPr>
          <w:rFonts w:ascii="Book Antiqua" w:eastAsia="Times New Roman" w:hAnsi="Book Antiqua" w:cs="Times New Roman"/>
          <w:b/>
          <w:bCs/>
          <w:caps/>
          <w:kern w:val="28"/>
          <w:sz w:val="24"/>
          <w:szCs w:val="20"/>
          <w:lang w:eastAsia="ru-RU"/>
        </w:rPr>
        <w:t>. ПРОБЛЕМЫ ДИНАМИЧНОГО РАЗВИТИЯ ЭКОНОМИКИ И ФИНАНСОВ В СОВРЕМЕННОМ МИРЕ.</w:t>
      </w:r>
    </w:p>
    <w:p w14:paraId="1015D5DA" w14:textId="77777777" w:rsidR="005446FA" w:rsidRPr="00117149" w:rsidRDefault="005446FA" w:rsidP="005446FA">
      <w:pPr>
        <w:tabs>
          <w:tab w:val="left" w:pos="993"/>
        </w:tabs>
        <w:ind w:right="-1"/>
        <w:rPr>
          <w:rFonts w:ascii="Times New Roman" w:hAnsi="Times New Roman" w:cs="Times New Roman"/>
          <w:b/>
          <w:sz w:val="24"/>
          <w:szCs w:val="24"/>
        </w:rPr>
      </w:pPr>
      <w:r w:rsidRPr="00117149">
        <w:rPr>
          <w:rFonts w:ascii="Times New Roman" w:hAnsi="Times New Roman" w:cs="Times New Roman"/>
          <w:b/>
          <w:sz w:val="24"/>
          <w:szCs w:val="24"/>
        </w:rPr>
        <w:t xml:space="preserve">Рубрика: </w:t>
      </w:r>
      <w:r w:rsidRPr="00117149">
        <w:rPr>
          <w:rFonts w:ascii="Times New Roman" w:hAnsi="Times New Roman" w:cs="Times New Roman"/>
          <w:b/>
          <w:color w:val="333333"/>
          <w:sz w:val="24"/>
          <w:szCs w:val="24"/>
        </w:rPr>
        <w:t>Проблемы динамичного развития экономики и финансов в современном мире</w:t>
      </w:r>
    </w:p>
    <w:p w14:paraId="2762B911" w14:textId="77777777" w:rsidR="005446FA" w:rsidRPr="000474BB" w:rsidRDefault="005446FA" w:rsidP="005446FA">
      <w:pPr>
        <w:tabs>
          <w:tab w:val="left" w:pos="993"/>
        </w:tabs>
        <w:ind w:right="-1"/>
        <w:rPr>
          <w:rFonts w:ascii="Times New Roman" w:hAnsi="Times New Roman" w:cs="Times New Roman"/>
          <w:sz w:val="24"/>
          <w:szCs w:val="24"/>
        </w:rPr>
      </w:pPr>
      <w:r w:rsidRPr="000474BB">
        <w:rPr>
          <w:rFonts w:ascii="Times New Roman" w:hAnsi="Times New Roman" w:cs="Times New Roman"/>
          <w:sz w:val="24"/>
          <w:szCs w:val="24"/>
        </w:rPr>
        <w:t>УДК: 336.77</w:t>
      </w:r>
    </w:p>
    <w:p w14:paraId="03B6C588" w14:textId="77777777" w:rsidR="005446FA" w:rsidRPr="000474BB" w:rsidRDefault="00117149" w:rsidP="005446FA">
      <w:pPr>
        <w:tabs>
          <w:tab w:val="left" w:pos="993"/>
        </w:tabs>
        <w:ind w:right="-1" w:firstLine="709"/>
        <w:jc w:val="center"/>
        <w:rPr>
          <w:rFonts w:ascii="Times New Roman" w:hAnsi="Times New Roman" w:cs="Times New Roman"/>
          <w:b/>
          <w:sz w:val="24"/>
          <w:szCs w:val="24"/>
        </w:rPr>
      </w:pPr>
      <w:r w:rsidRPr="000474BB">
        <w:rPr>
          <w:rFonts w:ascii="Times New Roman" w:hAnsi="Times New Roman" w:cs="Times New Roman"/>
          <w:b/>
          <w:sz w:val="24"/>
          <w:szCs w:val="24"/>
        </w:rPr>
        <w:t>ИНСТРУМЕНТЫ ФИНАНСОВОЙ ПОДДЕРЖКИ МАЛОГО И СРЕДНЕГО БИЗНЕСА В РФ</w:t>
      </w:r>
    </w:p>
    <w:p w14:paraId="38A6E2D5" w14:textId="77777777" w:rsidR="005446FA" w:rsidRPr="00117149" w:rsidRDefault="005446FA" w:rsidP="005446FA">
      <w:pPr>
        <w:tabs>
          <w:tab w:val="left" w:pos="993"/>
        </w:tabs>
        <w:spacing w:after="0" w:line="240" w:lineRule="auto"/>
        <w:jc w:val="center"/>
        <w:rPr>
          <w:rFonts w:ascii="Times New Roman" w:hAnsi="Times New Roman" w:cs="Times New Roman"/>
          <w:b/>
          <w:sz w:val="24"/>
          <w:szCs w:val="24"/>
        </w:rPr>
      </w:pPr>
      <w:r w:rsidRPr="00117149">
        <w:rPr>
          <w:rFonts w:ascii="Times New Roman" w:hAnsi="Times New Roman" w:cs="Times New Roman"/>
          <w:b/>
          <w:sz w:val="24"/>
          <w:szCs w:val="24"/>
        </w:rPr>
        <w:t>Балаева Виктория Викторовна,</w:t>
      </w:r>
    </w:p>
    <w:p w14:paraId="02821F5E" w14:textId="77777777" w:rsidR="005446FA" w:rsidRPr="000474BB" w:rsidRDefault="005446FA" w:rsidP="005446FA">
      <w:pPr>
        <w:tabs>
          <w:tab w:val="left" w:pos="993"/>
        </w:tabs>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бакалавр 2 курса, кафедра экономики</w:t>
      </w:r>
    </w:p>
    <w:p w14:paraId="6A5B9CC6" w14:textId="77777777" w:rsidR="005446FA" w:rsidRPr="00117149" w:rsidRDefault="005446FA" w:rsidP="005446FA">
      <w:pPr>
        <w:tabs>
          <w:tab w:val="left" w:pos="993"/>
        </w:tabs>
        <w:spacing w:after="0" w:line="240" w:lineRule="auto"/>
        <w:jc w:val="center"/>
        <w:rPr>
          <w:rFonts w:ascii="Times New Roman" w:hAnsi="Times New Roman" w:cs="Times New Roman"/>
          <w:b/>
          <w:sz w:val="24"/>
          <w:szCs w:val="24"/>
        </w:rPr>
      </w:pPr>
      <w:r w:rsidRPr="00117149">
        <w:rPr>
          <w:rFonts w:ascii="Times New Roman" w:hAnsi="Times New Roman" w:cs="Times New Roman"/>
          <w:b/>
          <w:sz w:val="24"/>
          <w:szCs w:val="24"/>
        </w:rPr>
        <w:t>Охманюк Екатерина Алексеевна</w:t>
      </w:r>
    </w:p>
    <w:p w14:paraId="637DD39B" w14:textId="77777777" w:rsidR="005446FA" w:rsidRPr="000474BB" w:rsidRDefault="005446FA" w:rsidP="005446FA">
      <w:pPr>
        <w:tabs>
          <w:tab w:val="left" w:pos="993"/>
        </w:tabs>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бакалавр 2 курса, кафедра экономики</w:t>
      </w:r>
    </w:p>
    <w:p w14:paraId="401A7268" w14:textId="77777777" w:rsidR="00117149" w:rsidRDefault="00117149" w:rsidP="005446FA">
      <w:pPr>
        <w:tabs>
          <w:tab w:val="left" w:pos="993"/>
        </w:tabs>
        <w:spacing w:after="0" w:line="240" w:lineRule="auto"/>
        <w:jc w:val="center"/>
        <w:rPr>
          <w:rFonts w:ascii="Times New Roman" w:hAnsi="Times New Roman" w:cs="Times New Roman"/>
          <w:sz w:val="24"/>
          <w:szCs w:val="24"/>
        </w:rPr>
      </w:pPr>
    </w:p>
    <w:p w14:paraId="6CF34FA5" w14:textId="77777777" w:rsidR="005446FA" w:rsidRPr="000474BB" w:rsidRDefault="005446FA" w:rsidP="005446FA">
      <w:pPr>
        <w:tabs>
          <w:tab w:val="left" w:pos="993"/>
        </w:tabs>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Научный руководитель: Левченко Татьяна Александровна,</w:t>
      </w:r>
    </w:p>
    <w:p w14:paraId="425F7271" w14:textId="77777777" w:rsidR="005446FA" w:rsidRDefault="005446FA" w:rsidP="005446FA">
      <w:pPr>
        <w:tabs>
          <w:tab w:val="left" w:pos="993"/>
        </w:tabs>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 xml:space="preserve">доцент кафедры экономики </w:t>
      </w:r>
    </w:p>
    <w:p w14:paraId="752F30A4" w14:textId="77777777" w:rsidR="00117149" w:rsidRPr="000474BB" w:rsidRDefault="00117149" w:rsidP="005446FA">
      <w:pPr>
        <w:tabs>
          <w:tab w:val="left" w:pos="993"/>
        </w:tabs>
        <w:spacing w:after="0" w:line="240" w:lineRule="auto"/>
        <w:jc w:val="center"/>
        <w:rPr>
          <w:rFonts w:ascii="Times New Roman" w:hAnsi="Times New Roman" w:cs="Times New Roman"/>
          <w:sz w:val="24"/>
          <w:szCs w:val="24"/>
        </w:rPr>
      </w:pPr>
    </w:p>
    <w:p w14:paraId="612467EA" w14:textId="77777777" w:rsidR="005446FA" w:rsidRPr="000474BB" w:rsidRDefault="005446FA" w:rsidP="005446FA">
      <w:pPr>
        <w:tabs>
          <w:tab w:val="left" w:pos="993"/>
        </w:tabs>
        <w:spacing w:after="0" w:line="240" w:lineRule="auto"/>
        <w:jc w:val="center"/>
        <w:rPr>
          <w:rFonts w:ascii="Times New Roman" w:hAnsi="Times New Roman" w:cs="Times New Roman"/>
          <w:i/>
          <w:sz w:val="24"/>
          <w:szCs w:val="24"/>
        </w:rPr>
      </w:pPr>
      <w:r w:rsidRPr="000474BB">
        <w:rPr>
          <w:rFonts w:ascii="Times New Roman" w:hAnsi="Times New Roman" w:cs="Times New Roman"/>
          <w:i/>
          <w:sz w:val="24"/>
          <w:szCs w:val="24"/>
        </w:rPr>
        <w:t>Владивостокский государственный университет экономики и сервиса</w:t>
      </w:r>
    </w:p>
    <w:p w14:paraId="48D2E461" w14:textId="77777777" w:rsidR="005446FA" w:rsidRDefault="005446FA" w:rsidP="005446FA">
      <w:pPr>
        <w:tabs>
          <w:tab w:val="left" w:pos="993"/>
        </w:tabs>
        <w:spacing w:after="0" w:line="240" w:lineRule="auto"/>
        <w:jc w:val="center"/>
        <w:rPr>
          <w:rFonts w:ascii="Times New Roman" w:hAnsi="Times New Roman" w:cs="Times New Roman"/>
          <w:i/>
          <w:sz w:val="24"/>
          <w:szCs w:val="24"/>
        </w:rPr>
      </w:pPr>
      <w:r w:rsidRPr="000474BB">
        <w:rPr>
          <w:rFonts w:ascii="Times New Roman" w:hAnsi="Times New Roman" w:cs="Times New Roman"/>
          <w:i/>
          <w:sz w:val="24"/>
          <w:szCs w:val="24"/>
        </w:rPr>
        <w:t xml:space="preserve">Владивосток. Россия. </w:t>
      </w:r>
    </w:p>
    <w:p w14:paraId="3048BA75" w14:textId="77777777" w:rsidR="00117149" w:rsidRPr="000474BB" w:rsidRDefault="00117149" w:rsidP="005446FA">
      <w:pPr>
        <w:tabs>
          <w:tab w:val="left" w:pos="993"/>
        </w:tabs>
        <w:spacing w:after="0" w:line="240" w:lineRule="auto"/>
        <w:jc w:val="center"/>
        <w:rPr>
          <w:rFonts w:ascii="Times New Roman" w:hAnsi="Times New Roman" w:cs="Times New Roman"/>
          <w:i/>
          <w:sz w:val="24"/>
          <w:szCs w:val="24"/>
        </w:rPr>
      </w:pPr>
    </w:p>
    <w:p w14:paraId="7F75237B" w14:textId="77777777" w:rsidR="005446FA" w:rsidRPr="000474BB" w:rsidRDefault="005446FA" w:rsidP="000474BB">
      <w:pPr>
        <w:spacing w:after="0" w:line="240" w:lineRule="auto"/>
        <w:ind w:firstLineChars="295" w:firstLine="708"/>
        <w:jc w:val="center"/>
        <w:rPr>
          <w:rFonts w:ascii="Times New Roman" w:hAnsi="Times New Roman" w:cs="Times New Roman"/>
          <w:bCs/>
          <w:color w:val="333333"/>
          <w:sz w:val="24"/>
          <w:szCs w:val="24"/>
          <w:shd w:val="clear" w:color="auto" w:fill="FFFFFF"/>
        </w:rPr>
      </w:pPr>
      <w:r w:rsidRPr="000474BB">
        <w:rPr>
          <w:rFonts w:ascii="Times New Roman" w:hAnsi="Times New Roman" w:cs="Times New Roman"/>
          <w:sz w:val="24"/>
          <w:szCs w:val="24"/>
        </w:rPr>
        <w:t xml:space="preserve">E-mail: </w:t>
      </w:r>
      <w:hyperlink r:id="rId84" w:history="1">
        <w:r w:rsidRPr="000474BB">
          <w:rPr>
            <w:rStyle w:val="a4"/>
            <w:rFonts w:ascii="Times New Roman" w:hAnsi="Times New Roman" w:cs="Times New Roman"/>
            <w:bCs/>
            <w:sz w:val="24"/>
            <w:szCs w:val="24"/>
            <w:shd w:val="clear" w:color="auto" w:fill="FFFFFF"/>
          </w:rPr>
          <w:t>ministrelia_1998@mail.ru</w:t>
        </w:r>
      </w:hyperlink>
      <w:r w:rsidRPr="000474BB">
        <w:rPr>
          <w:rFonts w:ascii="Times New Roman" w:hAnsi="Times New Roman" w:cs="Times New Roman"/>
          <w:bCs/>
          <w:color w:val="333333"/>
          <w:sz w:val="24"/>
          <w:szCs w:val="24"/>
          <w:shd w:val="clear" w:color="auto" w:fill="FFFFFF"/>
        </w:rPr>
        <w:t>; тел.: +7914 973 57 05</w:t>
      </w:r>
    </w:p>
    <w:p w14:paraId="3AC79018" w14:textId="77777777" w:rsidR="005446FA" w:rsidRPr="000474BB" w:rsidRDefault="007014C7" w:rsidP="000B1300">
      <w:pPr>
        <w:spacing w:after="0" w:line="240" w:lineRule="auto"/>
        <w:ind w:firstLineChars="295" w:firstLine="649"/>
        <w:jc w:val="center"/>
        <w:rPr>
          <w:rFonts w:ascii="Times New Roman" w:hAnsi="Times New Roman" w:cs="Times New Roman"/>
          <w:bCs/>
          <w:color w:val="333333"/>
          <w:sz w:val="24"/>
          <w:szCs w:val="24"/>
          <w:shd w:val="clear" w:color="auto" w:fill="FFFFFF"/>
        </w:rPr>
      </w:pPr>
      <w:hyperlink r:id="rId85" w:history="1">
        <w:r w:rsidR="005446FA" w:rsidRPr="000474BB">
          <w:rPr>
            <w:rStyle w:val="a4"/>
            <w:rFonts w:ascii="Times New Roman" w:hAnsi="Times New Roman" w:cs="Times New Roman"/>
            <w:bCs/>
            <w:sz w:val="24"/>
            <w:szCs w:val="24"/>
            <w:shd w:val="clear" w:color="auto" w:fill="FFFFFF"/>
          </w:rPr>
          <w:t>ekaterina.ohmaniyk2013@ya.ru</w:t>
        </w:r>
      </w:hyperlink>
      <w:r w:rsidR="005446FA" w:rsidRPr="000474BB">
        <w:rPr>
          <w:rFonts w:ascii="Times New Roman" w:hAnsi="Times New Roman" w:cs="Times New Roman"/>
          <w:bCs/>
          <w:color w:val="333333"/>
          <w:sz w:val="24"/>
          <w:szCs w:val="24"/>
          <w:shd w:val="clear" w:color="auto" w:fill="FFFFFF"/>
        </w:rPr>
        <w:t>; тел.: +7924 242 69 86</w:t>
      </w:r>
    </w:p>
    <w:p w14:paraId="7244D7E4" w14:textId="77777777" w:rsidR="005446FA" w:rsidRPr="000474BB" w:rsidRDefault="005446FA" w:rsidP="005446FA">
      <w:pPr>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ул. Гоголя, 41, г. Владивосток, Приморский край, Россия, 690014</w:t>
      </w:r>
    </w:p>
    <w:p w14:paraId="3793568E" w14:textId="77777777" w:rsidR="005446FA" w:rsidRPr="000474BB" w:rsidRDefault="005446FA" w:rsidP="005446FA">
      <w:pPr>
        <w:spacing w:after="0" w:line="240" w:lineRule="auto"/>
        <w:jc w:val="center"/>
        <w:rPr>
          <w:rFonts w:ascii="Times New Roman" w:hAnsi="Times New Roman" w:cs="Times New Roman"/>
          <w:sz w:val="24"/>
          <w:szCs w:val="24"/>
        </w:rPr>
      </w:pPr>
    </w:p>
    <w:p w14:paraId="3536EDF9" w14:textId="77777777" w:rsidR="005446FA" w:rsidRPr="000474BB" w:rsidRDefault="005446FA" w:rsidP="00117149">
      <w:pPr>
        <w:spacing w:after="0" w:line="240" w:lineRule="auto"/>
        <w:ind w:firstLine="709"/>
        <w:jc w:val="both"/>
        <w:rPr>
          <w:rFonts w:ascii="Times New Roman" w:hAnsi="Times New Roman" w:cs="Times New Roman"/>
          <w:i/>
          <w:sz w:val="24"/>
          <w:szCs w:val="24"/>
        </w:rPr>
      </w:pPr>
      <w:r w:rsidRPr="000474BB">
        <w:rPr>
          <w:rFonts w:ascii="Times New Roman" w:hAnsi="Times New Roman" w:cs="Times New Roman"/>
          <w:i/>
          <w:sz w:val="24"/>
          <w:szCs w:val="24"/>
        </w:rPr>
        <w:t xml:space="preserve">В статье изложен аналитический обзор финансовой поддержки малого и среднего бизнеса в России и других странах. Изучены основные инструменты финансовой поддержки малого и среднего бизнеса в России в 2016 и 2017 году. Произведено сравнение экономической политики государства в области малого и среднего бизнеса в России, США и  Германии, сделан вывод о состоянии финансовой поддержки малого и среднего </w:t>
      </w:r>
      <w:r w:rsidR="00117149">
        <w:rPr>
          <w:rFonts w:ascii="Times New Roman" w:hAnsi="Times New Roman" w:cs="Times New Roman"/>
          <w:i/>
          <w:sz w:val="24"/>
          <w:szCs w:val="24"/>
        </w:rPr>
        <w:t>бизнеса в Российской Федерации.</w:t>
      </w:r>
    </w:p>
    <w:p w14:paraId="033E0F96" w14:textId="77777777" w:rsidR="005446FA" w:rsidRPr="000474BB" w:rsidRDefault="005446FA" w:rsidP="005446FA">
      <w:pPr>
        <w:spacing w:after="0" w:line="240" w:lineRule="auto"/>
        <w:ind w:firstLine="708"/>
        <w:jc w:val="both"/>
        <w:rPr>
          <w:rFonts w:ascii="Times New Roman" w:hAnsi="Times New Roman" w:cs="Times New Roman"/>
          <w:i/>
          <w:sz w:val="24"/>
          <w:szCs w:val="24"/>
        </w:rPr>
      </w:pPr>
      <w:r w:rsidRPr="000474BB">
        <w:rPr>
          <w:rFonts w:ascii="Times New Roman" w:hAnsi="Times New Roman" w:cs="Times New Roman"/>
          <w:b/>
          <w:i/>
          <w:sz w:val="24"/>
          <w:szCs w:val="24"/>
        </w:rPr>
        <w:t xml:space="preserve">Ключевые слова: </w:t>
      </w:r>
      <w:r w:rsidRPr="000474BB">
        <w:rPr>
          <w:rFonts w:ascii="Times New Roman" w:hAnsi="Times New Roman" w:cs="Times New Roman"/>
          <w:i/>
          <w:sz w:val="24"/>
          <w:szCs w:val="24"/>
        </w:rPr>
        <w:t>Малый бизнес, средний бизнес, финансовая поддержка, государство, экономика.</w:t>
      </w:r>
    </w:p>
    <w:p w14:paraId="081CEB47" w14:textId="77777777" w:rsidR="005446FA" w:rsidRPr="000474BB" w:rsidRDefault="005446FA" w:rsidP="005446FA">
      <w:pPr>
        <w:spacing w:after="0" w:line="240" w:lineRule="auto"/>
        <w:ind w:firstLine="708"/>
        <w:jc w:val="both"/>
        <w:rPr>
          <w:rFonts w:ascii="Times New Roman" w:hAnsi="Times New Roman" w:cs="Times New Roman"/>
          <w:i/>
          <w:sz w:val="24"/>
          <w:szCs w:val="24"/>
        </w:rPr>
      </w:pPr>
    </w:p>
    <w:p w14:paraId="52F68CC3" w14:textId="77777777" w:rsidR="005446FA" w:rsidRDefault="00117149" w:rsidP="005446FA">
      <w:pPr>
        <w:tabs>
          <w:tab w:val="left" w:pos="993"/>
        </w:tabs>
        <w:spacing w:after="0" w:line="240" w:lineRule="auto"/>
        <w:ind w:firstLine="709"/>
        <w:jc w:val="center"/>
        <w:rPr>
          <w:rFonts w:ascii="Times New Roman" w:hAnsi="Times New Roman" w:cs="Times New Roman"/>
          <w:b/>
          <w:sz w:val="24"/>
          <w:szCs w:val="24"/>
          <w:lang w:val="en-US"/>
        </w:rPr>
      </w:pPr>
      <w:r w:rsidRPr="000474BB">
        <w:rPr>
          <w:rFonts w:ascii="Times New Roman" w:hAnsi="Times New Roman" w:cs="Times New Roman"/>
          <w:b/>
          <w:sz w:val="24"/>
          <w:szCs w:val="24"/>
          <w:lang w:val="en-US"/>
        </w:rPr>
        <w:t>TOOLS FOR FINANCIAL SUPPORT OF SM</w:t>
      </w:r>
      <w:r>
        <w:rPr>
          <w:rFonts w:ascii="Times New Roman" w:hAnsi="Times New Roman" w:cs="Times New Roman"/>
          <w:b/>
          <w:sz w:val="24"/>
          <w:szCs w:val="24"/>
          <w:lang w:val="en-US"/>
        </w:rPr>
        <w:t>ALL AND MIDDLE-SIZED BUSINESSES</w:t>
      </w:r>
    </w:p>
    <w:p w14:paraId="54D4AFED" w14:textId="77777777" w:rsidR="00117149" w:rsidRPr="000474BB" w:rsidRDefault="00117149" w:rsidP="005446FA">
      <w:pPr>
        <w:tabs>
          <w:tab w:val="left" w:pos="993"/>
        </w:tabs>
        <w:spacing w:after="0" w:line="240" w:lineRule="auto"/>
        <w:ind w:firstLine="709"/>
        <w:jc w:val="center"/>
        <w:rPr>
          <w:rFonts w:ascii="Times New Roman" w:hAnsi="Times New Roman" w:cs="Times New Roman"/>
          <w:b/>
          <w:sz w:val="24"/>
          <w:szCs w:val="24"/>
          <w:lang w:val="en-US"/>
        </w:rPr>
      </w:pPr>
    </w:p>
    <w:p w14:paraId="75CBE4BE" w14:textId="77777777" w:rsidR="005446FA" w:rsidRPr="00117149" w:rsidRDefault="00117149" w:rsidP="005446FA">
      <w:pPr>
        <w:tabs>
          <w:tab w:val="left" w:pos="993"/>
        </w:tabs>
        <w:spacing w:after="0" w:line="240" w:lineRule="auto"/>
        <w:ind w:firstLine="709"/>
        <w:jc w:val="center"/>
        <w:rPr>
          <w:rFonts w:ascii="Times New Roman" w:hAnsi="Times New Roman" w:cs="Times New Roman"/>
          <w:b/>
          <w:sz w:val="24"/>
          <w:szCs w:val="24"/>
          <w:lang w:val="en-US"/>
        </w:rPr>
      </w:pPr>
      <w:r w:rsidRPr="00117149">
        <w:rPr>
          <w:rFonts w:ascii="Times New Roman" w:hAnsi="Times New Roman" w:cs="Times New Roman"/>
          <w:b/>
          <w:sz w:val="24"/>
          <w:szCs w:val="24"/>
          <w:lang w:val="en-US"/>
        </w:rPr>
        <w:t>Balaeva Viktoria Viktorovna</w:t>
      </w:r>
    </w:p>
    <w:p w14:paraId="451D0765" w14:textId="77777777" w:rsidR="005446FA" w:rsidRPr="000474BB" w:rsidRDefault="005446FA" w:rsidP="005446FA">
      <w:pPr>
        <w:tabs>
          <w:tab w:val="left" w:pos="993"/>
        </w:tabs>
        <w:spacing w:after="0" w:line="240" w:lineRule="auto"/>
        <w:ind w:firstLine="709"/>
        <w:jc w:val="center"/>
        <w:rPr>
          <w:rFonts w:ascii="Times New Roman" w:hAnsi="Times New Roman" w:cs="Times New Roman"/>
          <w:sz w:val="24"/>
          <w:szCs w:val="24"/>
          <w:lang w:val="en-US"/>
        </w:rPr>
      </w:pPr>
      <w:r w:rsidRPr="000474BB">
        <w:rPr>
          <w:rFonts w:ascii="Times New Roman" w:hAnsi="Times New Roman" w:cs="Times New Roman"/>
          <w:sz w:val="24"/>
          <w:szCs w:val="24"/>
          <w:lang w:val="en-US"/>
        </w:rPr>
        <w:t>bachelor 2 form, department of Economics</w:t>
      </w:r>
    </w:p>
    <w:p w14:paraId="376CA5B1" w14:textId="77777777" w:rsidR="005446FA" w:rsidRPr="00117149" w:rsidRDefault="005446FA" w:rsidP="005446FA">
      <w:pPr>
        <w:tabs>
          <w:tab w:val="left" w:pos="993"/>
        </w:tabs>
        <w:spacing w:after="0" w:line="240" w:lineRule="auto"/>
        <w:ind w:firstLine="709"/>
        <w:jc w:val="center"/>
        <w:rPr>
          <w:rFonts w:ascii="Times New Roman" w:hAnsi="Times New Roman" w:cs="Times New Roman"/>
          <w:b/>
          <w:sz w:val="24"/>
          <w:szCs w:val="24"/>
          <w:lang w:val="en-US"/>
        </w:rPr>
      </w:pPr>
      <w:r w:rsidRPr="00117149">
        <w:rPr>
          <w:rFonts w:ascii="Times New Roman" w:hAnsi="Times New Roman" w:cs="Times New Roman"/>
          <w:b/>
          <w:sz w:val="24"/>
          <w:szCs w:val="24"/>
          <w:lang w:val="en-US"/>
        </w:rPr>
        <w:t>Ohmaniyk Ekaterina Alexeevna</w:t>
      </w:r>
    </w:p>
    <w:p w14:paraId="395C16B6" w14:textId="77777777" w:rsidR="005446FA" w:rsidRPr="000474BB" w:rsidRDefault="005446FA" w:rsidP="005446FA">
      <w:pPr>
        <w:tabs>
          <w:tab w:val="left" w:pos="993"/>
        </w:tabs>
        <w:spacing w:after="0" w:line="240" w:lineRule="auto"/>
        <w:ind w:firstLine="709"/>
        <w:jc w:val="center"/>
        <w:rPr>
          <w:rFonts w:ascii="Times New Roman" w:hAnsi="Times New Roman" w:cs="Times New Roman"/>
          <w:sz w:val="24"/>
          <w:szCs w:val="24"/>
          <w:lang w:val="en-US"/>
        </w:rPr>
      </w:pPr>
      <w:r w:rsidRPr="000474BB">
        <w:rPr>
          <w:rFonts w:ascii="Times New Roman" w:hAnsi="Times New Roman" w:cs="Times New Roman"/>
          <w:sz w:val="24"/>
          <w:szCs w:val="24"/>
          <w:lang w:val="en-US"/>
        </w:rPr>
        <w:t>co-author: Levchenko Tatiana Alexandrovna</w:t>
      </w:r>
    </w:p>
    <w:p w14:paraId="7079DF94" w14:textId="77777777" w:rsidR="005446FA" w:rsidRPr="000474BB" w:rsidRDefault="005446FA" w:rsidP="005446FA">
      <w:pPr>
        <w:tabs>
          <w:tab w:val="left" w:pos="993"/>
        </w:tabs>
        <w:spacing w:after="0" w:line="240" w:lineRule="auto"/>
        <w:ind w:firstLine="709"/>
        <w:jc w:val="center"/>
        <w:rPr>
          <w:rFonts w:ascii="Times New Roman" w:hAnsi="Times New Roman" w:cs="Times New Roman"/>
          <w:b/>
          <w:sz w:val="24"/>
          <w:szCs w:val="24"/>
          <w:lang w:val="en-US"/>
        </w:rPr>
      </w:pPr>
      <w:r w:rsidRPr="000474BB">
        <w:rPr>
          <w:rFonts w:ascii="Times New Roman" w:hAnsi="Times New Roman" w:cs="Times New Roman"/>
          <w:sz w:val="24"/>
          <w:szCs w:val="24"/>
          <w:lang w:val="en-US"/>
        </w:rPr>
        <w:t>docent of Economics</w:t>
      </w:r>
    </w:p>
    <w:p w14:paraId="0FBA7733" w14:textId="77777777" w:rsidR="00117149" w:rsidRDefault="00117149" w:rsidP="005446FA">
      <w:pPr>
        <w:tabs>
          <w:tab w:val="left" w:pos="993"/>
        </w:tabs>
        <w:spacing w:after="0" w:line="240" w:lineRule="auto"/>
        <w:ind w:firstLine="709"/>
        <w:jc w:val="center"/>
        <w:rPr>
          <w:rFonts w:ascii="Times New Roman" w:hAnsi="Times New Roman" w:cs="Times New Roman"/>
          <w:i/>
          <w:sz w:val="24"/>
          <w:szCs w:val="24"/>
          <w:lang w:val="en-US"/>
        </w:rPr>
      </w:pPr>
    </w:p>
    <w:p w14:paraId="1B5388C9" w14:textId="77777777" w:rsidR="005446FA" w:rsidRPr="000474BB" w:rsidRDefault="005446FA" w:rsidP="005446FA">
      <w:pPr>
        <w:tabs>
          <w:tab w:val="left" w:pos="993"/>
        </w:tabs>
        <w:spacing w:after="0" w:line="240" w:lineRule="auto"/>
        <w:ind w:firstLine="709"/>
        <w:jc w:val="center"/>
        <w:rPr>
          <w:rFonts w:ascii="Times New Roman" w:hAnsi="Times New Roman" w:cs="Times New Roman"/>
          <w:i/>
          <w:sz w:val="24"/>
          <w:szCs w:val="24"/>
          <w:lang w:val="en-US"/>
        </w:rPr>
      </w:pPr>
      <w:r w:rsidRPr="000474BB">
        <w:rPr>
          <w:rFonts w:ascii="Times New Roman" w:hAnsi="Times New Roman" w:cs="Times New Roman"/>
          <w:i/>
          <w:sz w:val="24"/>
          <w:szCs w:val="24"/>
          <w:lang w:val="en-US"/>
        </w:rPr>
        <w:t>Vladivostok State University of Economics and Service</w:t>
      </w:r>
    </w:p>
    <w:p w14:paraId="48C44A1E" w14:textId="77777777" w:rsidR="005446FA" w:rsidRDefault="005446FA" w:rsidP="005446FA">
      <w:pPr>
        <w:tabs>
          <w:tab w:val="left" w:pos="993"/>
        </w:tabs>
        <w:spacing w:after="0" w:line="240" w:lineRule="auto"/>
        <w:ind w:firstLine="709"/>
        <w:jc w:val="center"/>
        <w:rPr>
          <w:rFonts w:ascii="Times New Roman" w:hAnsi="Times New Roman" w:cs="Times New Roman"/>
          <w:i/>
          <w:sz w:val="24"/>
          <w:szCs w:val="24"/>
          <w:lang w:val="en-US"/>
        </w:rPr>
      </w:pPr>
      <w:r w:rsidRPr="000474BB">
        <w:rPr>
          <w:rFonts w:ascii="Times New Roman" w:hAnsi="Times New Roman" w:cs="Times New Roman"/>
          <w:i/>
          <w:sz w:val="24"/>
          <w:szCs w:val="24"/>
          <w:lang w:val="en-US"/>
        </w:rPr>
        <w:t>Vladivostok Russia</w:t>
      </w:r>
    </w:p>
    <w:p w14:paraId="506B019F" w14:textId="77777777" w:rsidR="00117149" w:rsidRPr="000474BB" w:rsidRDefault="00117149" w:rsidP="005446FA">
      <w:pPr>
        <w:tabs>
          <w:tab w:val="left" w:pos="993"/>
        </w:tabs>
        <w:spacing w:after="0" w:line="240" w:lineRule="auto"/>
        <w:ind w:firstLine="709"/>
        <w:jc w:val="center"/>
        <w:rPr>
          <w:rFonts w:ascii="Times New Roman" w:hAnsi="Times New Roman" w:cs="Times New Roman"/>
          <w:i/>
          <w:sz w:val="24"/>
          <w:szCs w:val="24"/>
          <w:lang w:val="en-US"/>
        </w:rPr>
      </w:pPr>
    </w:p>
    <w:p w14:paraId="71B98D3A" w14:textId="77777777" w:rsidR="005446FA" w:rsidRPr="000474BB" w:rsidRDefault="00117149" w:rsidP="000474BB">
      <w:pPr>
        <w:spacing w:after="0" w:line="240" w:lineRule="auto"/>
        <w:ind w:firstLineChars="295" w:firstLine="708"/>
        <w:jc w:val="center"/>
        <w:rPr>
          <w:rFonts w:ascii="Times New Roman" w:hAnsi="Times New Roman" w:cs="Times New Roman"/>
          <w:bCs/>
          <w:color w:val="333333"/>
          <w:sz w:val="24"/>
          <w:szCs w:val="24"/>
          <w:shd w:val="clear" w:color="auto" w:fill="FFFFFF"/>
          <w:lang w:val="en-US"/>
        </w:rPr>
      </w:pPr>
      <w:r>
        <w:rPr>
          <w:rFonts w:ascii="Times New Roman" w:hAnsi="Times New Roman" w:cs="Times New Roman"/>
          <w:sz w:val="24"/>
          <w:szCs w:val="24"/>
          <w:lang w:val="en-US"/>
        </w:rPr>
        <w:t>E-mail:</w:t>
      </w:r>
      <w:r w:rsidR="005446FA" w:rsidRPr="000474BB">
        <w:rPr>
          <w:rFonts w:ascii="Times New Roman" w:hAnsi="Times New Roman" w:cs="Times New Roman"/>
          <w:sz w:val="24"/>
          <w:szCs w:val="24"/>
          <w:lang w:val="en-US"/>
        </w:rPr>
        <w:t xml:space="preserve"> </w:t>
      </w:r>
      <w:r w:rsidR="005446FA" w:rsidRPr="00117149">
        <w:rPr>
          <w:rFonts w:ascii="Times New Roman" w:hAnsi="Times New Roman" w:cs="Times New Roman"/>
          <w:bCs/>
          <w:sz w:val="24"/>
          <w:szCs w:val="24"/>
          <w:shd w:val="clear" w:color="auto" w:fill="FFFFFF"/>
          <w:lang w:val="en-US"/>
        </w:rPr>
        <w:t>ministrelia_1998@mail.ru</w:t>
      </w:r>
      <w:r w:rsidR="005446FA" w:rsidRPr="000474BB">
        <w:rPr>
          <w:rFonts w:ascii="Times New Roman" w:hAnsi="Times New Roman" w:cs="Times New Roman"/>
          <w:bCs/>
          <w:color w:val="333333"/>
          <w:sz w:val="24"/>
          <w:szCs w:val="24"/>
          <w:shd w:val="clear" w:color="auto" w:fill="FFFFFF"/>
          <w:lang w:val="en-US"/>
        </w:rPr>
        <w:t xml:space="preserve">; </w:t>
      </w:r>
      <w:r w:rsidR="005446FA" w:rsidRPr="000474BB">
        <w:rPr>
          <w:rFonts w:ascii="Times New Roman" w:hAnsi="Times New Roman" w:cs="Times New Roman"/>
          <w:bCs/>
          <w:color w:val="333333"/>
          <w:sz w:val="24"/>
          <w:szCs w:val="24"/>
          <w:shd w:val="clear" w:color="auto" w:fill="FFFFFF"/>
        </w:rPr>
        <w:t>тел</w:t>
      </w:r>
      <w:r w:rsidR="005446FA" w:rsidRPr="000474BB">
        <w:rPr>
          <w:rFonts w:ascii="Times New Roman" w:hAnsi="Times New Roman" w:cs="Times New Roman"/>
          <w:bCs/>
          <w:color w:val="333333"/>
          <w:sz w:val="24"/>
          <w:szCs w:val="24"/>
          <w:shd w:val="clear" w:color="auto" w:fill="FFFFFF"/>
          <w:lang w:val="en-US"/>
        </w:rPr>
        <w:t>.: +7914 973 57 05</w:t>
      </w:r>
    </w:p>
    <w:p w14:paraId="4BF34D2B" w14:textId="77777777" w:rsidR="005446FA" w:rsidRPr="000474BB" w:rsidRDefault="005446FA" w:rsidP="000B1300">
      <w:pPr>
        <w:spacing w:after="0" w:line="240" w:lineRule="auto"/>
        <w:ind w:firstLineChars="295" w:firstLine="708"/>
        <w:jc w:val="center"/>
        <w:rPr>
          <w:rFonts w:ascii="Times New Roman" w:hAnsi="Times New Roman" w:cs="Times New Roman"/>
          <w:bCs/>
          <w:color w:val="333333"/>
          <w:sz w:val="24"/>
          <w:szCs w:val="24"/>
          <w:shd w:val="clear" w:color="auto" w:fill="FFFFFF"/>
        </w:rPr>
      </w:pPr>
      <w:r w:rsidRPr="00117149">
        <w:rPr>
          <w:rFonts w:ascii="Times New Roman" w:hAnsi="Times New Roman" w:cs="Times New Roman"/>
          <w:bCs/>
          <w:sz w:val="24"/>
          <w:szCs w:val="24"/>
          <w:shd w:val="clear" w:color="auto" w:fill="FFFFFF"/>
        </w:rPr>
        <w:t>ekaterina.ohmaniyk2013@ya.ru</w:t>
      </w:r>
      <w:r w:rsidRPr="000474BB">
        <w:rPr>
          <w:rFonts w:ascii="Times New Roman" w:hAnsi="Times New Roman" w:cs="Times New Roman"/>
          <w:bCs/>
          <w:color w:val="333333"/>
          <w:sz w:val="24"/>
          <w:szCs w:val="24"/>
          <w:shd w:val="clear" w:color="auto" w:fill="FFFFFF"/>
        </w:rPr>
        <w:t>; тел.: +7924 242 69 86</w:t>
      </w:r>
    </w:p>
    <w:p w14:paraId="4F7836D1" w14:textId="77777777" w:rsidR="005446FA" w:rsidRPr="000474BB" w:rsidRDefault="005446FA" w:rsidP="00117149">
      <w:pPr>
        <w:spacing w:after="0" w:line="240" w:lineRule="auto"/>
        <w:rPr>
          <w:rFonts w:ascii="Times New Roman" w:hAnsi="Times New Roman" w:cs="Times New Roman"/>
          <w:bCs/>
          <w:color w:val="333333"/>
          <w:sz w:val="24"/>
          <w:szCs w:val="24"/>
          <w:shd w:val="clear" w:color="auto" w:fill="FFFFFF"/>
        </w:rPr>
      </w:pPr>
    </w:p>
    <w:p w14:paraId="0E0C16BD" w14:textId="77777777" w:rsidR="005446FA" w:rsidRPr="000474BB" w:rsidRDefault="005446FA" w:rsidP="00117149">
      <w:pPr>
        <w:spacing w:after="0" w:line="240" w:lineRule="auto"/>
        <w:ind w:firstLine="708"/>
        <w:jc w:val="both"/>
        <w:rPr>
          <w:rFonts w:ascii="Times New Roman" w:hAnsi="Times New Roman" w:cs="Times New Roman"/>
          <w:i/>
          <w:sz w:val="24"/>
          <w:szCs w:val="24"/>
          <w:lang w:val="en-US"/>
        </w:rPr>
      </w:pPr>
      <w:r w:rsidRPr="000474BB">
        <w:rPr>
          <w:rFonts w:ascii="Times New Roman" w:hAnsi="Times New Roman" w:cs="Times New Roman"/>
          <w:i/>
          <w:sz w:val="24"/>
          <w:szCs w:val="24"/>
          <w:lang w:val="en-US"/>
        </w:rPr>
        <w:t>This article introduce analytical review of financial support of small and middle-sized businesses in Russia and abroad.</w:t>
      </w:r>
      <w:r w:rsidRPr="000474BB">
        <w:rPr>
          <w:rFonts w:ascii="Times New Roman" w:hAnsi="Times New Roman" w:cs="Times New Roman"/>
          <w:sz w:val="24"/>
          <w:szCs w:val="24"/>
          <w:lang w:val="en-US"/>
        </w:rPr>
        <w:t xml:space="preserve"> </w:t>
      </w:r>
      <w:r w:rsidRPr="000474BB">
        <w:rPr>
          <w:rFonts w:ascii="Times New Roman" w:hAnsi="Times New Roman" w:cs="Times New Roman"/>
          <w:i/>
          <w:sz w:val="24"/>
          <w:szCs w:val="24"/>
          <w:lang w:val="en-US"/>
        </w:rPr>
        <w:t xml:space="preserve">Tools for financial support of small and middle-sized businesses in 2016 and 2017 years. A comparison of the economic policy of the State in the field of small and </w:t>
      </w:r>
      <w:r w:rsidRPr="000474BB">
        <w:rPr>
          <w:rFonts w:ascii="Times New Roman" w:hAnsi="Times New Roman" w:cs="Times New Roman"/>
          <w:i/>
          <w:sz w:val="24"/>
          <w:szCs w:val="24"/>
          <w:lang w:val="en-US"/>
        </w:rPr>
        <w:lastRenderedPageBreak/>
        <w:t xml:space="preserve">medium-sized businesses in Russia, USA and Germany, a conclusion on the State of financial support for small and medium-sized businesses in </w:t>
      </w:r>
      <w:r w:rsidR="00117149">
        <w:rPr>
          <w:rFonts w:ascii="Times New Roman" w:hAnsi="Times New Roman" w:cs="Times New Roman"/>
          <w:i/>
          <w:sz w:val="24"/>
          <w:szCs w:val="24"/>
          <w:lang w:val="en-US"/>
        </w:rPr>
        <w:t>the Russian Federation is made.</w:t>
      </w:r>
    </w:p>
    <w:p w14:paraId="27DD932E" w14:textId="77777777" w:rsidR="005446FA" w:rsidRPr="000474BB" w:rsidRDefault="005446FA" w:rsidP="00117149">
      <w:pPr>
        <w:spacing w:after="0" w:line="240" w:lineRule="auto"/>
        <w:ind w:firstLine="708"/>
        <w:rPr>
          <w:rFonts w:ascii="Times New Roman" w:hAnsi="Times New Roman" w:cs="Times New Roman"/>
          <w:i/>
          <w:sz w:val="24"/>
          <w:szCs w:val="24"/>
          <w:lang w:val="en-US"/>
        </w:rPr>
      </w:pPr>
      <w:r w:rsidRPr="000474BB">
        <w:rPr>
          <w:rFonts w:ascii="Times New Roman" w:hAnsi="Times New Roman" w:cs="Times New Roman"/>
          <w:b/>
          <w:i/>
          <w:sz w:val="24"/>
          <w:szCs w:val="24"/>
          <w:lang w:val="en-US"/>
        </w:rPr>
        <w:t xml:space="preserve">Key words: </w:t>
      </w:r>
      <w:r w:rsidRPr="000474BB">
        <w:rPr>
          <w:rFonts w:ascii="Times New Roman" w:hAnsi="Times New Roman" w:cs="Times New Roman"/>
          <w:i/>
          <w:sz w:val="24"/>
          <w:szCs w:val="24"/>
          <w:lang w:val="en-US"/>
        </w:rPr>
        <w:t>Small business, middle-sized business, financial support, State, economics.</w:t>
      </w:r>
    </w:p>
    <w:p w14:paraId="478D7399" w14:textId="77777777" w:rsidR="005446FA" w:rsidRPr="000474BB" w:rsidRDefault="005446FA" w:rsidP="005446FA">
      <w:pPr>
        <w:spacing w:after="0" w:line="240" w:lineRule="auto"/>
        <w:rPr>
          <w:rFonts w:ascii="Times New Roman" w:hAnsi="Times New Roman" w:cs="Times New Roman"/>
          <w:b/>
          <w:i/>
          <w:sz w:val="24"/>
          <w:szCs w:val="24"/>
          <w:lang w:val="en-US"/>
        </w:rPr>
      </w:pPr>
    </w:p>
    <w:p w14:paraId="2071DDA3" w14:textId="77777777" w:rsidR="005446FA" w:rsidRPr="000474BB" w:rsidRDefault="005446FA" w:rsidP="000474BB">
      <w:pPr>
        <w:spacing w:after="0" w:line="240" w:lineRule="auto"/>
        <w:ind w:firstLineChars="295" w:firstLine="708"/>
        <w:jc w:val="both"/>
        <w:rPr>
          <w:rFonts w:ascii="Times New Roman" w:hAnsi="Times New Roman" w:cs="Times New Roman"/>
          <w:color w:val="333333"/>
          <w:sz w:val="24"/>
          <w:szCs w:val="24"/>
          <w:shd w:val="clear" w:color="auto" w:fill="FFFFFF"/>
        </w:rPr>
      </w:pPr>
      <w:r w:rsidRPr="000474BB">
        <w:rPr>
          <w:rFonts w:ascii="Times New Roman" w:hAnsi="Times New Roman" w:cs="Times New Roman"/>
          <w:color w:val="333333"/>
          <w:sz w:val="24"/>
          <w:szCs w:val="24"/>
          <w:shd w:val="clear" w:color="auto" w:fill="FFFFFF"/>
        </w:rPr>
        <w:t xml:space="preserve">Развитие малого предпринимательства является неотъемлемой частью эффективного функционирования рыночного механизма. </w:t>
      </w:r>
      <w:r w:rsidRPr="000474BB">
        <w:rPr>
          <w:rFonts w:ascii="Times New Roman" w:hAnsi="Times New Roman" w:cs="Times New Roman"/>
          <w:color w:val="000000"/>
          <w:sz w:val="24"/>
          <w:szCs w:val="24"/>
          <w:shd w:val="clear" w:color="auto" w:fill="FFFFFF"/>
        </w:rPr>
        <w:t>На фоне глобальных экономических изменений малый бизнес является одним из приоритетных направлений развития российской экономики. Несовершенный механизм государственной защиты и неблагоприятные факторы, формирующие деловую среду бизнеса, говорят о настоятельной необходимости поиска внутренних источников развития, эффективных методов управления. [5]</w:t>
      </w:r>
    </w:p>
    <w:p w14:paraId="5752DE31"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bCs/>
          <w:color w:val="000000"/>
          <w:sz w:val="24"/>
          <w:szCs w:val="24"/>
          <w:shd w:val="clear" w:color="auto" w:fill="FFFFFF"/>
        </w:rPr>
        <w:t>Актуальность</w:t>
      </w:r>
      <w:r w:rsidRPr="000474BB">
        <w:rPr>
          <w:rFonts w:ascii="Times New Roman" w:hAnsi="Times New Roman" w:cs="Times New Roman"/>
          <w:b/>
          <w:bCs/>
          <w:color w:val="000000"/>
          <w:sz w:val="24"/>
          <w:szCs w:val="24"/>
          <w:shd w:val="clear" w:color="auto" w:fill="FFFFFF"/>
        </w:rPr>
        <w:t xml:space="preserve"> </w:t>
      </w:r>
      <w:r w:rsidRPr="000474BB">
        <w:rPr>
          <w:rFonts w:ascii="Times New Roman" w:hAnsi="Times New Roman" w:cs="Times New Roman"/>
          <w:color w:val="000000"/>
          <w:sz w:val="24"/>
          <w:szCs w:val="24"/>
          <w:shd w:val="clear" w:color="auto" w:fill="FFFFFF"/>
        </w:rPr>
        <w:t xml:space="preserve">данной работы обусловлена тем, что в современных условиях необходимо разработать эффективную модель взаимодействия государства и малого бизнеса, создать оптимальную и эффективную систему государственных органов, осуществляющих государственное управление малым бизнесом. </w:t>
      </w:r>
    </w:p>
    <w:p w14:paraId="100E10E5" w14:textId="77777777" w:rsidR="005446FA" w:rsidRPr="000474BB" w:rsidRDefault="005446FA" w:rsidP="005446FA">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0474BB">
        <w:rPr>
          <w:rFonts w:ascii="Times New Roman" w:hAnsi="Times New Roman" w:cs="Times New Roman"/>
          <w:sz w:val="24"/>
          <w:szCs w:val="24"/>
        </w:rPr>
        <w:t>Целью данной работы является изучение инструментов финансовой поддержки малого и среднего бизнеса в России, а также рассмотрение и анализ российского и зарубежного опыта в этом вопросе.</w:t>
      </w:r>
    </w:p>
    <w:p w14:paraId="7A44549E" w14:textId="77777777" w:rsidR="005446FA" w:rsidRPr="000474BB" w:rsidRDefault="005446FA" w:rsidP="000474BB">
      <w:pPr>
        <w:spacing w:after="0" w:line="240" w:lineRule="auto"/>
        <w:ind w:firstLineChars="295" w:firstLine="708"/>
        <w:jc w:val="both"/>
        <w:rPr>
          <w:rFonts w:ascii="Times New Roman" w:hAnsi="Times New Roman" w:cs="Times New Roman"/>
          <w:color w:val="222222"/>
          <w:sz w:val="24"/>
          <w:szCs w:val="24"/>
          <w:shd w:val="clear" w:color="auto" w:fill="FFFFFF"/>
        </w:rPr>
      </w:pPr>
      <w:r w:rsidRPr="000474BB">
        <w:rPr>
          <w:rFonts w:ascii="Times New Roman" w:hAnsi="Times New Roman" w:cs="Times New Roman"/>
          <w:bCs/>
          <w:color w:val="222222"/>
          <w:sz w:val="24"/>
          <w:szCs w:val="24"/>
          <w:shd w:val="clear" w:color="auto" w:fill="FFFFFF"/>
        </w:rPr>
        <w:t>Малые и средние предприятия</w:t>
      </w:r>
      <w:r w:rsidRPr="000474BB">
        <w:rPr>
          <w:rFonts w:ascii="Times New Roman" w:hAnsi="Times New Roman" w:cs="Times New Roman"/>
          <w:color w:val="222222"/>
          <w:sz w:val="24"/>
          <w:szCs w:val="24"/>
          <w:shd w:val="clear" w:color="auto" w:fill="FFFFFF"/>
        </w:rPr>
        <w:t> - это внесенные в Единый государственный реестр</w:t>
      </w:r>
      <w:r w:rsidRPr="000474BB">
        <w:rPr>
          <w:rFonts w:ascii="Times New Roman" w:hAnsi="Times New Roman" w:cs="Times New Roman"/>
          <w:sz w:val="24"/>
          <w:szCs w:val="24"/>
        </w:rPr>
        <w:t xml:space="preserve"> юридических лиц </w:t>
      </w:r>
      <w:r w:rsidRPr="000474BB">
        <w:rPr>
          <w:rFonts w:ascii="Times New Roman" w:hAnsi="Times New Roman" w:cs="Times New Roman"/>
          <w:color w:val="222222"/>
          <w:sz w:val="24"/>
          <w:szCs w:val="24"/>
          <w:shd w:val="clear" w:color="auto" w:fill="FFFFFF"/>
        </w:rPr>
        <w:t>потребительские кооперативы и коммерческие организации, а также физические лица, являющиеся индивидуальными предпринимателями и крестьянские фермерские хозяйства, соответствующие условиям, перечисленным в Федеральном законе от 24 июля 2007 года </w:t>
      </w:r>
      <w:hyperlink r:id="rId86" w:tooltip="ФЗ № 209-ФЗ от 27.07.2007 года " w:history="1">
        <w:r w:rsidRPr="000474BB">
          <w:rPr>
            <w:rStyle w:val="a4"/>
            <w:rFonts w:ascii="Times New Roman" w:hAnsi="Times New Roman" w:cs="Times New Roman"/>
            <w:color w:val="336699"/>
            <w:sz w:val="24"/>
            <w:szCs w:val="24"/>
            <w:shd w:val="clear" w:color="auto" w:fill="FFFFFF"/>
          </w:rPr>
          <w:t>№ 209-ФЗ </w:t>
        </w:r>
      </w:hyperlink>
      <w:r w:rsidRPr="000474BB">
        <w:rPr>
          <w:rFonts w:ascii="Times New Roman" w:hAnsi="Times New Roman" w:cs="Times New Roman"/>
          <w:color w:val="222222"/>
          <w:sz w:val="24"/>
          <w:szCs w:val="24"/>
          <w:shd w:val="clear" w:color="auto" w:fill="FFFFFF"/>
        </w:rPr>
        <w:t>«О развитии малого и среднего предпринимательства в Российской Федерации».[6]</w:t>
      </w:r>
    </w:p>
    <w:p w14:paraId="33323C2B" w14:textId="77777777" w:rsidR="005446FA" w:rsidRPr="000474BB" w:rsidRDefault="005446FA" w:rsidP="000474BB">
      <w:pPr>
        <w:spacing w:after="0" w:line="240" w:lineRule="auto"/>
        <w:ind w:firstLineChars="295" w:firstLine="708"/>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Без малого и среднего предпринимательства экономика не может активно развиваться, и эти виды бизнеса, особенно малый, поддерживают в большинстве стран. Например, в США на малые фирмы приходится 54% всех занятых, 45% всех активов, 35% чистого дохода; в странах ЕС на малых предприятиях трудится свыше 70% работающего населения; в Японии на хозяйственные единицы с числом занятых до 300 человек (это 99,5% всех предприятий) приходится 78% занятых, 51,8% продаж, 56,6% условно чистой продукции в обрабатывающих отраслях промышленности. Доля малых предприятий в ВВП США составляет 52%, в странах ЕС — 67%, Японии — 55%. [2]</w:t>
      </w:r>
    </w:p>
    <w:p w14:paraId="24ABDF89" w14:textId="77777777" w:rsidR="000474BB" w:rsidRDefault="005446FA" w:rsidP="000474BB">
      <w:pPr>
        <w:spacing w:after="0" w:line="240" w:lineRule="auto"/>
        <w:ind w:firstLineChars="295" w:firstLine="708"/>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Малые предприятия в Российской Федерации создают 10-11 % ВВП, в них занято свыше 7,2 млн человек, а с учетом индивидуальных предпринимателей - более 11 млн чел., что составляет 16,9% общего количества занятых в экономике. Эти показатели ниже уровня развитых зарубежных стран в 5-6 раз, а следовательно, в Российской Федерации далеко не использован имеющийся огромный потенциал для развития малого бизнеса. Реализация этого потенциала возможна только в том случае, если в нашей стране будут созданы благоприятные условия, в том числе оказана государственная поддержка развитию малого бизнеса.[2]</w:t>
      </w:r>
    </w:p>
    <w:p w14:paraId="67ED8D26" w14:textId="77777777" w:rsidR="005446FA" w:rsidRPr="000474BB" w:rsidRDefault="005446FA" w:rsidP="000474BB">
      <w:pPr>
        <w:spacing w:after="0" w:line="240" w:lineRule="auto"/>
        <w:ind w:firstLineChars="295" w:firstLine="708"/>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Финансовая поддержка осуществляется в следующих формах:</w:t>
      </w:r>
    </w:p>
    <w:p w14:paraId="0CE4C72C" w14:textId="77777777" w:rsidR="005446FA" w:rsidRPr="000474BB" w:rsidRDefault="005446FA" w:rsidP="005446FA">
      <w:pPr>
        <w:spacing w:after="0" w:line="240" w:lineRule="auto"/>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 субвенции и субсидии</w:t>
      </w:r>
    </w:p>
    <w:p w14:paraId="65CE9F8E" w14:textId="77777777" w:rsidR="005446FA" w:rsidRPr="000474BB" w:rsidRDefault="005446FA" w:rsidP="005446FA">
      <w:pPr>
        <w:spacing w:after="0" w:line="240" w:lineRule="auto"/>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 бюджетные кредиты, займы, ссуды;</w:t>
      </w:r>
    </w:p>
    <w:p w14:paraId="7D38D66A" w14:textId="77777777" w:rsidR="000474BB" w:rsidRDefault="005446FA" w:rsidP="005446FA">
      <w:pPr>
        <w:spacing w:after="0" w:line="240" w:lineRule="auto"/>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 государственные и муниципальные гарантии.</w:t>
      </w:r>
    </w:p>
    <w:p w14:paraId="62F31ACC" w14:textId="77777777" w:rsidR="005446FA" w:rsidRPr="000474BB" w:rsidRDefault="005446FA" w:rsidP="000474BB">
      <w:pPr>
        <w:spacing w:after="0" w:line="240" w:lineRule="auto"/>
        <w:ind w:firstLine="708"/>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В рамках оказания государством финансовой поддержки следует выделить 2 типа мер:</w:t>
      </w:r>
    </w:p>
    <w:p w14:paraId="54B588CC" w14:textId="77777777" w:rsidR="005446FA" w:rsidRPr="000474BB" w:rsidRDefault="005446FA" w:rsidP="005446FA">
      <w:pPr>
        <w:spacing w:after="0" w:line="240" w:lineRule="auto"/>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 прямой поддержки (инвестиции, субсидии, кредиты);</w:t>
      </w:r>
    </w:p>
    <w:p w14:paraId="265CE125" w14:textId="77777777" w:rsidR="005446FA" w:rsidRPr="000474BB" w:rsidRDefault="005446FA" w:rsidP="005446FA">
      <w:pPr>
        <w:spacing w:after="0" w:line="240" w:lineRule="auto"/>
        <w:jc w:val="both"/>
        <w:rPr>
          <w:rFonts w:ascii="Times New Roman" w:hAnsi="Times New Roman" w:cs="Times New Roman"/>
          <w:color w:val="212121"/>
          <w:sz w:val="24"/>
          <w:szCs w:val="24"/>
          <w:shd w:val="clear" w:color="auto" w:fill="FFFFFF"/>
        </w:rPr>
      </w:pPr>
      <w:r w:rsidRPr="000474BB">
        <w:rPr>
          <w:rFonts w:ascii="Times New Roman" w:hAnsi="Times New Roman" w:cs="Times New Roman"/>
          <w:color w:val="212121"/>
          <w:sz w:val="24"/>
          <w:szCs w:val="24"/>
          <w:shd w:val="clear" w:color="auto" w:fill="FFFFFF"/>
        </w:rPr>
        <w:t>• косвенной поддержки (разделение рисков с рыночными финансовыми институтами – гарантии, частичное компенсация процентных ставок.</w:t>
      </w:r>
    </w:p>
    <w:p w14:paraId="2772E061"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sz w:val="24"/>
          <w:szCs w:val="24"/>
          <w:shd w:val="clear" w:color="auto" w:fill="FFFFFF"/>
        </w:rPr>
        <w:t xml:space="preserve">Финансовая поддержка оказывается за счет средств бюджетов разных уровней в виде субсидий, бюджетных инвестиций, государственных и муниципальных гарантий по обязательствам субъектов малого бизнеса. Задача государства состоит в том, чтобы на основе правовой и экономической базы путем использования эффективных форм </w:t>
      </w:r>
      <w:r w:rsidRPr="000474BB">
        <w:rPr>
          <w:rFonts w:ascii="Times New Roman" w:hAnsi="Times New Roman" w:cs="Times New Roman"/>
          <w:color w:val="000000"/>
          <w:sz w:val="24"/>
          <w:szCs w:val="24"/>
          <w:shd w:val="clear" w:color="auto" w:fill="FFFFFF"/>
        </w:rPr>
        <w:lastRenderedPageBreak/>
        <w:t>финансирования помочь предприятиям существовать на рынке, создавать возможности роста и саморазвития.[3]</w:t>
      </w:r>
    </w:p>
    <w:p w14:paraId="6787B3A8"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sz w:val="24"/>
          <w:szCs w:val="24"/>
          <w:shd w:val="clear" w:color="auto" w:fill="FFFFFF"/>
        </w:rPr>
        <w:t>Консалтинговыми компаниями был проведен мониторинг, вследствие чего удалось выяснить , что Россия пока не может предложить выгодные условия для ведения бизнеса.</w:t>
      </w:r>
      <w:r w:rsidRPr="000474BB">
        <w:rPr>
          <w:rFonts w:ascii="Times New Roman" w:hAnsi="Times New Roman" w:cs="Times New Roman"/>
          <w:sz w:val="24"/>
          <w:szCs w:val="24"/>
        </w:rPr>
        <w:t xml:space="preserve"> </w:t>
      </w:r>
      <w:r w:rsidRPr="000474BB">
        <w:rPr>
          <w:rFonts w:ascii="Times New Roman" w:hAnsi="Times New Roman" w:cs="Times New Roman"/>
          <w:color w:val="000000"/>
          <w:sz w:val="24"/>
          <w:szCs w:val="24"/>
          <w:shd w:val="clear" w:color="auto" w:fill="FFFFFF"/>
        </w:rPr>
        <w:t>У малого бизнеса нет возможности получения стартового капитала от инвесторов, и он вынужден находить необходимые средства самостоятельно. Формирование стартового капитала предприятий малого и среднего бизнеса является целой индустрией в странах с развитыми финансовыми системами. На данный момент Россия пока только движется в этом направлении.[5]</w:t>
      </w:r>
    </w:p>
    <w:p w14:paraId="57B468B8" w14:textId="77777777" w:rsidR="005446FA" w:rsidRPr="000474BB" w:rsidRDefault="005446FA" w:rsidP="000474BB">
      <w:pPr>
        <w:spacing w:after="0" w:line="240" w:lineRule="auto"/>
        <w:ind w:firstLineChars="295" w:firstLine="708"/>
        <w:jc w:val="both"/>
        <w:rPr>
          <w:rFonts w:ascii="Times New Roman" w:hAnsi="Times New Roman" w:cs="Times New Roman"/>
          <w:bCs/>
          <w:iCs/>
          <w:color w:val="212121"/>
          <w:sz w:val="24"/>
          <w:szCs w:val="24"/>
          <w:shd w:val="clear" w:color="auto" w:fill="FFFFFF"/>
        </w:rPr>
      </w:pPr>
      <w:r w:rsidRPr="000474BB">
        <w:rPr>
          <w:rFonts w:ascii="Times New Roman" w:hAnsi="Times New Roman" w:cs="Times New Roman"/>
          <w:bCs/>
          <w:iCs/>
          <w:color w:val="212121"/>
          <w:sz w:val="24"/>
          <w:szCs w:val="24"/>
          <w:shd w:val="clear" w:color="auto" w:fill="FFFFFF"/>
        </w:rPr>
        <w:t>Государство осуществляет мероприятия по финансовой поддержке индивидуальных предпринимателей в рамках общей поддержки малого бизнеса. Основным инструментом реализации государственной финансовой политики в этой области служат программы развития и поддержки малого предпринимательства.[4]</w:t>
      </w:r>
    </w:p>
    <w:p w14:paraId="1DDA4A72" w14:textId="77777777" w:rsidR="005446FA" w:rsidRPr="000474BB" w:rsidRDefault="005446FA" w:rsidP="000474BB">
      <w:pPr>
        <w:spacing w:after="0" w:line="240" w:lineRule="auto"/>
        <w:ind w:firstLineChars="295" w:firstLine="708"/>
        <w:jc w:val="both"/>
        <w:rPr>
          <w:rFonts w:ascii="Times New Roman" w:hAnsi="Times New Roman" w:cs="Times New Roman"/>
          <w:bCs/>
          <w:iCs/>
          <w:color w:val="212121"/>
          <w:sz w:val="24"/>
          <w:szCs w:val="24"/>
          <w:shd w:val="clear" w:color="auto" w:fill="FFFFFF"/>
        </w:rPr>
      </w:pPr>
      <w:r w:rsidRPr="000474BB">
        <w:rPr>
          <w:rFonts w:ascii="Times New Roman" w:hAnsi="Times New Roman" w:cs="Times New Roman"/>
          <w:bCs/>
          <w:iCs/>
          <w:color w:val="212121"/>
          <w:sz w:val="24"/>
          <w:szCs w:val="24"/>
          <w:shd w:val="clear" w:color="auto" w:fill="FFFFFF"/>
        </w:rPr>
        <w:t>В 2016 году регионам РФ выделены средства федерального бюджета в размере 11,1 млрд рублей на предоставление субсидий, гарантий, микрозаймов, создание и обеспечение деятельности организаций, образующих инфраструктуру поддержки малого и среднего предпринимательства (бизнес-инкубаторов, центров поддержки экспорта, центров компетенций в области инноваций и промышленного производства, объектов капитального строительства).[1]</w:t>
      </w:r>
    </w:p>
    <w:p w14:paraId="3E158A05"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sz w:val="24"/>
          <w:szCs w:val="24"/>
          <w:shd w:val="clear" w:color="auto" w:fill="FFFFFF"/>
        </w:rPr>
        <w:t>Многофункциональные центры предоставления государственных и муниципальных услуг (МФЦ), предоставляющие услуги малым и средним предприятиям, включены в перечень организаций, образующих инфраструктуру поддержки малого и среднего предпринимательства. Внедряются такие услуги, как разработка бизнес-планов, товарная и правовая экспертиза, оценка бизнеса и рисков, юридическое сопровождение, страхование имущества физических и юридических лиц, прием заявок на участие в конкурсном отборе на предоставление субсидий, на получение микрозаймов и ряд других. Также расширяется практика предоставления комплексных услуг по принципу бизнес-ситуаций. [1]</w:t>
      </w:r>
    </w:p>
    <w:p w14:paraId="7D0BCD25"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sz w:val="24"/>
          <w:szCs w:val="24"/>
          <w:shd w:val="clear" w:color="auto" w:fill="FFFFFF"/>
        </w:rPr>
        <w:t>Расширена сеть региональных организаций инфраструктуры поддержки малого и среднего предпринимательства: с учетом финансирования 2016 года создан 321 центр компетенции. Эти организации оказывают широкий спектр информационно-консультационных, социально ориентированных и финансово-кредитных услуг, услуг по поддержке экспорта и услуг для субъектов малого и среднего предпринимательства, занятых в области инноваций и промышленного производства.[1]</w:t>
      </w:r>
    </w:p>
    <w:p w14:paraId="36B4C447"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sz w:val="24"/>
          <w:szCs w:val="24"/>
          <w:shd w:val="clear" w:color="auto" w:fill="FFFFFF"/>
        </w:rPr>
        <w:t>В рамках формирования инструмента доступного финансирования для снижения процентной ставки по кредитам субъектам малого и среднего предпринимательства АО "Корпорация МСП" совместно с Минэкономразвития России и Банком России реализуется Программа стимулирования кредитования субъектов малого и среднего предпринимательства, или "Программа 6,5".[1]</w:t>
      </w:r>
    </w:p>
    <w:p w14:paraId="0F9C403D" w14:textId="77777777" w:rsidR="005446FA" w:rsidRPr="000474BB" w:rsidRDefault="005446FA" w:rsidP="000474BB">
      <w:pPr>
        <w:spacing w:after="0" w:line="240" w:lineRule="auto"/>
        <w:ind w:firstLineChars="295" w:firstLine="708"/>
        <w:jc w:val="both"/>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sz w:val="24"/>
          <w:szCs w:val="24"/>
          <w:shd w:val="clear" w:color="auto" w:fill="FFFFFF"/>
        </w:rPr>
        <w:t>В 2016 году совокупный лимит по рефинансированию кредитов малому и среднему бизнесу по льготной ставке увеличен с 75 млрд до 125 млрд рублей. Одновременно принято решение о снижении минимального размера кредита, который может быть привлечён предпринимателем -с 50 млн до 5 млн рублей, а также процентных ставок (до 10,6% годовых для малых предприятий и до 9,6% годовых для средних предприятий).[1]</w:t>
      </w:r>
    </w:p>
    <w:p w14:paraId="442989F7"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Средневзвешенные процентные ставки по выданным кредитам субъектам малого и среднего бизнеса в первом полугодии 2016 года находились на довольно высоком уровне – порядка 16%. Но уже к концу 2016 года произошло значительное снижение до 13-14% годовых. Одной из причин стало снижение Центробанком ключевой ставки до 10% в сентябре 2016 года. (график 1)[7]</w:t>
      </w:r>
    </w:p>
    <w:p w14:paraId="1AB2B8F9" w14:textId="77777777" w:rsidR="000474BB" w:rsidRDefault="000474BB" w:rsidP="00117149">
      <w:pPr>
        <w:tabs>
          <w:tab w:val="left" w:pos="2604"/>
        </w:tabs>
        <w:spacing w:after="0" w:line="240" w:lineRule="auto"/>
        <w:rPr>
          <w:rFonts w:ascii="Times New Roman" w:hAnsi="Times New Roman" w:cs="Times New Roman"/>
          <w:i/>
          <w:sz w:val="24"/>
          <w:szCs w:val="24"/>
        </w:rPr>
      </w:pPr>
    </w:p>
    <w:p w14:paraId="3FBF0C5E" w14:textId="77777777" w:rsidR="000474BB" w:rsidRDefault="000474BB" w:rsidP="000474BB">
      <w:pPr>
        <w:tabs>
          <w:tab w:val="left" w:pos="2604"/>
        </w:tabs>
        <w:spacing w:after="0" w:line="240" w:lineRule="auto"/>
        <w:ind w:firstLineChars="295" w:firstLine="708"/>
        <w:jc w:val="right"/>
        <w:rPr>
          <w:rFonts w:ascii="Times New Roman" w:hAnsi="Times New Roman" w:cs="Times New Roman"/>
          <w:i/>
          <w:sz w:val="24"/>
          <w:szCs w:val="24"/>
        </w:rPr>
      </w:pPr>
    </w:p>
    <w:p w14:paraId="7896E9D9" w14:textId="77777777" w:rsidR="000474BB" w:rsidRDefault="000474BB" w:rsidP="000474BB">
      <w:pPr>
        <w:tabs>
          <w:tab w:val="left" w:pos="2604"/>
        </w:tabs>
        <w:spacing w:after="0" w:line="240" w:lineRule="auto"/>
        <w:ind w:firstLineChars="295" w:firstLine="708"/>
        <w:jc w:val="right"/>
        <w:rPr>
          <w:rFonts w:ascii="Times New Roman" w:hAnsi="Times New Roman" w:cs="Times New Roman"/>
          <w:i/>
          <w:sz w:val="24"/>
          <w:szCs w:val="24"/>
        </w:rPr>
      </w:pPr>
    </w:p>
    <w:p w14:paraId="1B319C6E" w14:textId="77777777" w:rsidR="000474BB" w:rsidRDefault="000474BB" w:rsidP="000474BB">
      <w:pPr>
        <w:tabs>
          <w:tab w:val="left" w:pos="2604"/>
        </w:tabs>
        <w:spacing w:after="0" w:line="240" w:lineRule="auto"/>
        <w:ind w:firstLineChars="295" w:firstLine="708"/>
        <w:jc w:val="right"/>
        <w:rPr>
          <w:rFonts w:ascii="Times New Roman" w:hAnsi="Times New Roman" w:cs="Times New Roman"/>
          <w:i/>
          <w:sz w:val="24"/>
          <w:szCs w:val="24"/>
        </w:rPr>
      </w:pPr>
    </w:p>
    <w:p w14:paraId="1DCF0334" w14:textId="77777777" w:rsidR="000474BB" w:rsidRDefault="000474BB" w:rsidP="000474BB">
      <w:pPr>
        <w:tabs>
          <w:tab w:val="left" w:pos="2604"/>
        </w:tabs>
        <w:spacing w:after="0" w:line="240" w:lineRule="auto"/>
        <w:ind w:firstLineChars="295" w:firstLine="708"/>
        <w:jc w:val="right"/>
        <w:rPr>
          <w:rFonts w:ascii="Times New Roman" w:hAnsi="Times New Roman" w:cs="Times New Roman"/>
          <w:i/>
          <w:sz w:val="24"/>
          <w:szCs w:val="24"/>
        </w:rPr>
      </w:pPr>
    </w:p>
    <w:p w14:paraId="2E780729" w14:textId="77777777" w:rsidR="000474BB" w:rsidRDefault="000474BB" w:rsidP="000474BB">
      <w:pPr>
        <w:tabs>
          <w:tab w:val="left" w:pos="2604"/>
        </w:tabs>
        <w:spacing w:after="0" w:line="240" w:lineRule="auto"/>
        <w:ind w:firstLineChars="295" w:firstLine="708"/>
        <w:jc w:val="right"/>
        <w:rPr>
          <w:rFonts w:ascii="Times New Roman" w:hAnsi="Times New Roman" w:cs="Times New Roman"/>
          <w:i/>
          <w:sz w:val="24"/>
          <w:szCs w:val="24"/>
        </w:rPr>
      </w:pPr>
    </w:p>
    <w:p w14:paraId="485529B6" w14:textId="77777777" w:rsidR="005446FA" w:rsidRPr="000474BB" w:rsidRDefault="005446FA" w:rsidP="000474BB">
      <w:pPr>
        <w:tabs>
          <w:tab w:val="left" w:pos="2604"/>
        </w:tabs>
        <w:spacing w:after="0" w:line="240" w:lineRule="auto"/>
        <w:ind w:firstLineChars="295" w:firstLine="708"/>
        <w:jc w:val="right"/>
        <w:rPr>
          <w:rFonts w:ascii="Times New Roman" w:hAnsi="Times New Roman" w:cs="Times New Roman"/>
          <w:i/>
          <w:sz w:val="24"/>
          <w:szCs w:val="24"/>
        </w:rPr>
      </w:pPr>
      <w:r w:rsidRPr="000474BB">
        <w:rPr>
          <w:rFonts w:ascii="Times New Roman" w:hAnsi="Times New Roman" w:cs="Times New Roman"/>
          <w:i/>
          <w:sz w:val="24"/>
          <w:szCs w:val="24"/>
        </w:rPr>
        <w:t>График 1</w:t>
      </w:r>
    </w:p>
    <w:p w14:paraId="34675C6B" w14:textId="77777777" w:rsidR="005446FA" w:rsidRPr="000474BB" w:rsidRDefault="005446FA" w:rsidP="000474BB">
      <w:pPr>
        <w:tabs>
          <w:tab w:val="left" w:pos="2604"/>
        </w:tabs>
        <w:spacing w:after="0" w:line="240" w:lineRule="auto"/>
        <w:ind w:firstLineChars="295" w:firstLine="711"/>
        <w:jc w:val="both"/>
        <w:rPr>
          <w:rFonts w:ascii="Times New Roman" w:hAnsi="Times New Roman" w:cs="Times New Roman"/>
          <w:b/>
          <w:sz w:val="24"/>
          <w:szCs w:val="24"/>
        </w:rPr>
      </w:pPr>
      <w:r w:rsidRPr="000474BB">
        <w:rPr>
          <w:rFonts w:ascii="Times New Roman" w:hAnsi="Times New Roman" w:cs="Times New Roman"/>
          <w:b/>
          <w:sz w:val="24"/>
          <w:szCs w:val="24"/>
        </w:rPr>
        <w:t>Средневзвешенные процентные ставки по выданным кредитам субъектам малого и среднего бизнеса в 2016 году</w:t>
      </w:r>
    </w:p>
    <w:p w14:paraId="7118DC78"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noProof/>
          <w:sz w:val="24"/>
          <w:szCs w:val="24"/>
          <w:lang w:eastAsia="ru-RU"/>
        </w:rPr>
        <w:drawing>
          <wp:inline distT="0" distB="0" distL="0" distR="0" wp14:anchorId="2803EDAD" wp14:editId="07777777">
            <wp:extent cx="5497195" cy="3211195"/>
            <wp:effectExtent l="0" t="0" r="0" b="0"/>
            <wp:docPr id="1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10A10C4C"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По размеру портфеля кредитов, выданных субъектам МСБ на 2017 год, лидерами стали ПАО «Сбербанк» (961 604 млн. руб.), АО «Россельхозбанк» (505 451 млн. руб.), ПАО «ВТБ 24» (176 316 млн.руб.), ПАО «МИнБанк» (85 955 млн. руб.), ПАО «Банк Санкт-Петербург» (63 807 млн.руб.), [7]</w:t>
      </w:r>
    </w:p>
    <w:p w14:paraId="14D45EF0"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Развитие малого и среднего бизнеса в зарубежных странах идет более быстрыми темпами, чем в России, так как данному субъекту экономических отношений придается большее значение. </w:t>
      </w:r>
    </w:p>
    <w:p w14:paraId="38A22F6E"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Так, например, в США общая налоговая ставка составляет 46,7%.Льготы для малого бизнеса: за первые $50 тыс. - 15% от облагаемого дохода, за следующие $25 тыс. - 25%, а на оставшуюся сумму начисляется 34%. Существует множество программ кредитования малого бизнеса. На обеспечение кредитами выделяется более 20 млрд. долларов. 23% государственных заказов должно реализовываться малыми предприятиями. В стране существует правительственная организация, обеспечивающая малому бизнесу государственную поддержку всех видов- SBA.[8]</w:t>
      </w:r>
    </w:p>
    <w:p w14:paraId="7CF09908"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В Германии общая налоговая ставка 46,8%. Первые два года существования малое предприятие освобождается от всех выплат. Госбанк Германии KfW Mittelstandsbank предоставляет малому и среднему бизнесу кредиты на льготных условиях. Правительственным органом, поддерживающим малый бизнес в Германии является директорат малого и среднего бизнеса. В противодействие дискриминации большие заказы государства делятся на лоты меньшего размера, для того чтобы дать малым и средним предприятиям возможность их выполнить.[8]</w:t>
      </w:r>
    </w:p>
    <w:p w14:paraId="31FD0E69"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По кредитованию малого и среднего предпринимательства Россия делит своё 104 место по данному показателю с Бразилией и Италией, что является не лучшим сравнением. Италия сейчас переживает проблемы из-за большого числа непогашенных кредитов, что ставит под угрозу развитие малого бизнеса. В Бразилии же вопросом поддержки малого только недавно активно занялось государство.[8]</w:t>
      </w:r>
    </w:p>
    <w:p w14:paraId="079CB103"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Теперь рассмотрим финансирование малого и среднего предпринимательства в Приморском крае.</w:t>
      </w:r>
    </w:p>
    <w:p w14:paraId="590DC632"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lastRenderedPageBreak/>
        <w:t>В Приморье, где число людей, готовых иметь свой бизнес, выше, чем в среднем по стране, сформирован и постоянно совершенствуется комплекс мер, направленных на поддержку предпринимательства. Вклад малого и среднего бизнеса в ВРП Приморского края составляет более 40%, в то время как в среднем по России - 20%. [9]</w:t>
      </w:r>
    </w:p>
    <w:p w14:paraId="0A05F593"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В 2017 году Приморский край сохранил свои лидерские позиции среди субъектов Дальнего Востока по основным показателям развития малого бизнеса. Важную роль в этом сыграл Гарантийный фонд Приморского края. Он предоставляет поручительства и оказывает консультационную поддержку представителям малого и среднего предпринимательства.[15]</w:t>
      </w:r>
    </w:p>
    <w:p w14:paraId="5F9AC893"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Сегодня в сфере малого и среднего предпринимательства трудится более 263 тысяч жителей края, или 26,7% населения, занятого в экономике края. По итогам 2017 года число субъектов малого и среднего бизнеса Приморья увеличилось с 101 902 до 104 374 предприятий, а это примерно на 2,5%.[10]</w:t>
      </w:r>
    </w:p>
    <w:p w14:paraId="40184C8B"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Одной из причин является ощутимая поддержка государства предпринимателям в виде Гарантийного Фонда. Фонд Приморского края занял 10 место в стране по объему предоставленных поручительств. В 2017 году план работы перевыполнили на 38%, общая сумма поручительств составила свыше 1,1 миллиарда рублей.  [10]</w:t>
      </w:r>
    </w:p>
    <w:p w14:paraId="6F04A061"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Время стремительного развития в стране за последнее десятилетие показало, что основой прогресса для всех отраслей экономики является малый бизнес. Сравнивая Россию с другими странами, видны основные проблемы кредитной системы. Это слишком высокая для малого бизнеса ставка, в несколько раз больше чем в США и Германии. И это необходимость предоставлять залог, который не имеют многие начинающие предприниматели. В кредитах, где залог не требуется, ставка ещё выше. Прибыль малых предпринимателей не так велика, особенно в начале работы, так что зачастую им просто невыгодно начинать своё дело из-за слишком высокой процентной ставки.[11]</w:t>
      </w:r>
    </w:p>
    <w:p w14:paraId="55BB5E56"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Если государство будет помогать начинающим предпринимателям развивать свое дело, вставать на ноги, то будут обеспечиваться не только новые рабочие места для населения, привлекаться инвестиции на развитие перспективных проектов, а и обновляться бизнес-система в регионах в целом.[11]</w:t>
      </w:r>
    </w:p>
    <w:p w14:paraId="2F595396" w14:textId="77777777" w:rsidR="005446FA" w:rsidRPr="000474BB" w:rsidRDefault="005446FA" w:rsidP="000474BB">
      <w:pPr>
        <w:tabs>
          <w:tab w:val="left" w:pos="2604"/>
        </w:tabs>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________________________________________</w:t>
      </w:r>
    </w:p>
    <w:p w14:paraId="7876FC12" w14:textId="77777777" w:rsidR="005446FA" w:rsidRPr="000474BB" w:rsidRDefault="005446FA" w:rsidP="005446FA">
      <w:pPr>
        <w:spacing w:after="0" w:line="240" w:lineRule="auto"/>
        <w:rPr>
          <w:rFonts w:ascii="Times New Roman" w:hAnsi="Times New Roman" w:cs="Times New Roman"/>
          <w:color w:val="000000" w:themeColor="text1"/>
          <w:sz w:val="24"/>
          <w:szCs w:val="24"/>
        </w:rPr>
      </w:pPr>
    </w:p>
    <w:p w14:paraId="03CC8801"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1.  А.Л. Кевеш – Председатель редакционной коллегии И.В. Безрукавая, О.Ю. Дудорова, О.Б. Жихарева, Статистический сборник Малое и среднее предпринимательство в России. 2017: Стат.сб./ М 19 Росстат. - M., 2017 – 78 с.</w:t>
      </w:r>
    </w:p>
    <w:p w14:paraId="1534F5EA"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2. Сущность, роль и значение малого бизнеса [Электронный ресурс]. -Режим доступа</w:t>
      </w:r>
    </w:p>
    <w:p w14:paraId="086F3865"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https://psyera.ru/6579/sushchnost-rol-i-znachenie-malogo-biznesa</w:t>
      </w:r>
    </w:p>
    <w:p w14:paraId="16CAD2FB"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 xml:space="preserve">3. </w:t>
      </w:r>
      <w:r w:rsidRPr="000474BB">
        <w:rPr>
          <w:rFonts w:ascii="Times New Roman" w:hAnsi="Times New Roman" w:cs="Times New Roman"/>
          <w:sz w:val="24"/>
          <w:szCs w:val="24"/>
        </w:rPr>
        <w:t xml:space="preserve"> Балихина, Н.В. Финансы и кредит: Учебное пособие / Н.В. Балихина, М.Е. Косов. - М.: ЮНИТИ, 2015. - 303 </w:t>
      </w:r>
      <w:r w:rsidRPr="000474BB">
        <w:rPr>
          <w:rFonts w:ascii="Times New Roman" w:hAnsi="Times New Roman" w:cs="Times New Roman"/>
          <w:color w:val="000000" w:themeColor="text1"/>
          <w:sz w:val="24"/>
          <w:szCs w:val="24"/>
        </w:rPr>
        <w:t>с.</w:t>
      </w:r>
    </w:p>
    <w:p w14:paraId="79C031A9" w14:textId="77777777" w:rsidR="005446FA" w:rsidRPr="000474BB" w:rsidRDefault="005446FA" w:rsidP="000474BB">
      <w:pPr>
        <w:spacing w:after="0" w:line="240" w:lineRule="auto"/>
        <w:ind w:firstLine="709"/>
        <w:rPr>
          <w:rFonts w:ascii="Times New Roman" w:hAnsi="Times New Roman" w:cs="Times New Roman"/>
          <w:sz w:val="24"/>
          <w:szCs w:val="24"/>
        </w:rPr>
      </w:pPr>
      <w:r w:rsidRPr="000474BB">
        <w:rPr>
          <w:rFonts w:ascii="Times New Roman" w:hAnsi="Times New Roman" w:cs="Times New Roman"/>
          <w:color w:val="000000" w:themeColor="text1"/>
          <w:sz w:val="24"/>
          <w:szCs w:val="24"/>
        </w:rPr>
        <w:t xml:space="preserve">4. </w:t>
      </w:r>
      <w:r w:rsidRPr="000474BB">
        <w:rPr>
          <w:rFonts w:ascii="Times New Roman" w:hAnsi="Times New Roman" w:cs="Times New Roman"/>
          <w:sz w:val="24"/>
          <w:szCs w:val="24"/>
        </w:rPr>
        <w:t>Нешитой, А.С. Финансы, денежное обращение и кредит: Учебник для бакалавров / А.С. Нешитой. - М.: Дашков и К, 2015. - 640 c.</w:t>
      </w:r>
    </w:p>
    <w:p w14:paraId="07FE0A03"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 xml:space="preserve">5. </w:t>
      </w:r>
      <w:r w:rsidRPr="000474BB">
        <w:rPr>
          <w:rFonts w:ascii="Times New Roman" w:hAnsi="Times New Roman" w:cs="Times New Roman"/>
          <w:sz w:val="24"/>
          <w:szCs w:val="24"/>
        </w:rPr>
        <w:t xml:space="preserve">Кузнецова, Е.И. Финансы. Денежное обращение. Кредит: Учебное пособие / Е.И. Кузнецова. - М.: ЮНИТИ, 2014. - 687 </w:t>
      </w:r>
      <w:r w:rsidRPr="000474BB">
        <w:rPr>
          <w:rFonts w:ascii="Times New Roman" w:hAnsi="Times New Roman" w:cs="Times New Roman"/>
          <w:color w:val="000000" w:themeColor="text1"/>
          <w:sz w:val="24"/>
          <w:szCs w:val="24"/>
        </w:rPr>
        <w:t xml:space="preserve"> С.15.</w:t>
      </w:r>
    </w:p>
    <w:p w14:paraId="298BB3E6" w14:textId="77777777" w:rsidR="005446FA" w:rsidRPr="000474BB" w:rsidRDefault="005446FA" w:rsidP="000474BB">
      <w:pPr>
        <w:spacing w:after="0" w:line="240" w:lineRule="auto"/>
        <w:ind w:firstLine="709"/>
        <w:rPr>
          <w:rFonts w:ascii="Times New Roman" w:hAnsi="Times New Roman" w:cs="Times New Roman"/>
          <w:color w:val="000000"/>
          <w:sz w:val="24"/>
          <w:szCs w:val="24"/>
          <w:shd w:val="clear" w:color="auto" w:fill="FFFFFF"/>
        </w:rPr>
      </w:pPr>
      <w:r w:rsidRPr="000474BB">
        <w:rPr>
          <w:rFonts w:ascii="Times New Roman" w:hAnsi="Times New Roman" w:cs="Times New Roman"/>
          <w:color w:val="000000" w:themeColor="text1"/>
          <w:sz w:val="24"/>
          <w:szCs w:val="24"/>
        </w:rPr>
        <w:t xml:space="preserve">6. </w:t>
      </w:r>
      <w:r w:rsidRPr="000474BB">
        <w:rPr>
          <w:rFonts w:ascii="Times New Roman" w:hAnsi="Times New Roman" w:cs="Times New Roman"/>
          <w:color w:val="000000"/>
          <w:sz w:val="24"/>
          <w:szCs w:val="24"/>
          <w:shd w:val="clear" w:color="auto" w:fill="FFFFFF"/>
        </w:rPr>
        <w:t>Белых В.С. Правовое регулирование предпринимательской деятельности в России: Монография. М., 2015.</w:t>
      </w:r>
    </w:p>
    <w:p w14:paraId="03416E98"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 xml:space="preserve">7. </w:t>
      </w:r>
      <w:r w:rsidRPr="000474BB">
        <w:rPr>
          <w:rFonts w:ascii="Times New Roman" w:hAnsi="Times New Roman" w:cs="Times New Roman"/>
          <w:color w:val="000000"/>
          <w:sz w:val="24"/>
          <w:szCs w:val="24"/>
          <w:shd w:val="clear" w:color="auto" w:fill="FFFFFF"/>
        </w:rPr>
        <w:t>Елисеев В.С. Особенности формирования системы законодательства о государственной поддержке предпринимательства // Предпринимательское право. Приложение "Право и Бизнес". 2014. N 2. С. 15 - 18.</w:t>
      </w:r>
    </w:p>
    <w:p w14:paraId="4658774E"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 xml:space="preserve">8. </w:t>
      </w:r>
      <w:r w:rsidRPr="000474BB">
        <w:rPr>
          <w:rFonts w:ascii="Times New Roman" w:hAnsi="Times New Roman" w:cs="Times New Roman"/>
          <w:color w:val="000000"/>
          <w:sz w:val="24"/>
          <w:szCs w:val="24"/>
          <w:shd w:val="clear" w:color="auto" w:fill="FFFFFF"/>
        </w:rPr>
        <w:t>Малое и среднее предпринимательство: правовое обеспечение / Л.В. Андреева, Т.А. Андронова, Н.Г. Апресова и др.; отв. ред. И.В. Ершова. М.: Юриспруденция, 2014. 460 с.</w:t>
      </w:r>
    </w:p>
    <w:p w14:paraId="317A0A69"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9. От большого к малому - Лента новостей Владивостока</w:t>
      </w:r>
    </w:p>
    <w:p w14:paraId="725F4A1C"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[Электронный ресурс] - Режим доступа: .http://vladivostok-news.net/economy/2018/03/20/126092.html</w:t>
      </w:r>
    </w:p>
    <w:p w14:paraId="5A27C1FC"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lastRenderedPageBreak/>
        <w:t>10.  Как Гарантийный фонд помогает развиваться бизнесу Приморья. АНАЛИТИКА Режим доступа: [Электронный ресурс] http://www.primorsky.ru/news/141273/</w:t>
      </w:r>
    </w:p>
    <w:p w14:paraId="2BD2CC68" w14:textId="77777777" w:rsidR="005446FA" w:rsidRPr="000474BB" w:rsidRDefault="005446FA" w:rsidP="000474BB">
      <w:pPr>
        <w:spacing w:after="0" w:line="240" w:lineRule="auto"/>
        <w:ind w:firstLine="709"/>
        <w:rPr>
          <w:rFonts w:ascii="Times New Roman" w:hAnsi="Times New Roman" w:cs="Times New Roman"/>
          <w:color w:val="000000" w:themeColor="text1"/>
          <w:sz w:val="24"/>
          <w:szCs w:val="24"/>
        </w:rPr>
      </w:pPr>
      <w:r w:rsidRPr="000474BB">
        <w:rPr>
          <w:rFonts w:ascii="Times New Roman" w:hAnsi="Times New Roman" w:cs="Times New Roman"/>
          <w:color w:val="000000" w:themeColor="text1"/>
          <w:sz w:val="24"/>
          <w:szCs w:val="24"/>
        </w:rPr>
        <w:t>11. Госпрограммы поддержки малого бизнеса в 2017-2018 году [Электронный ресурс] // РИА Новости. - Режим доступа: https://ria.ru/society/20171117/1509003863.html</w:t>
      </w:r>
    </w:p>
    <w:p w14:paraId="35703EDE" w14:textId="77777777" w:rsidR="005446FA" w:rsidRPr="000474BB" w:rsidRDefault="005446FA" w:rsidP="006A10F6">
      <w:pPr>
        <w:jc w:val="both"/>
        <w:rPr>
          <w:rFonts w:ascii="Times New Roman" w:hAnsi="Times New Roman" w:cs="Times New Roman"/>
          <w:b/>
          <w:sz w:val="24"/>
          <w:szCs w:val="24"/>
        </w:rPr>
      </w:pPr>
    </w:p>
    <w:p w14:paraId="1DA09EBE" w14:textId="77777777" w:rsidR="006A10F6" w:rsidRPr="000474BB" w:rsidRDefault="006A10F6" w:rsidP="006A10F6">
      <w:pPr>
        <w:jc w:val="both"/>
        <w:rPr>
          <w:rFonts w:ascii="Times New Roman" w:hAnsi="Times New Roman" w:cs="Times New Roman"/>
          <w:b/>
          <w:sz w:val="24"/>
          <w:szCs w:val="24"/>
        </w:rPr>
      </w:pPr>
      <w:r w:rsidRPr="000474BB">
        <w:rPr>
          <w:rFonts w:ascii="Times New Roman" w:hAnsi="Times New Roman" w:cs="Times New Roman"/>
          <w:b/>
          <w:sz w:val="24"/>
          <w:szCs w:val="24"/>
        </w:rPr>
        <w:t>Рубрика: Проблемы динамичного развития экономики и финансов в современном мире</w:t>
      </w:r>
    </w:p>
    <w:p w14:paraId="00398C9D" w14:textId="77777777" w:rsidR="006A10F6" w:rsidRPr="000474BB" w:rsidRDefault="006A10F6" w:rsidP="006A10F6">
      <w:pPr>
        <w:jc w:val="both"/>
        <w:rPr>
          <w:rFonts w:ascii="Times New Roman" w:hAnsi="Times New Roman" w:cs="Times New Roman"/>
          <w:sz w:val="24"/>
          <w:szCs w:val="24"/>
        </w:rPr>
      </w:pPr>
      <w:r w:rsidRPr="000474BB">
        <w:rPr>
          <w:rFonts w:ascii="Times New Roman" w:hAnsi="Times New Roman" w:cs="Times New Roman"/>
          <w:sz w:val="24"/>
          <w:szCs w:val="24"/>
        </w:rPr>
        <w:t xml:space="preserve">УДК </w:t>
      </w:r>
      <w:r w:rsidRPr="000474BB">
        <w:rPr>
          <w:rFonts w:ascii="Times New Roman" w:hAnsi="Times New Roman" w:cs="Times New Roman"/>
          <w:color w:val="000000"/>
          <w:sz w:val="24"/>
          <w:szCs w:val="24"/>
        </w:rPr>
        <w:t>336.027</w:t>
      </w:r>
    </w:p>
    <w:p w14:paraId="1B134635" w14:textId="77777777" w:rsidR="006A10F6" w:rsidRPr="000474BB" w:rsidRDefault="006A10F6" w:rsidP="006A10F6">
      <w:pPr>
        <w:jc w:val="center"/>
        <w:rPr>
          <w:rFonts w:ascii="Times New Roman" w:hAnsi="Times New Roman" w:cs="Times New Roman"/>
          <w:b/>
          <w:sz w:val="24"/>
          <w:szCs w:val="24"/>
        </w:rPr>
      </w:pPr>
      <w:r w:rsidRPr="000474BB">
        <w:rPr>
          <w:rFonts w:ascii="Times New Roman" w:hAnsi="Times New Roman" w:cs="Times New Roman"/>
          <w:b/>
          <w:sz w:val="24"/>
          <w:szCs w:val="24"/>
        </w:rPr>
        <w:t>НЕДОСТАТКИ ФУНКЦИОНИРОВАНИЯ КОНТРАКТНОЙ СИСТЕМЫ В СФЕРЕ ЗАКУПОК ТОВАРОВ РАБОТ И УСЛУГ ДЛЯ ОБЕСПЕЧЕНИЯ ГОСУДАРСТВЕННЫХ И МУНИЦИПАЛЬНЫХ НУЖД В РОССИЙСКОЙ ФЕДЕРАЦИИ И ПУТИ ИХ РАЗРЕШЕНИЯ</w:t>
      </w:r>
    </w:p>
    <w:p w14:paraId="625B3080" w14:textId="77777777" w:rsidR="006A10F6" w:rsidRPr="000474BB" w:rsidRDefault="006A10F6" w:rsidP="006A10F6">
      <w:pPr>
        <w:spacing w:after="0" w:line="240" w:lineRule="auto"/>
        <w:jc w:val="center"/>
        <w:rPr>
          <w:rFonts w:ascii="Times New Roman" w:hAnsi="Times New Roman" w:cs="Times New Roman"/>
          <w:b/>
          <w:sz w:val="24"/>
          <w:szCs w:val="24"/>
        </w:rPr>
      </w:pPr>
      <w:r w:rsidRPr="000474BB">
        <w:rPr>
          <w:rFonts w:ascii="Times New Roman" w:hAnsi="Times New Roman" w:cs="Times New Roman"/>
          <w:b/>
          <w:sz w:val="24"/>
          <w:szCs w:val="24"/>
        </w:rPr>
        <w:t>Бездетная Анна Андреевна</w:t>
      </w:r>
    </w:p>
    <w:p w14:paraId="34E578CA" w14:textId="77777777" w:rsidR="006A10F6" w:rsidRPr="000474BB" w:rsidRDefault="006A10F6" w:rsidP="006A10F6">
      <w:pPr>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бакалавр</w:t>
      </w:r>
    </w:p>
    <w:p w14:paraId="5E86F948" w14:textId="77777777" w:rsidR="006A10F6" w:rsidRPr="000474BB" w:rsidRDefault="006A10F6" w:rsidP="006A10F6">
      <w:pPr>
        <w:spacing w:after="0" w:line="240" w:lineRule="auto"/>
        <w:jc w:val="center"/>
        <w:rPr>
          <w:rFonts w:ascii="Times New Roman" w:hAnsi="Times New Roman" w:cs="Times New Roman"/>
          <w:i/>
          <w:sz w:val="24"/>
          <w:szCs w:val="24"/>
        </w:rPr>
      </w:pPr>
    </w:p>
    <w:p w14:paraId="60165B5D" w14:textId="77777777" w:rsidR="006A10F6" w:rsidRPr="000474BB" w:rsidRDefault="006A10F6" w:rsidP="006A10F6">
      <w:pPr>
        <w:spacing w:after="0" w:line="240" w:lineRule="auto"/>
        <w:jc w:val="center"/>
        <w:rPr>
          <w:rFonts w:ascii="Times New Roman" w:hAnsi="Times New Roman" w:cs="Times New Roman"/>
          <w:i/>
          <w:sz w:val="24"/>
          <w:szCs w:val="24"/>
        </w:rPr>
      </w:pPr>
      <w:r w:rsidRPr="000474BB">
        <w:rPr>
          <w:rFonts w:ascii="Times New Roman" w:hAnsi="Times New Roman" w:cs="Times New Roman"/>
          <w:i/>
          <w:sz w:val="24"/>
          <w:szCs w:val="24"/>
        </w:rPr>
        <w:t>Владивостокский университет экономики и сервиса</w:t>
      </w:r>
    </w:p>
    <w:p w14:paraId="6EF92A37" w14:textId="77777777" w:rsidR="006A10F6" w:rsidRPr="000474BB" w:rsidRDefault="006A10F6" w:rsidP="006A10F6">
      <w:pPr>
        <w:spacing w:after="0" w:line="240" w:lineRule="auto"/>
        <w:jc w:val="center"/>
        <w:rPr>
          <w:rFonts w:ascii="Times New Roman" w:hAnsi="Times New Roman" w:cs="Times New Roman"/>
          <w:i/>
          <w:sz w:val="24"/>
          <w:szCs w:val="24"/>
        </w:rPr>
      </w:pPr>
      <w:r w:rsidRPr="000474BB">
        <w:rPr>
          <w:rFonts w:ascii="Times New Roman" w:hAnsi="Times New Roman" w:cs="Times New Roman"/>
          <w:i/>
          <w:sz w:val="24"/>
          <w:szCs w:val="24"/>
        </w:rPr>
        <w:t>Россия, Владивосток</w:t>
      </w:r>
    </w:p>
    <w:p w14:paraId="1946BE5E" w14:textId="77777777" w:rsidR="006A10F6" w:rsidRPr="000474BB" w:rsidRDefault="006A10F6" w:rsidP="006A10F6">
      <w:pPr>
        <w:spacing w:after="0" w:line="240" w:lineRule="auto"/>
        <w:jc w:val="center"/>
        <w:rPr>
          <w:rFonts w:ascii="Times New Roman" w:hAnsi="Times New Roman" w:cs="Times New Roman"/>
          <w:sz w:val="24"/>
          <w:szCs w:val="24"/>
        </w:rPr>
      </w:pPr>
    </w:p>
    <w:p w14:paraId="2ECC8FC8" w14:textId="77777777" w:rsidR="006A10F6" w:rsidRPr="000474BB" w:rsidRDefault="006A10F6" w:rsidP="006A10F6">
      <w:pPr>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lang w:val="en-US"/>
        </w:rPr>
        <w:t>E</w:t>
      </w:r>
      <w:r w:rsidRPr="000474BB">
        <w:rPr>
          <w:rFonts w:ascii="Times New Roman" w:hAnsi="Times New Roman" w:cs="Times New Roman"/>
          <w:sz w:val="24"/>
          <w:szCs w:val="24"/>
        </w:rPr>
        <w:t>-</w:t>
      </w:r>
      <w:r w:rsidRPr="000474BB">
        <w:rPr>
          <w:rFonts w:ascii="Times New Roman" w:hAnsi="Times New Roman" w:cs="Times New Roman"/>
          <w:sz w:val="24"/>
          <w:szCs w:val="24"/>
          <w:lang w:val="en-US"/>
        </w:rPr>
        <w:t>mail</w:t>
      </w:r>
      <w:r w:rsidRPr="000474BB">
        <w:rPr>
          <w:rFonts w:ascii="Times New Roman" w:hAnsi="Times New Roman" w:cs="Times New Roman"/>
          <w:sz w:val="24"/>
          <w:szCs w:val="24"/>
        </w:rPr>
        <w:t>:</w:t>
      </w:r>
      <w:r w:rsidRPr="000474BB">
        <w:rPr>
          <w:rFonts w:ascii="Times New Roman" w:hAnsi="Times New Roman" w:cs="Times New Roman"/>
          <w:sz w:val="24"/>
          <w:szCs w:val="24"/>
          <w:lang w:val="en-US"/>
        </w:rPr>
        <w:t>libert</w:t>
      </w:r>
      <w:r w:rsidRPr="000474BB">
        <w:rPr>
          <w:rFonts w:ascii="Times New Roman" w:hAnsi="Times New Roman" w:cs="Times New Roman"/>
          <w:sz w:val="24"/>
          <w:szCs w:val="24"/>
        </w:rPr>
        <w:t>.</w:t>
      </w:r>
      <w:r w:rsidRPr="000474BB">
        <w:rPr>
          <w:rFonts w:ascii="Times New Roman" w:hAnsi="Times New Roman" w:cs="Times New Roman"/>
          <w:sz w:val="24"/>
          <w:szCs w:val="24"/>
          <w:lang w:val="en-US"/>
        </w:rPr>
        <w:t>y</w:t>
      </w:r>
      <w:r w:rsidRPr="000474BB">
        <w:rPr>
          <w:rFonts w:ascii="Times New Roman" w:hAnsi="Times New Roman" w:cs="Times New Roman"/>
          <w:sz w:val="24"/>
          <w:szCs w:val="24"/>
        </w:rPr>
        <w:t>@</w:t>
      </w:r>
      <w:r w:rsidRPr="000474BB">
        <w:rPr>
          <w:rFonts w:ascii="Times New Roman" w:hAnsi="Times New Roman" w:cs="Times New Roman"/>
          <w:sz w:val="24"/>
          <w:szCs w:val="24"/>
          <w:lang w:val="en-US"/>
        </w:rPr>
        <w:t>mail</w:t>
      </w:r>
      <w:r w:rsidRPr="000474BB">
        <w:rPr>
          <w:rFonts w:ascii="Times New Roman" w:hAnsi="Times New Roman" w:cs="Times New Roman"/>
          <w:sz w:val="24"/>
          <w:szCs w:val="24"/>
        </w:rPr>
        <w:t>.</w:t>
      </w:r>
      <w:r w:rsidRPr="000474BB">
        <w:rPr>
          <w:rFonts w:ascii="Times New Roman" w:hAnsi="Times New Roman" w:cs="Times New Roman"/>
          <w:sz w:val="24"/>
          <w:szCs w:val="24"/>
          <w:lang w:val="en-US"/>
        </w:rPr>
        <w:t>ru</w:t>
      </w:r>
      <w:r w:rsidRPr="000474BB">
        <w:rPr>
          <w:rFonts w:ascii="Times New Roman" w:hAnsi="Times New Roman" w:cs="Times New Roman"/>
          <w:sz w:val="24"/>
          <w:szCs w:val="24"/>
        </w:rPr>
        <w:t>; тел.: +79089900099</w:t>
      </w:r>
    </w:p>
    <w:p w14:paraId="3BFB0A12" w14:textId="77777777" w:rsidR="006A10F6" w:rsidRPr="000474BB" w:rsidRDefault="006A10F6" w:rsidP="006A10F6">
      <w:pPr>
        <w:spacing w:after="0" w:line="240" w:lineRule="auto"/>
        <w:jc w:val="center"/>
        <w:rPr>
          <w:rFonts w:ascii="Times New Roman" w:hAnsi="Times New Roman" w:cs="Times New Roman"/>
          <w:sz w:val="24"/>
          <w:szCs w:val="24"/>
        </w:rPr>
      </w:pPr>
      <w:r w:rsidRPr="000474BB">
        <w:rPr>
          <w:rFonts w:ascii="Times New Roman" w:hAnsi="Times New Roman" w:cs="Times New Roman"/>
          <w:sz w:val="24"/>
          <w:szCs w:val="24"/>
        </w:rPr>
        <w:t>ул. Гоголя, 41, г. Владивосток, Приморский край, Россия, 690014</w:t>
      </w:r>
    </w:p>
    <w:p w14:paraId="51C34A15" w14:textId="77777777" w:rsidR="006A10F6" w:rsidRPr="000474BB" w:rsidRDefault="006A10F6" w:rsidP="006A10F6">
      <w:pPr>
        <w:jc w:val="center"/>
        <w:rPr>
          <w:rFonts w:ascii="Times New Roman" w:hAnsi="Times New Roman" w:cs="Times New Roman"/>
          <w:sz w:val="24"/>
          <w:szCs w:val="24"/>
        </w:rPr>
      </w:pPr>
    </w:p>
    <w:p w14:paraId="298A4D43" w14:textId="77777777" w:rsidR="000474BB" w:rsidRPr="00117149" w:rsidRDefault="006A10F6" w:rsidP="00117149">
      <w:pPr>
        <w:suppressAutoHyphens/>
        <w:spacing w:after="0" w:line="240" w:lineRule="auto"/>
        <w:ind w:firstLine="708"/>
        <w:jc w:val="both"/>
        <w:rPr>
          <w:rFonts w:ascii="Times New Roman" w:hAnsi="Times New Roman" w:cs="Times New Roman"/>
          <w:i/>
          <w:sz w:val="24"/>
          <w:szCs w:val="24"/>
        </w:rPr>
      </w:pPr>
      <w:r w:rsidRPr="000474BB">
        <w:rPr>
          <w:rFonts w:ascii="Times New Roman" w:hAnsi="Times New Roman" w:cs="Times New Roman"/>
          <w:i/>
          <w:sz w:val="24"/>
          <w:szCs w:val="24"/>
        </w:rPr>
        <w:t>Контрактная система в сфере закупок ТРУ для обеспечения государственных и муниципальных нужд – основной фактор устойчивого развития экономики Российской Федерации, в связи с тем, что публичные закупки являются основной частью расходов государства. Однако в настоящее время контрактная система не доработана и требует некоторых модификаций, в данной статье была предпринята попытка описания предложений, которые поспособствовали бы в более эффективной реал</w:t>
      </w:r>
      <w:r w:rsidR="00117149">
        <w:rPr>
          <w:rFonts w:ascii="Times New Roman" w:hAnsi="Times New Roman" w:cs="Times New Roman"/>
          <w:i/>
          <w:sz w:val="24"/>
          <w:szCs w:val="24"/>
        </w:rPr>
        <w:t>изации закупочной деятельности.</w:t>
      </w:r>
    </w:p>
    <w:p w14:paraId="4E3937B4" w14:textId="77777777" w:rsidR="006A10F6" w:rsidRDefault="006A10F6" w:rsidP="00117149">
      <w:pPr>
        <w:suppressAutoHyphens/>
        <w:spacing w:after="0" w:line="240" w:lineRule="auto"/>
        <w:ind w:firstLine="709"/>
        <w:jc w:val="both"/>
        <w:rPr>
          <w:rFonts w:ascii="Times New Roman" w:hAnsi="Times New Roman" w:cs="Times New Roman"/>
          <w:i/>
          <w:sz w:val="24"/>
          <w:szCs w:val="24"/>
        </w:rPr>
      </w:pPr>
      <w:r w:rsidRPr="000474BB">
        <w:rPr>
          <w:rFonts w:ascii="Times New Roman" w:hAnsi="Times New Roman" w:cs="Times New Roman"/>
          <w:b/>
          <w:i/>
          <w:sz w:val="24"/>
          <w:szCs w:val="24"/>
        </w:rPr>
        <w:t>Ключевые слова и словосочетания:</w:t>
      </w:r>
      <w:r w:rsidRPr="000474BB">
        <w:rPr>
          <w:rFonts w:ascii="Times New Roman" w:hAnsi="Times New Roman" w:cs="Times New Roman"/>
          <w:i/>
          <w:sz w:val="24"/>
          <w:szCs w:val="24"/>
        </w:rPr>
        <w:t xml:space="preserve"> федеральная контрактная система, государственные и муниципальные зак</w:t>
      </w:r>
      <w:r w:rsidR="00117149">
        <w:rPr>
          <w:rFonts w:ascii="Times New Roman" w:hAnsi="Times New Roman" w:cs="Times New Roman"/>
          <w:i/>
          <w:sz w:val="24"/>
          <w:szCs w:val="24"/>
        </w:rPr>
        <w:t>упки, модернизация.</w:t>
      </w:r>
    </w:p>
    <w:p w14:paraId="7E051CA8" w14:textId="77777777" w:rsidR="00117149" w:rsidRPr="00117149" w:rsidRDefault="00117149" w:rsidP="00117149">
      <w:pPr>
        <w:suppressAutoHyphens/>
        <w:spacing w:after="0" w:line="240" w:lineRule="auto"/>
        <w:ind w:firstLine="709"/>
        <w:jc w:val="both"/>
        <w:rPr>
          <w:rFonts w:ascii="Times New Roman" w:hAnsi="Times New Roman" w:cs="Times New Roman"/>
          <w:i/>
          <w:sz w:val="24"/>
          <w:szCs w:val="24"/>
        </w:rPr>
      </w:pPr>
    </w:p>
    <w:p w14:paraId="5FAFEC09" w14:textId="77777777" w:rsidR="000474BB" w:rsidRPr="000B1300" w:rsidRDefault="006A10F6" w:rsidP="630840AF">
      <w:pPr>
        <w:pStyle w:val="HTML"/>
        <w:shd w:val="clear" w:color="auto" w:fill="FFFFFF" w:themeFill="background1"/>
        <w:ind w:firstLine="709"/>
        <w:jc w:val="both"/>
        <w:rPr>
          <w:rFonts w:ascii="Times New Roman" w:hAnsi="Times New Roman" w:cs="Times New Roman"/>
          <w:i/>
          <w:iCs/>
          <w:color w:val="000000" w:themeColor="text1"/>
          <w:sz w:val="24"/>
          <w:szCs w:val="24"/>
          <w:lang w:val="en-US"/>
        </w:rPr>
      </w:pPr>
      <w:r w:rsidRPr="630840AF">
        <w:rPr>
          <w:rFonts w:ascii="Times New Roman" w:hAnsi="Times New Roman" w:cs="Times New Roman"/>
          <w:i/>
          <w:iCs/>
          <w:color w:val="000000" w:themeColor="text1"/>
          <w:sz w:val="24"/>
          <w:szCs w:val="24"/>
          <w:shd w:val="clear" w:color="auto" w:fill="FFFFFF"/>
          <w:lang w:val="en-US"/>
        </w:rPr>
        <w:t xml:space="preserve">Government procurement is the main factor of stable </w:t>
      </w:r>
      <w:r w:rsidRPr="630840AF">
        <w:rPr>
          <w:rFonts w:ascii="Times New Roman" w:hAnsi="Times New Roman" w:cs="Times New Roman"/>
          <w:i/>
          <w:iCs/>
          <w:color w:val="000000" w:themeColor="text1"/>
          <w:sz w:val="24"/>
          <w:szCs w:val="24"/>
          <w:lang w:val="en-US"/>
        </w:rPr>
        <w:t>economic development Russian Federation because government</w:t>
      </w:r>
      <w:r w:rsidRPr="630840AF">
        <w:rPr>
          <w:rFonts w:ascii="Times New Roman" w:hAnsi="Times New Roman" w:cs="Times New Roman"/>
          <w:i/>
          <w:iCs/>
          <w:color w:val="000000" w:themeColor="text1"/>
          <w:sz w:val="24"/>
          <w:szCs w:val="24"/>
          <w:shd w:val="clear" w:color="auto" w:fill="FFFFFF"/>
          <w:lang w:val="en-US"/>
        </w:rPr>
        <w:t xml:space="preserve"> procurement is bulk of expenses. But now government procurement isn’t modified and this system should be improved. </w:t>
      </w:r>
      <w:r w:rsidRPr="630840AF">
        <w:rPr>
          <w:rFonts w:ascii="Times New Roman" w:hAnsi="Times New Roman" w:cs="Times New Roman"/>
          <w:i/>
          <w:iCs/>
          <w:color w:val="000000" w:themeColor="text1"/>
          <w:sz w:val="24"/>
          <w:szCs w:val="24"/>
          <w:lang w:val="en-US"/>
        </w:rPr>
        <w:t>In this article, an attempt was made to describe proposals that would contribute to more effective implementa</w:t>
      </w:r>
      <w:r w:rsidR="00117149" w:rsidRPr="630840AF">
        <w:rPr>
          <w:rFonts w:ascii="Times New Roman" w:hAnsi="Times New Roman" w:cs="Times New Roman"/>
          <w:i/>
          <w:iCs/>
          <w:color w:val="000000" w:themeColor="text1"/>
          <w:sz w:val="24"/>
          <w:szCs w:val="24"/>
          <w:lang w:val="en-US"/>
        </w:rPr>
        <w:t>tion of procurement activities.</w:t>
      </w:r>
    </w:p>
    <w:p w14:paraId="40257BDE" w14:textId="77777777" w:rsidR="006A10F6" w:rsidRPr="000474BB" w:rsidRDefault="000474BB" w:rsidP="630840AF">
      <w:pPr>
        <w:pStyle w:val="HTML"/>
        <w:shd w:val="clear" w:color="auto" w:fill="FFFFFF" w:themeFill="background1"/>
        <w:rPr>
          <w:rFonts w:ascii="Times New Roman" w:hAnsi="Times New Roman" w:cs="Times New Roman"/>
          <w:i/>
          <w:iCs/>
          <w:color w:val="000000" w:themeColor="text1"/>
          <w:sz w:val="24"/>
          <w:szCs w:val="24"/>
          <w:lang w:val="en-US"/>
        </w:rPr>
      </w:pPr>
      <w:r w:rsidRPr="000B1300">
        <w:rPr>
          <w:rFonts w:ascii="Times New Roman" w:hAnsi="Times New Roman" w:cs="Times New Roman"/>
          <w:i/>
          <w:color w:val="000000" w:themeColor="text1"/>
          <w:sz w:val="24"/>
          <w:szCs w:val="24"/>
          <w:lang w:val="en-US"/>
        </w:rPr>
        <w:tab/>
      </w:r>
      <w:r w:rsidR="006A10F6" w:rsidRPr="630840AF">
        <w:rPr>
          <w:rFonts w:ascii="Times New Roman" w:hAnsi="Times New Roman" w:cs="Times New Roman"/>
          <w:b/>
          <w:bCs/>
          <w:i/>
          <w:iCs/>
          <w:color w:val="000000" w:themeColor="text1"/>
          <w:sz w:val="24"/>
          <w:szCs w:val="24"/>
          <w:lang w:val="en-US"/>
        </w:rPr>
        <w:t xml:space="preserve">Keywords: </w:t>
      </w:r>
      <w:r w:rsidR="006A10F6" w:rsidRPr="630840AF">
        <w:rPr>
          <w:rFonts w:ascii="Times New Roman" w:hAnsi="Times New Roman" w:cs="Times New Roman"/>
          <w:i/>
          <w:iCs/>
          <w:color w:val="000000" w:themeColor="text1"/>
          <w:sz w:val="24"/>
          <w:szCs w:val="24"/>
          <w:shd w:val="clear" w:color="auto" w:fill="FFFFFF"/>
          <w:lang w:val="en-US"/>
        </w:rPr>
        <w:t xml:space="preserve">government procurement, </w:t>
      </w:r>
      <w:r w:rsidR="006A10F6" w:rsidRPr="630840AF">
        <w:rPr>
          <w:rFonts w:ascii="Times New Roman" w:hAnsi="Times New Roman" w:cs="Times New Roman"/>
          <w:i/>
          <w:iCs/>
          <w:color w:val="000000" w:themeColor="text1"/>
          <w:sz w:val="24"/>
          <w:szCs w:val="24"/>
          <w:lang w:val="en-US"/>
        </w:rPr>
        <w:t xml:space="preserve">contract system, </w:t>
      </w:r>
      <w:r w:rsidR="006A10F6" w:rsidRPr="630840AF">
        <w:rPr>
          <w:rFonts w:ascii="Times New Roman" w:hAnsi="Times New Roman" w:cs="Times New Roman"/>
          <w:i/>
          <w:iCs/>
          <w:color w:val="000000" w:themeColor="text1"/>
          <w:sz w:val="24"/>
          <w:szCs w:val="24"/>
          <w:shd w:val="clear" w:color="auto" w:fill="FFFFFF"/>
          <w:lang w:val="en-US"/>
        </w:rPr>
        <w:t>modernization</w:t>
      </w:r>
    </w:p>
    <w:p w14:paraId="126953D2" w14:textId="77777777" w:rsidR="006A10F6" w:rsidRPr="000474BB" w:rsidRDefault="006A10F6" w:rsidP="006A10F6">
      <w:pPr>
        <w:spacing w:after="0" w:line="240" w:lineRule="auto"/>
        <w:ind w:firstLine="709"/>
        <w:jc w:val="both"/>
        <w:rPr>
          <w:rFonts w:ascii="Times New Roman" w:hAnsi="Times New Roman" w:cs="Times New Roman"/>
          <w:sz w:val="24"/>
          <w:szCs w:val="24"/>
          <w:lang w:val="en-US"/>
        </w:rPr>
      </w:pPr>
    </w:p>
    <w:p w14:paraId="5BD9BCD6"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xml:space="preserve">В современных реалиях основными целями экономики любой страны становятся получение наибольшей эффективности и результативности от проводимой политики в рамках той или иной отрасли. В рамках этого Президентом Российской Федерации подписан Федеральный закон от 5 апреля 2013 года № 44-ФЗ «О контрактной системе в сфере закупок товаров, работ, услуг для обеспечения государственных и муниципальных нужд», главной целью которого – это повышение качества проведения закупок, снижение уровня коррупционности, а также прозрачности всего жизненного цикла закупок: </w:t>
      </w:r>
    </w:p>
    <w:p w14:paraId="0E071306"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планирование закупок товаров, работ и услуг;</w:t>
      </w:r>
    </w:p>
    <w:p w14:paraId="1E33AA97"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определение поставщиков;</w:t>
      </w:r>
    </w:p>
    <w:p w14:paraId="07FD42A1"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заключение контракта;</w:t>
      </w:r>
    </w:p>
    <w:p w14:paraId="7409FFFE"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особенности исполнения контрактов;</w:t>
      </w:r>
    </w:p>
    <w:p w14:paraId="6488689E"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lastRenderedPageBreak/>
        <w:t>- аудит и мониторинг закупок товаров, работ и услуг;</w:t>
      </w:r>
    </w:p>
    <w:p w14:paraId="23206CD1"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контроль в сфере закупок.[1]</w:t>
      </w:r>
    </w:p>
    <w:p w14:paraId="7D6F4533" w14:textId="77777777" w:rsidR="006A10F6" w:rsidRPr="000474BB" w:rsidRDefault="006A10F6" w:rsidP="000474BB">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 xml:space="preserve">В целях обеспечения открытости и прозрачности контрактной системы в сфере закупок товаров, работ и  услуг для обеспечения государственных и муниципальных нужд создана единая информационная система, которая представляет собой совокупность информации (планы закупок, планы-графики, реестры контрактов, реестры жалоб, плановых и внеплановых проверок и т.п.) и содержащейся в базах данных информационных технологиях и технических средств, которые обеспечивают формирование, обработку, хранение информации, и ее предоставление для любого желающего пользователя Интернет.[2] </w:t>
      </w:r>
    </w:p>
    <w:p w14:paraId="122F0360" w14:textId="77777777" w:rsidR="006A10F6" w:rsidRPr="000474BB" w:rsidRDefault="006A10F6" w:rsidP="000474BB">
      <w:pPr>
        <w:pStyle w:val="af9"/>
        <w:spacing w:line="240" w:lineRule="auto"/>
        <w:ind w:firstLine="709"/>
        <w:rPr>
          <w:sz w:val="24"/>
          <w:szCs w:val="24"/>
        </w:rPr>
      </w:pPr>
      <w:r w:rsidRPr="000474BB">
        <w:rPr>
          <w:sz w:val="24"/>
          <w:szCs w:val="24"/>
        </w:rPr>
        <w:t xml:space="preserve">Однако, несмотря на совершенствование контрактной системы, остаются нюансы, которые отрицательно влияют на ее эффективность. </w:t>
      </w:r>
    </w:p>
    <w:p w14:paraId="460A68DA" w14:textId="77777777" w:rsidR="006A10F6" w:rsidRPr="000474BB" w:rsidRDefault="006A10F6" w:rsidP="000474BB">
      <w:pPr>
        <w:pStyle w:val="af9"/>
        <w:spacing w:line="240" w:lineRule="auto"/>
        <w:ind w:firstLine="709"/>
        <w:rPr>
          <w:sz w:val="24"/>
          <w:szCs w:val="24"/>
        </w:rPr>
      </w:pPr>
      <w:r w:rsidRPr="000474BB">
        <w:rPr>
          <w:sz w:val="24"/>
          <w:szCs w:val="24"/>
        </w:rPr>
        <w:t>Рассматривая систему планирования сферы закупок в первую очередь как отрицательный фактор можно выделить отсутствие конкретного порядка определения объемных и качественных показателей государственных и муниципальных нужд. Также, существует нерешенность вопросов применения планов закупок при принятии закона об однолетнем бюджете. Следует обратить внимание на установление заказчиком начальной (максимальной) цены контракта. В соответствии со ст.22 федерального закона № 44-ФЗ цена контракта определяется посредством применения одного или нескольких следующих методов:</w:t>
      </w:r>
    </w:p>
    <w:p w14:paraId="36692FF4" w14:textId="77777777" w:rsidR="006A10F6" w:rsidRPr="000474BB" w:rsidRDefault="006A10F6" w:rsidP="000474BB">
      <w:pPr>
        <w:pStyle w:val="af9"/>
        <w:spacing w:line="240" w:lineRule="auto"/>
        <w:ind w:firstLine="709"/>
        <w:rPr>
          <w:sz w:val="24"/>
          <w:szCs w:val="24"/>
        </w:rPr>
      </w:pPr>
      <w:r w:rsidRPr="000474BB">
        <w:rPr>
          <w:sz w:val="24"/>
          <w:szCs w:val="24"/>
        </w:rPr>
        <w:t>- метод сопоставимых рыночных цен (анализ рынка);</w:t>
      </w:r>
    </w:p>
    <w:p w14:paraId="185B958A" w14:textId="77777777" w:rsidR="006A10F6" w:rsidRPr="000474BB" w:rsidRDefault="006A10F6" w:rsidP="000474BB">
      <w:pPr>
        <w:pStyle w:val="af9"/>
        <w:spacing w:line="240" w:lineRule="auto"/>
        <w:ind w:firstLine="709"/>
        <w:rPr>
          <w:sz w:val="24"/>
          <w:szCs w:val="24"/>
        </w:rPr>
      </w:pPr>
      <w:r w:rsidRPr="000474BB">
        <w:rPr>
          <w:sz w:val="24"/>
          <w:szCs w:val="24"/>
        </w:rPr>
        <w:t>- нормативный метод;</w:t>
      </w:r>
    </w:p>
    <w:p w14:paraId="296A2F7D" w14:textId="77777777" w:rsidR="006A10F6" w:rsidRPr="000474BB" w:rsidRDefault="006A10F6" w:rsidP="000474BB">
      <w:pPr>
        <w:pStyle w:val="af9"/>
        <w:spacing w:line="240" w:lineRule="auto"/>
        <w:ind w:firstLine="709"/>
        <w:rPr>
          <w:sz w:val="24"/>
          <w:szCs w:val="24"/>
        </w:rPr>
      </w:pPr>
      <w:r w:rsidRPr="000474BB">
        <w:rPr>
          <w:sz w:val="24"/>
          <w:szCs w:val="24"/>
        </w:rPr>
        <w:t>- тарифный метод;</w:t>
      </w:r>
    </w:p>
    <w:p w14:paraId="06015236" w14:textId="77777777" w:rsidR="006A10F6" w:rsidRPr="000474BB" w:rsidRDefault="006A10F6" w:rsidP="000474BB">
      <w:pPr>
        <w:pStyle w:val="af9"/>
        <w:spacing w:line="240" w:lineRule="auto"/>
        <w:ind w:firstLine="709"/>
        <w:rPr>
          <w:sz w:val="24"/>
          <w:szCs w:val="24"/>
        </w:rPr>
      </w:pPr>
      <w:r w:rsidRPr="000474BB">
        <w:rPr>
          <w:sz w:val="24"/>
          <w:szCs w:val="24"/>
        </w:rPr>
        <w:t>- проектно – сметный метод;</w:t>
      </w:r>
    </w:p>
    <w:p w14:paraId="647CC46C" w14:textId="77777777" w:rsidR="006A10F6" w:rsidRPr="000474BB" w:rsidRDefault="006A10F6" w:rsidP="000474BB">
      <w:pPr>
        <w:pStyle w:val="af9"/>
        <w:spacing w:line="240" w:lineRule="auto"/>
        <w:ind w:firstLine="709"/>
        <w:rPr>
          <w:sz w:val="24"/>
          <w:szCs w:val="24"/>
        </w:rPr>
      </w:pPr>
      <w:r w:rsidRPr="000474BB">
        <w:rPr>
          <w:sz w:val="24"/>
          <w:szCs w:val="24"/>
        </w:rPr>
        <w:t>- затратный метод. [1]</w:t>
      </w:r>
    </w:p>
    <w:p w14:paraId="3341476D" w14:textId="77777777" w:rsidR="006A10F6" w:rsidRPr="000474BB" w:rsidRDefault="006A10F6" w:rsidP="000474BB">
      <w:pPr>
        <w:pStyle w:val="af9"/>
        <w:spacing w:line="240" w:lineRule="auto"/>
        <w:ind w:firstLine="709"/>
        <w:rPr>
          <w:sz w:val="24"/>
          <w:szCs w:val="24"/>
        </w:rPr>
      </w:pPr>
      <w:r w:rsidRPr="000474BB">
        <w:rPr>
          <w:sz w:val="24"/>
          <w:szCs w:val="24"/>
        </w:rPr>
        <w:t>Однако большинство поставщиков за начальную (максимальную) цену контракта принимают выделенные бюджетом средства. Так, несмотря на уже утвержденные планы закупок и планы-графики в процессе года происходят изменения и корректировки, средства сэкономленные на одной закупке перекидываются на другую или вовсе утверждается какая-либо дополнительная закупка вследствие чего происходит так что в начале года средства экономятся а под конец  в срочном порядке идут в расход, что можно проследить в представленных отчетах ЕИС. В период с января по октябрь 2017 года среднее количество лотов составляет не более пятнадцати тысяч, с ноября их количество увеличивается почти на десять тысяч, аналогичная динамика прослеживается в количественной оценке цен лотов, с января по октябрь в среднем начальная цена составляет пятьдесят тысяч миллионов рублей, в ноябре же происходит резкий скачек до ста пятидесяти тысяч рублей.[3] Фактическое двойное обоснование начальной (максимальной) цены не позволяет эффективно расходовать средства.</w:t>
      </w:r>
      <w:r w:rsidRPr="000474BB">
        <w:rPr>
          <w:color w:val="548DD4" w:themeColor="text2" w:themeTint="99"/>
          <w:sz w:val="24"/>
          <w:szCs w:val="24"/>
        </w:rPr>
        <w:t xml:space="preserve"> </w:t>
      </w:r>
    </w:p>
    <w:p w14:paraId="3657852E" w14:textId="77777777" w:rsidR="006A10F6" w:rsidRPr="000474BB" w:rsidRDefault="006A10F6" w:rsidP="000474BB">
      <w:pPr>
        <w:pStyle w:val="af9"/>
        <w:spacing w:line="240" w:lineRule="auto"/>
        <w:ind w:firstLine="709"/>
        <w:rPr>
          <w:sz w:val="24"/>
          <w:szCs w:val="24"/>
        </w:rPr>
      </w:pPr>
      <w:r w:rsidRPr="000474BB">
        <w:rPr>
          <w:sz w:val="24"/>
          <w:szCs w:val="24"/>
        </w:rPr>
        <w:t>Также непонятна ситуация связанная с теми средствами которые остались от разницы между начальной (максимальной) цены контракта и фактически заключенной, отсутствует четкая регламентация того, что нужно с ними делать, куда направлять и как использовать. Вместе с тем разница цифр в совокупном объеме существенная, что можно увидеть в отчетах ЕИС за 2017 год, общая сумма средств по размещенным извещениям и общая фактическая сумма по контрактам, разница составляет около 10%.</w:t>
      </w:r>
    </w:p>
    <w:p w14:paraId="7CF97FCF" w14:textId="77777777" w:rsidR="006A10F6" w:rsidRPr="000474BB" w:rsidRDefault="006A10F6" w:rsidP="000474BB">
      <w:pPr>
        <w:pStyle w:val="af9"/>
        <w:spacing w:line="240" w:lineRule="auto"/>
        <w:ind w:firstLine="709"/>
        <w:rPr>
          <w:sz w:val="24"/>
          <w:szCs w:val="24"/>
        </w:rPr>
      </w:pPr>
      <w:r w:rsidRPr="000474BB">
        <w:rPr>
          <w:sz w:val="24"/>
          <w:szCs w:val="24"/>
        </w:rPr>
        <w:t xml:space="preserve">Следует заметить, что отсутствует четкое соотношение технических регламентов, а порой они даже противоречат друг другу, что создает сложность в описании закупок. Например, в одном письме министерства указано, что для осуществления закупки необходима лицензия, в другом же нет такого утверждения, что ставит в замешательство заказчика при формировании закупочной документации и далее в выборе поставщика. </w:t>
      </w:r>
    </w:p>
    <w:p w14:paraId="499BF3BA" w14:textId="77777777" w:rsidR="006A10F6" w:rsidRPr="000474BB" w:rsidRDefault="006A10F6" w:rsidP="000474BB">
      <w:pPr>
        <w:pStyle w:val="af9"/>
        <w:spacing w:line="240" w:lineRule="auto"/>
        <w:ind w:firstLine="709"/>
        <w:rPr>
          <w:sz w:val="24"/>
          <w:szCs w:val="24"/>
        </w:rPr>
      </w:pPr>
      <w:r w:rsidRPr="000474BB">
        <w:rPr>
          <w:sz w:val="24"/>
          <w:szCs w:val="24"/>
        </w:rPr>
        <w:t xml:space="preserve">Можно выделить еще несколько недостатков функционирования  контрактной системы в сфере закупок товаров, работ и услуг для обеспечения государственных и муниципальных нужд. Во многом победа конкурсной заявки определяется субъективным </w:t>
      </w:r>
      <w:r w:rsidRPr="000474BB">
        <w:rPr>
          <w:sz w:val="24"/>
          <w:szCs w:val="24"/>
        </w:rPr>
        <w:lastRenderedPageBreak/>
        <w:t>взглядом членов комиссии. Субъективизм проявляется и в рамках проведения контрольных мероприятий со стороны надзорных органов, несмотря на то, что существуют административные регламенты по осуществлению их непосредственной деятельности, упор в них в большей степени был сделан на регламентацию сроков, в процессе деятельности остаются ряд вопросов спорного характера, вследствие чего, решение опирается на более удобную судебную практику.</w:t>
      </w:r>
    </w:p>
    <w:p w14:paraId="0DA37968" w14:textId="77777777" w:rsidR="006A10F6" w:rsidRPr="000474BB" w:rsidRDefault="006A10F6" w:rsidP="000474BB">
      <w:pPr>
        <w:pStyle w:val="af9"/>
        <w:spacing w:line="240" w:lineRule="auto"/>
        <w:ind w:firstLine="709"/>
        <w:rPr>
          <w:sz w:val="24"/>
          <w:szCs w:val="24"/>
        </w:rPr>
      </w:pPr>
      <w:r w:rsidRPr="000474BB">
        <w:rPr>
          <w:sz w:val="24"/>
          <w:szCs w:val="24"/>
        </w:rPr>
        <w:t>На основе выделенных недостатков контрактной системы в сфере закупок товаров, работ и услуг для обеспечения государственных и муниципальных нужд, по каждому из которых можно сделать ряд новшеств, что может привести к общему повышению эффективности.</w:t>
      </w:r>
    </w:p>
    <w:p w14:paraId="7A160979" w14:textId="77777777" w:rsidR="006A10F6" w:rsidRPr="000474BB" w:rsidRDefault="006A10F6" w:rsidP="000474BB">
      <w:pPr>
        <w:pStyle w:val="af9"/>
        <w:spacing w:line="240" w:lineRule="auto"/>
        <w:ind w:firstLine="709"/>
        <w:rPr>
          <w:sz w:val="24"/>
          <w:szCs w:val="24"/>
        </w:rPr>
      </w:pPr>
      <w:r w:rsidRPr="000474BB">
        <w:rPr>
          <w:sz w:val="24"/>
          <w:szCs w:val="24"/>
        </w:rPr>
        <w:t>Для определения объемных и качественных показателей государственных и муниципальных нужд необходимо, чтобы планирование осуществлялось снизу вверх. Контрактные управляющие в начале каждого планового периода должны консультироваться с лицами ответственными за определение потребностей и логистики, т.е. с теми, кто определяет тип, качество, количество и требования по необходимым поставкам. Это позволит получить обратную связь между отдельной закупкой и отражением ее в общем программировании расходов. Необходимым элементом контрактной системы должны стать маркетинговые исследования в отношении всех закупок товаров, работ и услуг и учет контрактных результатов, что позволит сформировать систему по обеспечению органов власти востребованными товарами, повысить общую эффективность расходования бюджетных средств, а также снизить риск невыполнения поставщика своих обязательств. Данный подход позволит разрешить вопрос о начальной (максимальной) цене контракта, так как разница плана и фактического использования станет минимальной.</w:t>
      </w:r>
    </w:p>
    <w:p w14:paraId="67FE0F60" w14:textId="77777777" w:rsidR="006A10F6" w:rsidRPr="000474BB" w:rsidRDefault="006A10F6" w:rsidP="000474BB">
      <w:pPr>
        <w:pStyle w:val="af9"/>
        <w:spacing w:line="240" w:lineRule="auto"/>
        <w:ind w:firstLine="709"/>
        <w:rPr>
          <w:sz w:val="24"/>
          <w:szCs w:val="24"/>
        </w:rPr>
      </w:pPr>
      <w:r w:rsidRPr="000474BB">
        <w:rPr>
          <w:sz w:val="24"/>
          <w:szCs w:val="24"/>
        </w:rPr>
        <w:t>Необходимо уточнение в законе о контрактной системе вопросов связанных со спорными технологическими регламентами в закупочной документации. Анализ жалоб в контролирующий орган по данному вопросу и анализ судебной практики могут способствовать выявлению этих пробелов.  Так, закон о закупках должен быть тесно связан с иными нормами и содержащими их актами, которые должны четко регламентировать правила по отдельным специальным вопросам. Контрактный управляющий в свою очередь должен обеспечивать многоаспектное соответствие закупочной документации с другими нормативными актами, делая на них ссылки.</w:t>
      </w:r>
    </w:p>
    <w:p w14:paraId="204DC04B" w14:textId="77777777" w:rsidR="006A10F6" w:rsidRPr="000474BB" w:rsidRDefault="006A10F6" w:rsidP="000474BB">
      <w:pPr>
        <w:pStyle w:val="af9"/>
        <w:pBdr>
          <w:bottom w:val="single" w:sz="12" w:space="1" w:color="auto"/>
        </w:pBdr>
        <w:spacing w:line="240" w:lineRule="auto"/>
        <w:ind w:firstLine="709"/>
        <w:rPr>
          <w:sz w:val="24"/>
          <w:szCs w:val="24"/>
        </w:rPr>
      </w:pPr>
      <w:r w:rsidRPr="000474BB">
        <w:rPr>
          <w:sz w:val="24"/>
          <w:szCs w:val="24"/>
        </w:rPr>
        <w:t>Таким образом, можно заключить, что, прежде всего, контрактная система в сфере закупок товаров, работ и услуг должна выстраиваться снизу вверх, что позволит выстроить систему взаимосвязи между общими расходами, т.е. бюджетом и отдельной закупкой. Подобная взаимосвязь должна быть выстроена и между федеральным законом о закупках и иными нормативно-правовыми актами уточняющими правильность определения технологических регламентов. Переход от существующей системы «сверху вниз» весьма сложен, но необходим, для более эффективной работы контрактной системы в сфере закупок товаров, работ и услуг для обеспечения государственных и муниципальных нужд в Российской Федерации.</w:t>
      </w:r>
    </w:p>
    <w:p w14:paraId="0999D8B4" w14:textId="77777777" w:rsidR="006A10F6" w:rsidRPr="000474BB" w:rsidRDefault="006A10F6" w:rsidP="000474BB">
      <w:pPr>
        <w:pStyle w:val="af9"/>
        <w:pBdr>
          <w:bottom w:val="single" w:sz="12" w:space="1" w:color="auto"/>
        </w:pBdr>
        <w:spacing w:line="240" w:lineRule="auto"/>
        <w:ind w:firstLine="709"/>
        <w:rPr>
          <w:sz w:val="24"/>
          <w:szCs w:val="24"/>
        </w:rPr>
      </w:pPr>
      <w:r w:rsidRPr="000474BB">
        <w:rPr>
          <w:sz w:val="24"/>
          <w:szCs w:val="24"/>
        </w:rPr>
        <w:t>Качественное планирование в системе государственных и муниципальных заказов позволит выстроить усовершенствованную систему по обеспечению действительно востребованными товарами и услугами, при наименьших затратах со стороны государства, что в свою очередь предполагает более жесткий контроль бюджетных средств.</w:t>
      </w:r>
    </w:p>
    <w:p w14:paraId="5B61C1C9" w14:textId="77777777" w:rsidR="006A10F6" w:rsidRPr="000474BB" w:rsidRDefault="006A10F6" w:rsidP="000474BB">
      <w:pPr>
        <w:pStyle w:val="af9"/>
        <w:pBdr>
          <w:bottom w:val="single" w:sz="12" w:space="1" w:color="auto"/>
        </w:pBdr>
        <w:spacing w:line="240" w:lineRule="auto"/>
        <w:ind w:firstLine="709"/>
        <w:rPr>
          <w:sz w:val="24"/>
          <w:szCs w:val="24"/>
        </w:rPr>
      </w:pPr>
      <w:r w:rsidRPr="000474BB">
        <w:rPr>
          <w:sz w:val="24"/>
          <w:szCs w:val="24"/>
        </w:rPr>
        <w:t>На основе системы более четкого планирования, которое начинается, прежде всего, снизу, цепляя и рассматривая действительно все аспекты, вследствие чего получает обоснование  рациональности закупки, контроля своевременности закупок, также необходимо заметить, что снижаются риски заключения контракта для приобретения  ненужной услуги, товаров или работ.</w:t>
      </w:r>
    </w:p>
    <w:p w14:paraId="264A1E36" w14:textId="77777777" w:rsidR="006A10F6" w:rsidRPr="000474BB" w:rsidRDefault="006A10F6" w:rsidP="000474BB">
      <w:pPr>
        <w:pStyle w:val="af9"/>
        <w:pBdr>
          <w:bottom w:val="single" w:sz="12" w:space="1" w:color="auto"/>
        </w:pBdr>
        <w:spacing w:line="240" w:lineRule="auto"/>
        <w:ind w:firstLine="709"/>
        <w:rPr>
          <w:sz w:val="24"/>
          <w:szCs w:val="24"/>
        </w:rPr>
      </w:pPr>
      <w:r w:rsidRPr="000474BB">
        <w:rPr>
          <w:sz w:val="24"/>
          <w:szCs w:val="24"/>
        </w:rPr>
        <w:t xml:space="preserve">Как отмечалось специалистами Всемирного банка «для того, чтобы система государственных закупок была действительно эффективной, все закупки должны отвечать потребностям соответствующих субъектов, т.е общества, частного сектора экономики и </w:t>
      </w:r>
      <w:r w:rsidRPr="000474BB">
        <w:rPr>
          <w:sz w:val="24"/>
          <w:szCs w:val="24"/>
        </w:rPr>
        <w:lastRenderedPageBreak/>
        <w:t>непосредственно государства».[5] Из чего можно сделать основной вывод закупки должны формироваться снизу вверх, а не регламентироваться сверху без выявления реальных нужд в общества.</w:t>
      </w:r>
    </w:p>
    <w:p w14:paraId="7666CCFB" w14:textId="77777777" w:rsidR="006A10F6" w:rsidRDefault="006A10F6" w:rsidP="000474BB">
      <w:pPr>
        <w:pStyle w:val="af9"/>
        <w:pBdr>
          <w:bottom w:val="single" w:sz="12" w:space="1" w:color="auto"/>
        </w:pBdr>
        <w:spacing w:line="240" w:lineRule="auto"/>
        <w:ind w:firstLine="709"/>
        <w:rPr>
          <w:sz w:val="24"/>
          <w:szCs w:val="24"/>
        </w:rPr>
      </w:pPr>
      <w:r w:rsidRPr="000474BB">
        <w:rPr>
          <w:sz w:val="24"/>
          <w:szCs w:val="24"/>
        </w:rPr>
        <w:t>Следует отметить и то, что в современной экономике со смешанной моделью государство выступает как крупнейший заказчик и потребитель широкого ряда отраслей продукции, это в свою очередь позволяет превращать государственный и муниципальный спрос в манипулятор регулирования экономики, который оказывает влияние на ее динамику и структуру для решения стратегических задач страны, но и он в обязательном порядке должен опираться на обсуждение и предложения со стороны общественности, частного сектора экономики Российской Федерации.</w:t>
      </w:r>
    </w:p>
    <w:p w14:paraId="1E5BF58C" w14:textId="77777777" w:rsidR="00100B26" w:rsidRPr="000474BB" w:rsidRDefault="00100B26" w:rsidP="000474BB">
      <w:pPr>
        <w:pStyle w:val="af9"/>
        <w:pBdr>
          <w:bottom w:val="single" w:sz="12" w:space="1" w:color="auto"/>
        </w:pBdr>
        <w:spacing w:line="240" w:lineRule="auto"/>
        <w:ind w:firstLine="709"/>
        <w:rPr>
          <w:sz w:val="24"/>
          <w:szCs w:val="24"/>
        </w:rPr>
      </w:pPr>
    </w:p>
    <w:p w14:paraId="1149DE81" w14:textId="77777777" w:rsidR="006A10F6" w:rsidRPr="000474BB" w:rsidRDefault="006A10F6" w:rsidP="000474BB">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0474BB">
        <w:rPr>
          <w:rFonts w:ascii="Times New Roman" w:eastAsia="Times New Roman" w:hAnsi="Times New Roman" w:cs="Times New Roman"/>
          <w:sz w:val="24"/>
          <w:szCs w:val="24"/>
          <w:lang w:eastAsia="ru-RU"/>
        </w:rPr>
        <w:t xml:space="preserve">Федеральный закон «О контрактной системе в сфере закупок товаров, работ, услуг для обеспечения государственных и муниципальных нужд» от 05.04.2013 № 44-ФЗ [Электронный ресурс]. – Режим доступа: </w:t>
      </w:r>
      <w:hyperlink r:id="rId88" w:history="1">
        <w:r w:rsidRPr="000474BB">
          <w:rPr>
            <w:rFonts w:ascii="Times New Roman" w:eastAsia="Times New Roman" w:hAnsi="Times New Roman" w:cs="Times New Roman"/>
            <w:sz w:val="24"/>
            <w:szCs w:val="24"/>
            <w:lang w:eastAsia="ru-RU"/>
          </w:rPr>
          <w:t>http://www.consultant.ru/document/cons_doc_LAW_144624/</w:t>
        </w:r>
      </w:hyperlink>
    </w:p>
    <w:p w14:paraId="50CF08F4" w14:textId="77777777" w:rsidR="006A10F6" w:rsidRPr="000474BB" w:rsidRDefault="006A10F6" w:rsidP="000474BB">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0474BB">
        <w:rPr>
          <w:rFonts w:ascii="Times New Roman" w:eastAsia="Times New Roman" w:hAnsi="Times New Roman" w:cs="Times New Roman"/>
          <w:sz w:val="24"/>
          <w:szCs w:val="24"/>
          <w:lang w:eastAsia="ru-RU"/>
        </w:rPr>
        <w:t xml:space="preserve">Иванова Е.В. Новации в контрактной системе в сфере закупок товаров, работ, услуг для обеспечения государственных и муниципальных нужд [Электронный ресурс]. – Режим доступа: </w:t>
      </w:r>
      <w:hyperlink r:id="rId89" w:history="1">
        <w:r w:rsidRPr="000474BB">
          <w:rPr>
            <w:rFonts w:ascii="Times New Roman" w:eastAsia="Times New Roman" w:hAnsi="Times New Roman" w:cs="Times New Roman"/>
            <w:sz w:val="24"/>
            <w:szCs w:val="24"/>
            <w:lang w:eastAsia="ru-RU"/>
          </w:rPr>
          <w:t>https://cyberleninka.ru/article/n/novatsii-v-kontraktnoy-sisteme-v-sfere-zakupok-tovarov-rabot-uslug-dlya-obespecheniya-gosudarstvennyh-i-munitsipalnyh-nuzhd</w:t>
        </w:r>
      </w:hyperlink>
    </w:p>
    <w:p w14:paraId="4AD75BEB" w14:textId="77777777" w:rsidR="006A10F6" w:rsidRPr="000474BB" w:rsidRDefault="006A10F6" w:rsidP="000474BB">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0474BB">
        <w:rPr>
          <w:rFonts w:ascii="Times New Roman" w:eastAsia="Times New Roman" w:hAnsi="Times New Roman" w:cs="Times New Roman"/>
          <w:sz w:val="24"/>
          <w:szCs w:val="24"/>
          <w:lang w:eastAsia="ru-RU"/>
        </w:rPr>
        <w:t xml:space="preserve">Официальные данные Единой Информационной системы [Электронный ресурс]. – Режим доступа: </w:t>
      </w:r>
      <w:hyperlink r:id="rId90" w:history="1">
        <w:r w:rsidRPr="000474BB">
          <w:rPr>
            <w:rFonts w:ascii="Times New Roman" w:eastAsia="Times New Roman" w:hAnsi="Times New Roman" w:cs="Times New Roman"/>
            <w:sz w:val="24"/>
            <w:szCs w:val="24"/>
            <w:lang w:eastAsia="ru-RU"/>
          </w:rPr>
          <w:t>http://zakupki.gov.ru/epz/main/public/home.html</w:t>
        </w:r>
      </w:hyperlink>
      <w:r w:rsidRPr="000474BB">
        <w:rPr>
          <w:rFonts w:ascii="Times New Roman" w:eastAsia="Times New Roman" w:hAnsi="Times New Roman" w:cs="Times New Roman"/>
          <w:sz w:val="24"/>
          <w:szCs w:val="24"/>
          <w:lang w:eastAsia="ru-RU"/>
        </w:rPr>
        <w:t xml:space="preserve"> </w:t>
      </w:r>
    </w:p>
    <w:p w14:paraId="787AF9CD" w14:textId="77777777" w:rsidR="006A10F6" w:rsidRPr="000474BB" w:rsidRDefault="006A10F6" w:rsidP="000474BB">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0474BB">
        <w:rPr>
          <w:rFonts w:ascii="Times New Roman" w:eastAsia="Times New Roman" w:hAnsi="Times New Roman" w:cs="Times New Roman"/>
          <w:sz w:val="24"/>
          <w:szCs w:val="24"/>
          <w:lang w:eastAsia="ru-RU"/>
        </w:rPr>
        <w:t xml:space="preserve">Антонов В.И., Киселева О.В. Зарубежный опыт регулирования размещения государственного заказа и возможность его использования в Российской практике // Современные проблемы науки и образования. – 2013. – № 3. Режим доступа: [Электронный ресурс]: </w:t>
      </w:r>
      <w:hyperlink r:id="rId91" w:history="1">
        <w:r w:rsidRPr="000474BB">
          <w:rPr>
            <w:rFonts w:ascii="Times New Roman" w:eastAsia="Times New Roman" w:hAnsi="Times New Roman" w:cs="Times New Roman"/>
            <w:sz w:val="24"/>
            <w:szCs w:val="24"/>
            <w:lang w:eastAsia="ru-RU"/>
          </w:rPr>
          <w:t>http://www.science-education.ru</w:t>
        </w:r>
      </w:hyperlink>
      <w:r w:rsidRPr="000474BB">
        <w:rPr>
          <w:rFonts w:ascii="Times New Roman" w:eastAsia="Times New Roman" w:hAnsi="Times New Roman" w:cs="Times New Roman"/>
          <w:sz w:val="24"/>
          <w:szCs w:val="24"/>
          <w:lang w:eastAsia="ru-RU"/>
        </w:rPr>
        <w:t xml:space="preserve"> </w:t>
      </w:r>
    </w:p>
    <w:p w14:paraId="276B4CE1" w14:textId="77777777" w:rsidR="006A10F6" w:rsidRPr="000474BB" w:rsidRDefault="006A10F6" w:rsidP="000474BB">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0474BB">
        <w:rPr>
          <w:rFonts w:ascii="Times New Roman" w:eastAsia="Times New Roman" w:hAnsi="Times New Roman" w:cs="Times New Roman"/>
          <w:sz w:val="24"/>
          <w:szCs w:val="24"/>
          <w:lang w:eastAsia="ru-RU"/>
        </w:rPr>
        <w:t>Многоликая коррупция. Проект Всемирного банка : пер. с англ. / под ред. Э. Кампоса, С. Прадхана. М.: Альпина Паблишерз, 2010. С. 377, 380. </w:t>
      </w:r>
    </w:p>
    <w:p w14:paraId="053A08E0" w14:textId="77777777" w:rsidR="006A10F6" w:rsidRDefault="006A10F6" w:rsidP="006A10F6">
      <w:pPr>
        <w:spacing w:after="0" w:line="240" w:lineRule="auto"/>
        <w:ind w:firstLine="709"/>
        <w:rPr>
          <w:rFonts w:ascii="Times New Roman" w:hAnsi="Times New Roman"/>
          <w:sz w:val="24"/>
          <w:szCs w:val="24"/>
        </w:rPr>
      </w:pPr>
    </w:p>
    <w:p w14:paraId="1E8085FD" w14:textId="77777777" w:rsidR="004E48F7" w:rsidRPr="000474BB" w:rsidRDefault="004E48F7" w:rsidP="000474BB">
      <w:pPr>
        <w:spacing w:after="0" w:line="240" w:lineRule="auto"/>
        <w:rPr>
          <w:rFonts w:ascii="Times New Roman" w:hAnsi="Times New Roman" w:cs="Times New Roman"/>
          <w:b/>
          <w:sz w:val="24"/>
          <w:szCs w:val="24"/>
        </w:rPr>
      </w:pPr>
      <w:r w:rsidRPr="000474BB">
        <w:rPr>
          <w:rFonts w:ascii="Times New Roman" w:hAnsi="Times New Roman" w:cs="Times New Roman"/>
          <w:b/>
          <w:sz w:val="24"/>
          <w:szCs w:val="24"/>
        </w:rPr>
        <w:t>Рубрика: Проблемы динамичного развития экономики и финансов в современном мире</w:t>
      </w:r>
    </w:p>
    <w:p w14:paraId="1674D195" w14:textId="77777777" w:rsidR="004E48F7" w:rsidRPr="000474BB" w:rsidRDefault="004E48F7" w:rsidP="000474BB">
      <w:pPr>
        <w:spacing w:after="0" w:line="240" w:lineRule="auto"/>
        <w:ind w:firstLineChars="125" w:firstLine="301"/>
        <w:jc w:val="both"/>
        <w:rPr>
          <w:rFonts w:ascii="Times New Roman" w:hAnsi="Times New Roman" w:cs="Times New Roman"/>
          <w:b/>
          <w:sz w:val="24"/>
          <w:szCs w:val="24"/>
        </w:rPr>
      </w:pPr>
    </w:p>
    <w:p w14:paraId="2F34F096" w14:textId="77777777" w:rsidR="004E48F7" w:rsidRPr="000474BB" w:rsidRDefault="004E48F7" w:rsidP="000474BB">
      <w:pPr>
        <w:spacing w:after="0" w:line="240" w:lineRule="auto"/>
        <w:jc w:val="both"/>
        <w:rPr>
          <w:rFonts w:ascii="Times New Roman" w:hAnsi="Times New Roman" w:cs="Times New Roman"/>
          <w:sz w:val="24"/>
          <w:szCs w:val="24"/>
        </w:rPr>
      </w:pPr>
      <w:r w:rsidRPr="000474BB">
        <w:rPr>
          <w:rFonts w:ascii="Times New Roman" w:hAnsi="Times New Roman" w:cs="Times New Roman"/>
          <w:sz w:val="24"/>
          <w:szCs w:val="24"/>
        </w:rPr>
        <w:t>УДК 332.74</w:t>
      </w:r>
    </w:p>
    <w:p w14:paraId="3C72A837" w14:textId="77777777" w:rsidR="004E48F7" w:rsidRPr="000474BB" w:rsidRDefault="004E48F7" w:rsidP="004E48F7">
      <w:pPr>
        <w:spacing w:after="0" w:line="20" w:lineRule="atLeast"/>
        <w:jc w:val="both"/>
        <w:rPr>
          <w:rFonts w:ascii="Times New Roman" w:hAnsi="Times New Roman" w:cs="Times New Roman"/>
          <w:sz w:val="24"/>
          <w:szCs w:val="24"/>
        </w:rPr>
      </w:pPr>
    </w:p>
    <w:p w14:paraId="7880146A" w14:textId="77777777" w:rsidR="004E48F7" w:rsidRPr="000474BB" w:rsidRDefault="00100B26" w:rsidP="004E48F7">
      <w:pPr>
        <w:spacing w:after="0" w:line="20" w:lineRule="atLeast"/>
        <w:ind w:firstLineChars="125" w:firstLine="301"/>
        <w:jc w:val="center"/>
        <w:rPr>
          <w:rFonts w:ascii="Times New Roman" w:hAnsi="Times New Roman" w:cs="Times New Roman"/>
          <w:b/>
          <w:bCs/>
          <w:sz w:val="24"/>
          <w:szCs w:val="24"/>
        </w:rPr>
      </w:pPr>
      <w:r w:rsidRPr="000474BB">
        <w:rPr>
          <w:rFonts w:ascii="Times New Roman" w:hAnsi="Times New Roman" w:cs="Times New Roman"/>
          <w:b/>
          <w:bCs/>
          <w:sz w:val="24"/>
          <w:szCs w:val="24"/>
        </w:rPr>
        <w:t>СРАВНИТЕЛЬНЫЙ АНАЛИЗ ЦЕН НА ПЕРВИЧНОМ РЫНКЕ ЖИЛЬЯ В РОССИЙСКИХ ГОРОДАХ (НА ПРИМЕРЕ В</w:t>
      </w:r>
      <w:r>
        <w:rPr>
          <w:rFonts w:ascii="Times New Roman" w:hAnsi="Times New Roman" w:cs="Times New Roman"/>
          <w:b/>
          <w:bCs/>
          <w:sz w:val="24"/>
          <w:szCs w:val="24"/>
        </w:rPr>
        <w:t>ЛАДИВОСТОКА И САНКТ-ПЕТЕРБУРГА)</w:t>
      </w:r>
    </w:p>
    <w:p w14:paraId="7A9A139D" w14:textId="77777777" w:rsidR="004E48F7" w:rsidRPr="000474BB" w:rsidRDefault="004E48F7" w:rsidP="004E48F7">
      <w:pPr>
        <w:spacing w:after="0" w:line="20" w:lineRule="atLeast"/>
        <w:ind w:firstLineChars="125" w:firstLine="301"/>
        <w:jc w:val="center"/>
        <w:rPr>
          <w:rFonts w:ascii="Times New Roman" w:hAnsi="Times New Roman" w:cs="Times New Roman"/>
          <w:b/>
          <w:bCs/>
          <w:sz w:val="24"/>
          <w:szCs w:val="24"/>
        </w:rPr>
      </w:pPr>
    </w:p>
    <w:p w14:paraId="7F95A113" w14:textId="77777777" w:rsidR="004E48F7" w:rsidRPr="00100B26" w:rsidRDefault="00100B26" w:rsidP="004E48F7">
      <w:pPr>
        <w:spacing w:after="0" w:line="20" w:lineRule="atLeast"/>
        <w:ind w:firstLineChars="125" w:firstLine="301"/>
        <w:jc w:val="center"/>
        <w:rPr>
          <w:rFonts w:ascii="Times New Roman" w:hAnsi="Times New Roman" w:cs="Times New Roman"/>
          <w:b/>
          <w:sz w:val="24"/>
          <w:szCs w:val="24"/>
        </w:rPr>
      </w:pPr>
      <w:r w:rsidRPr="00100B26">
        <w:rPr>
          <w:rFonts w:ascii="Times New Roman" w:hAnsi="Times New Roman" w:cs="Times New Roman"/>
          <w:b/>
          <w:sz w:val="24"/>
          <w:szCs w:val="24"/>
        </w:rPr>
        <w:t>Бродер Светлана Эдуардовна</w:t>
      </w:r>
      <w:r w:rsidR="004E48F7" w:rsidRPr="00100B26">
        <w:rPr>
          <w:rFonts w:ascii="Times New Roman" w:hAnsi="Times New Roman" w:cs="Times New Roman"/>
          <w:b/>
          <w:sz w:val="24"/>
          <w:szCs w:val="24"/>
        </w:rPr>
        <w:t xml:space="preserve"> </w:t>
      </w:r>
    </w:p>
    <w:p w14:paraId="3A7C6AA4" w14:textId="77777777" w:rsidR="004E48F7" w:rsidRDefault="00100B26" w:rsidP="004E48F7">
      <w:pPr>
        <w:spacing w:after="0" w:line="20" w:lineRule="atLeast"/>
        <w:ind w:firstLineChars="125" w:firstLine="300"/>
        <w:jc w:val="center"/>
        <w:rPr>
          <w:rFonts w:ascii="Times New Roman" w:hAnsi="Times New Roman" w:cs="Times New Roman"/>
          <w:sz w:val="24"/>
          <w:szCs w:val="24"/>
        </w:rPr>
      </w:pPr>
      <w:r w:rsidRPr="000474BB">
        <w:rPr>
          <w:rFonts w:ascii="Times New Roman" w:hAnsi="Times New Roman" w:cs="Times New Roman"/>
          <w:sz w:val="24"/>
          <w:szCs w:val="24"/>
        </w:rPr>
        <w:t>Б</w:t>
      </w:r>
      <w:r w:rsidR="004E48F7" w:rsidRPr="000474BB">
        <w:rPr>
          <w:rFonts w:ascii="Times New Roman" w:hAnsi="Times New Roman" w:cs="Times New Roman"/>
          <w:sz w:val="24"/>
          <w:szCs w:val="24"/>
        </w:rPr>
        <w:t>акалавр</w:t>
      </w:r>
    </w:p>
    <w:p w14:paraId="56A0069A" w14:textId="77777777" w:rsidR="00100B26" w:rsidRPr="000474BB" w:rsidRDefault="00100B26" w:rsidP="004E48F7">
      <w:pPr>
        <w:spacing w:after="0" w:line="20" w:lineRule="atLeast"/>
        <w:ind w:firstLineChars="125" w:firstLine="300"/>
        <w:jc w:val="center"/>
        <w:rPr>
          <w:rFonts w:ascii="Times New Roman" w:hAnsi="Times New Roman" w:cs="Times New Roman"/>
          <w:sz w:val="24"/>
          <w:szCs w:val="24"/>
        </w:rPr>
      </w:pPr>
    </w:p>
    <w:p w14:paraId="618A7E59" w14:textId="77777777" w:rsidR="004E48F7" w:rsidRPr="000474BB" w:rsidRDefault="004E48F7" w:rsidP="004E48F7">
      <w:pPr>
        <w:spacing w:after="0" w:line="20" w:lineRule="atLeast"/>
        <w:ind w:firstLineChars="125" w:firstLine="300"/>
        <w:jc w:val="center"/>
        <w:rPr>
          <w:rFonts w:ascii="Times New Roman" w:hAnsi="Times New Roman" w:cs="Times New Roman"/>
          <w:i/>
          <w:iCs/>
          <w:sz w:val="24"/>
          <w:szCs w:val="24"/>
        </w:rPr>
      </w:pPr>
      <w:r w:rsidRPr="000474BB">
        <w:rPr>
          <w:rFonts w:ascii="Times New Roman" w:hAnsi="Times New Roman" w:cs="Times New Roman"/>
          <w:i/>
          <w:iCs/>
          <w:sz w:val="24"/>
          <w:szCs w:val="24"/>
        </w:rPr>
        <w:t xml:space="preserve">Владивостокский государственный университет экономики и сервиса </w:t>
      </w:r>
    </w:p>
    <w:p w14:paraId="1A1535AD" w14:textId="77777777" w:rsidR="004E48F7" w:rsidRDefault="004E48F7" w:rsidP="004E48F7">
      <w:pPr>
        <w:spacing w:after="0" w:line="20" w:lineRule="atLeast"/>
        <w:ind w:firstLineChars="125" w:firstLine="300"/>
        <w:jc w:val="center"/>
        <w:rPr>
          <w:rFonts w:ascii="Times New Roman" w:hAnsi="Times New Roman" w:cs="Times New Roman"/>
          <w:i/>
          <w:iCs/>
          <w:sz w:val="24"/>
          <w:szCs w:val="24"/>
        </w:rPr>
      </w:pPr>
      <w:r w:rsidRPr="000474BB">
        <w:rPr>
          <w:rFonts w:ascii="Times New Roman" w:hAnsi="Times New Roman" w:cs="Times New Roman"/>
          <w:i/>
          <w:iCs/>
          <w:sz w:val="24"/>
          <w:szCs w:val="24"/>
        </w:rPr>
        <w:t>Россия. Владивосток</w:t>
      </w:r>
    </w:p>
    <w:p w14:paraId="7DF6F7AA" w14:textId="77777777" w:rsidR="00100B26" w:rsidRPr="000474BB" w:rsidRDefault="00100B26" w:rsidP="004E48F7">
      <w:pPr>
        <w:spacing w:after="0" w:line="20" w:lineRule="atLeast"/>
        <w:ind w:firstLineChars="125" w:firstLine="300"/>
        <w:jc w:val="center"/>
        <w:rPr>
          <w:rFonts w:ascii="Times New Roman" w:hAnsi="Times New Roman" w:cs="Times New Roman"/>
          <w:i/>
          <w:iCs/>
          <w:sz w:val="24"/>
          <w:szCs w:val="24"/>
        </w:rPr>
      </w:pPr>
    </w:p>
    <w:p w14:paraId="66A7FABC" w14:textId="77777777" w:rsidR="004E48F7" w:rsidRPr="007E1000" w:rsidRDefault="004E48F7" w:rsidP="004E48F7">
      <w:pPr>
        <w:spacing w:after="0" w:line="20" w:lineRule="atLeast"/>
        <w:ind w:firstLineChars="125" w:firstLine="300"/>
        <w:jc w:val="center"/>
        <w:rPr>
          <w:rFonts w:ascii="Times New Roman" w:hAnsi="Times New Roman" w:cs="Times New Roman"/>
          <w:iCs/>
          <w:sz w:val="24"/>
          <w:szCs w:val="24"/>
        </w:rPr>
      </w:pPr>
      <w:r w:rsidRPr="00100B26">
        <w:rPr>
          <w:rFonts w:ascii="Times New Roman" w:hAnsi="Times New Roman" w:cs="Times New Roman"/>
          <w:iCs/>
          <w:sz w:val="24"/>
          <w:szCs w:val="24"/>
          <w:lang w:val="en-US"/>
        </w:rPr>
        <w:t>E</w:t>
      </w:r>
      <w:r w:rsidRPr="007E1000">
        <w:rPr>
          <w:rFonts w:ascii="Times New Roman" w:hAnsi="Times New Roman" w:cs="Times New Roman"/>
          <w:iCs/>
          <w:sz w:val="24"/>
          <w:szCs w:val="24"/>
        </w:rPr>
        <w:t>-</w:t>
      </w:r>
      <w:r w:rsidRPr="00100B26">
        <w:rPr>
          <w:rFonts w:ascii="Times New Roman" w:hAnsi="Times New Roman" w:cs="Times New Roman"/>
          <w:iCs/>
          <w:sz w:val="24"/>
          <w:szCs w:val="24"/>
          <w:lang w:val="en-US"/>
        </w:rPr>
        <w:t>mail</w:t>
      </w:r>
      <w:r w:rsidRPr="007E1000">
        <w:rPr>
          <w:rFonts w:ascii="Times New Roman" w:hAnsi="Times New Roman" w:cs="Times New Roman"/>
          <w:iCs/>
          <w:sz w:val="24"/>
          <w:szCs w:val="24"/>
        </w:rPr>
        <w:t xml:space="preserve">: </w:t>
      </w:r>
      <w:r w:rsidRPr="00100B26">
        <w:rPr>
          <w:rFonts w:ascii="Times New Roman" w:hAnsi="Times New Roman" w:cs="Times New Roman"/>
          <w:iCs/>
          <w:sz w:val="24"/>
          <w:szCs w:val="24"/>
          <w:lang w:val="en-US"/>
        </w:rPr>
        <w:t>broder</w:t>
      </w:r>
      <w:r w:rsidRPr="007E1000">
        <w:rPr>
          <w:rFonts w:ascii="Times New Roman" w:hAnsi="Times New Roman" w:cs="Times New Roman"/>
          <w:iCs/>
          <w:sz w:val="24"/>
          <w:szCs w:val="24"/>
        </w:rPr>
        <w:t>.</w:t>
      </w:r>
      <w:r w:rsidRPr="00100B26">
        <w:rPr>
          <w:rFonts w:ascii="Times New Roman" w:hAnsi="Times New Roman" w:cs="Times New Roman"/>
          <w:iCs/>
          <w:sz w:val="24"/>
          <w:szCs w:val="24"/>
          <w:lang w:val="en-US"/>
        </w:rPr>
        <w:t>lana</w:t>
      </w:r>
      <w:r w:rsidRPr="007E1000">
        <w:rPr>
          <w:rFonts w:ascii="Times New Roman" w:hAnsi="Times New Roman" w:cs="Times New Roman"/>
          <w:iCs/>
          <w:sz w:val="24"/>
          <w:szCs w:val="24"/>
        </w:rPr>
        <w:t>@</w:t>
      </w:r>
      <w:r w:rsidRPr="00100B26">
        <w:rPr>
          <w:rFonts w:ascii="Times New Roman" w:hAnsi="Times New Roman" w:cs="Times New Roman"/>
          <w:iCs/>
          <w:sz w:val="24"/>
          <w:szCs w:val="24"/>
          <w:lang w:val="en-US"/>
        </w:rPr>
        <w:t>mail</w:t>
      </w:r>
      <w:r w:rsidRPr="007E1000">
        <w:rPr>
          <w:rFonts w:ascii="Times New Roman" w:hAnsi="Times New Roman" w:cs="Times New Roman"/>
          <w:iCs/>
          <w:sz w:val="24"/>
          <w:szCs w:val="24"/>
        </w:rPr>
        <w:t>.</w:t>
      </w:r>
      <w:r w:rsidRPr="00100B26">
        <w:rPr>
          <w:rFonts w:ascii="Times New Roman" w:hAnsi="Times New Roman" w:cs="Times New Roman"/>
          <w:iCs/>
          <w:sz w:val="24"/>
          <w:szCs w:val="24"/>
          <w:lang w:val="en-US"/>
        </w:rPr>
        <w:t>ru</w:t>
      </w:r>
      <w:r w:rsidRPr="007E1000">
        <w:rPr>
          <w:rFonts w:ascii="Times New Roman" w:hAnsi="Times New Roman" w:cs="Times New Roman"/>
          <w:iCs/>
          <w:sz w:val="24"/>
          <w:szCs w:val="24"/>
        </w:rPr>
        <w:t xml:space="preserve">; </w:t>
      </w:r>
      <w:r w:rsidRPr="00100B26">
        <w:rPr>
          <w:rFonts w:ascii="Times New Roman" w:hAnsi="Times New Roman" w:cs="Times New Roman"/>
          <w:iCs/>
          <w:sz w:val="24"/>
          <w:szCs w:val="24"/>
        </w:rPr>
        <w:t>тел</w:t>
      </w:r>
      <w:r w:rsidRPr="007E1000">
        <w:rPr>
          <w:rFonts w:ascii="Times New Roman" w:hAnsi="Times New Roman" w:cs="Times New Roman"/>
          <w:iCs/>
          <w:sz w:val="24"/>
          <w:szCs w:val="24"/>
        </w:rPr>
        <w:t>.: +79025290268</w:t>
      </w:r>
    </w:p>
    <w:p w14:paraId="51C76654" w14:textId="77777777" w:rsidR="004E48F7" w:rsidRPr="00100B26" w:rsidRDefault="004E48F7" w:rsidP="004E48F7">
      <w:pPr>
        <w:spacing w:after="0" w:line="20" w:lineRule="atLeast"/>
        <w:ind w:firstLineChars="125" w:firstLine="300"/>
        <w:jc w:val="center"/>
        <w:rPr>
          <w:rFonts w:ascii="Times New Roman" w:hAnsi="Times New Roman" w:cs="Times New Roman"/>
          <w:iCs/>
          <w:sz w:val="24"/>
          <w:szCs w:val="24"/>
        </w:rPr>
      </w:pPr>
      <w:r w:rsidRPr="00100B26">
        <w:rPr>
          <w:rFonts w:ascii="Times New Roman" w:hAnsi="Times New Roman" w:cs="Times New Roman"/>
          <w:iCs/>
          <w:sz w:val="24"/>
          <w:szCs w:val="24"/>
        </w:rPr>
        <w:t>ул. Гоголя, 41, г. Владивосток, Приморский край, Россия, 690014</w:t>
      </w:r>
    </w:p>
    <w:p w14:paraId="320646EB" w14:textId="77777777" w:rsidR="004E48F7" w:rsidRPr="000474BB" w:rsidRDefault="004E48F7" w:rsidP="00100B26">
      <w:pPr>
        <w:spacing w:after="0" w:line="20" w:lineRule="atLeast"/>
        <w:rPr>
          <w:rFonts w:ascii="Times New Roman" w:hAnsi="Times New Roman" w:cs="Times New Roman"/>
          <w:sz w:val="24"/>
          <w:szCs w:val="24"/>
        </w:rPr>
      </w:pPr>
    </w:p>
    <w:p w14:paraId="4C2A9E14" w14:textId="77777777" w:rsidR="004E48F7" w:rsidRPr="000474BB" w:rsidRDefault="004E48F7" w:rsidP="000474BB">
      <w:pPr>
        <w:spacing w:after="0" w:line="20" w:lineRule="atLeast"/>
        <w:ind w:firstLineChars="295" w:firstLine="708"/>
        <w:rPr>
          <w:rFonts w:ascii="Times New Roman" w:hAnsi="Times New Roman" w:cs="Times New Roman"/>
          <w:i/>
          <w:iCs/>
          <w:sz w:val="24"/>
          <w:szCs w:val="24"/>
        </w:rPr>
      </w:pPr>
      <w:r w:rsidRPr="000474BB">
        <w:rPr>
          <w:rFonts w:ascii="Times New Roman" w:hAnsi="Times New Roman" w:cs="Times New Roman"/>
          <w:i/>
          <w:iCs/>
          <w:sz w:val="24"/>
          <w:szCs w:val="24"/>
        </w:rPr>
        <w:t xml:space="preserve">Проблема различия стоимости первичного жилья в российских городах является актуальной в наше время. Цены на недвижимость на первичном рынке жилья подвержены влиянию определенных факторов. Санкт-Петербург и Владивосток – города, находящиеся в разных частях страны, на примере которых мы можем ярко наблюдать данное явление и проанализировать его. </w:t>
      </w:r>
    </w:p>
    <w:p w14:paraId="39FCD438" w14:textId="77777777" w:rsidR="004E48F7" w:rsidRPr="000474BB" w:rsidRDefault="004E48F7" w:rsidP="00100B26">
      <w:pPr>
        <w:spacing w:after="0" w:line="20" w:lineRule="atLeast"/>
        <w:ind w:firstLine="301"/>
        <w:rPr>
          <w:rFonts w:ascii="Times New Roman" w:hAnsi="Times New Roman" w:cs="Times New Roman"/>
          <w:i/>
          <w:iCs/>
          <w:sz w:val="24"/>
          <w:szCs w:val="24"/>
        </w:rPr>
      </w:pPr>
      <w:r w:rsidRPr="000474BB">
        <w:rPr>
          <w:rFonts w:ascii="Times New Roman" w:hAnsi="Times New Roman" w:cs="Times New Roman"/>
          <w:b/>
          <w:bCs/>
          <w:i/>
          <w:iCs/>
          <w:sz w:val="24"/>
          <w:szCs w:val="24"/>
        </w:rPr>
        <w:t>Ключевые слова и словосочетания:</w:t>
      </w:r>
      <w:r w:rsidRPr="000474BB">
        <w:rPr>
          <w:rFonts w:ascii="Times New Roman" w:hAnsi="Times New Roman" w:cs="Times New Roman"/>
          <w:sz w:val="24"/>
          <w:szCs w:val="24"/>
        </w:rPr>
        <w:t xml:space="preserve"> </w:t>
      </w:r>
      <w:r w:rsidRPr="000474BB">
        <w:rPr>
          <w:rFonts w:ascii="Times New Roman" w:hAnsi="Times New Roman" w:cs="Times New Roman"/>
          <w:i/>
          <w:iCs/>
          <w:sz w:val="24"/>
          <w:szCs w:val="24"/>
        </w:rPr>
        <w:t>Первичный рынок недвижимости, Владивосток, Санкт-Петербург, ценовая специфика, уровень комфорта жизни, спрос на первичное жильё.</w:t>
      </w:r>
    </w:p>
    <w:p w14:paraId="7DFB249A" w14:textId="77777777" w:rsidR="004E48F7" w:rsidRPr="000474BB" w:rsidRDefault="00100B26" w:rsidP="000474BB">
      <w:pPr>
        <w:spacing w:after="0" w:line="20" w:lineRule="atLeast"/>
        <w:ind w:firstLineChars="125" w:firstLine="301"/>
        <w:jc w:val="center"/>
        <w:rPr>
          <w:rFonts w:ascii="Times New Roman" w:hAnsi="Times New Roman" w:cs="Times New Roman"/>
          <w:b/>
          <w:sz w:val="24"/>
          <w:szCs w:val="24"/>
          <w:lang w:val="en-US"/>
        </w:rPr>
      </w:pPr>
      <w:r w:rsidRPr="000474BB">
        <w:rPr>
          <w:rFonts w:ascii="Times New Roman" w:hAnsi="Times New Roman" w:cs="Times New Roman"/>
          <w:b/>
          <w:sz w:val="24"/>
          <w:szCs w:val="24"/>
          <w:lang w:val="en-US"/>
        </w:rPr>
        <w:lastRenderedPageBreak/>
        <w:t>COMPARATIVE ANALYSIS OF PRICES IN THE PRIMARY HOUSING MARKET IN RUSSIAN CITIES (BY THE EXAMPLE OF VLADIVOSTOK AND ST. PETERSBURG)</w:t>
      </w:r>
    </w:p>
    <w:p w14:paraId="31ED7778" w14:textId="77777777" w:rsidR="004E48F7" w:rsidRPr="000474BB" w:rsidRDefault="004E48F7" w:rsidP="004E48F7">
      <w:pPr>
        <w:spacing w:after="0" w:line="20" w:lineRule="atLeast"/>
        <w:ind w:firstLineChars="125" w:firstLine="300"/>
        <w:jc w:val="both"/>
        <w:rPr>
          <w:rFonts w:ascii="Times New Roman" w:hAnsi="Times New Roman" w:cs="Times New Roman"/>
          <w:i/>
          <w:iCs/>
          <w:sz w:val="24"/>
          <w:szCs w:val="24"/>
          <w:lang w:val="en-US"/>
        </w:rPr>
      </w:pPr>
    </w:p>
    <w:p w14:paraId="0C0030A8" w14:textId="77777777" w:rsidR="004E48F7" w:rsidRPr="000474BB" w:rsidRDefault="004E48F7" w:rsidP="00100B26">
      <w:pPr>
        <w:spacing w:after="0" w:line="20" w:lineRule="atLeast"/>
        <w:ind w:firstLineChars="295" w:firstLine="708"/>
        <w:jc w:val="both"/>
        <w:rPr>
          <w:rFonts w:ascii="Times New Roman" w:hAnsi="Times New Roman" w:cs="Times New Roman"/>
          <w:i/>
          <w:iCs/>
          <w:sz w:val="24"/>
          <w:szCs w:val="24"/>
          <w:lang w:val="en-US"/>
        </w:rPr>
      </w:pPr>
      <w:r w:rsidRPr="000474BB">
        <w:rPr>
          <w:rFonts w:ascii="Times New Roman" w:hAnsi="Times New Roman" w:cs="Times New Roman"/>
          <w:i/>
          <w:iCs/>
          <w:sz w:val="24"/>
          <w:szCs w:val="24"/>
          <w:lang w:val="en-US"/>
        </w:rPr>
        <w:t>The problem of the difference in the cost of primary housing in Russian cities is actual nowadays. The property prices in the primary housing market are influenced by many factors. Saint Petersburg and Vladivostok are the cities, which are located in different parts of our country, on the example of which we can clearly observe t</w:t>
      </w:r>
      <w:r w:rsidR="00100B26">
        <w:rPr>
          <w:rFonts w:ascii="Times New Roman" w:hAnsi="Times New Roman" w:cs="Times New Roman"/>
          <w:i/>
          <w:iCs/>
          <w:sz w:val="24"/>
          <w:szCs w:val="24"/>
          <w:lang w:val="en-US"/>
        </w:rPr>
        <w:t xml:space="preserve">his phenomenon and analyze it. </w:t>
      </w:r>
    </w:p>
    <w:p w14:paraId="23A9E3FF" w14:textId="77777777" w:rsidR="004E48F7" w:rsidRPr="000474BB" w:rsidRDefault="004E48F7" w:rsidP="000474BB">
      <w:pPr>
        <w:spacing w:after="0" w:line="20" w:lineRule="atLeast"/>
        <w:ind w:firstLineChars="295" w:firstLine="711"/>
        <w:rPr>
          <w:rFonts w:ascii="Times New Roman" w:hAnsi="Times New Roman" w:cs="Times New Roman"/>
          <w:b/>
          <w:bCs/>
          <w:i/>
          <w:iCs/>
          <w:sz w:val="24"/>
          <w:szCs w:val="24"/>
          <w:lang w:val="en-US"/>
        </w:rPr>
      </w:pPr>
      <w:r w:rsidRPr="000474BB">
        <w:rPr>
          <w:rFonts w:ascii="Times New Roman" w:hAnsi="Times New Roman" w:cs="Times New Roman"/>
          <w:b/>
          <w:bCs/>
          <w:i/>
          <w:iCs/>
          <w:sz w:val="24"/>
          <w:szCs w:val="24"/>
          <w:lang w:val="en-US"/>
        </w:rPr>
        <w:t xml:space="preserve">Keywords: </w:t>
      </w:r>
      <w:r w:rsidRPr="000474BB">
        <w:rPr>
          <w:rFonts w:ascii="Times New Roman" w:hAnsi="Times New Roman" w:cs="Times New Roman"/>
          <w:bCs/>
          <w:i/>
          <w:iCs/>
          <w:sz w:val="24"/>
          <w:szCs w:val="24"/>
          <w:lang w:val="en-US"/>
        </w:rPr>
        <w:t>Primary real estate market, Vladivostok, St. Petersburg, price specificity, the level of comfort of life, the demand for primary housing.</w:t>
      </w:r>
    </w:p>
    <w:p w14:paraId="532070F0" w14:textId="77777777" w:rsidR="004E48F7" w:rsidRPr="000474BB" w:rsidRDefault="004E48F7" w:rsidP="004E48F7">
      <w:pPr>
        <w:spacing w:after="0" w:line="20" w:lineRule="atLeast"/>
        <w:jc w:val="both"/>
        <w:rPr>
          <w:rFonts w:ascii="Times New Roman" w:hAnsi="Times New Roman" w:cs="Times New Roman"/>
          <w:i/>
          <w:iCs/>
          <w:sz w:val="24"/>
          <w:szCs w:val="24"/>
          <w:lang w:val="en-US"/>
        </w:rPr>
      </w:pPr>
    </w:p>
    <w:p w14:paraId="384665FF"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В различных частях России различные условия жизни. Это отражается во многих её аспектах, включающих в себя  сектор предоставляемых услуг, развитость инфраструктуры, зависимость зарплат, цен и многое другое. В любом городе нашей страны существует и развивается первичный рынок недвижимости, то есть рынок, на котором  продается жильё, которое ещё не находилось в чьей-либо собственности и выставляется в качестве товара впервые. Люди, приобретая жильё в различных городах России, затрачивают различные суммы денег, казалось бы, на одну и ту же операцию. Почему так происходит? Проблема различия цен на жильё на первичном рынке в различных городах России заставляет нас задуматься о причинах её происхождения и является актуальной. Так как рано или поздно, в процессе жизни, перед каждым из нас возникает необходимость в приобретении собственного жилья. Ранее, в советские годы, жилье, в большом количестве, строилось  государством и предоставлялось нуждающимся согласно очередности. В связи с чем, у населения не было необходимости изучать рынок жилья, следить за текущими ценами  и обладать другой информацией о ситуации на рынке недвижимости. Да и рынка недвижимости, как такового не существовало, ни первичного, ни вторичного.  Сегодня же ситуация в корне изменилась, и для того, чтобы выгодно купить долгожданные «квадратные метры» мы, волей – неволей должны разбираться во многих понятиях, терминах рынка недвижимости, в качестве и текущих  ценах предлагаемого нам жилья.</w:t>
      </w:r>
    </w:p>
    <w:p w14:paraId="0E93DCC2"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В рамках данной статьи наша цель – разобраться в причинах различия стоимости жилья, с помощью анализа цен на первичном рынке недвижимости, а именно в городах Владивосток и Санкт-Петербург, находящихся в противоположных частях страны. Оба города портовые, имеют свою особую привлекательность для населения, но всё-таки обладают различными чертами, которые могут быть причинами варьирования цен. </w:t>
      </w:r>
    </w:p>
    <w:p w14:paraId="26D90A3C"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Говоря о первичном рынке недвижимости в различных городах, нужно иметь хорошее представление о том, что заставляет людей покупать именно такие квартиры и какие угрозы существуют.</w:t>
      </w:r>
    </w:p>
    <w:p w14:paraId="7E397458"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Итак, нам необходимо приобрести заветную квартиру. Сопоставив все плюсы и минусы, многие люди выбирают квартиры в новостройках. Чем же они в первую очередь руководствуются? Существует множество факторов. Один из них это, так называемый «Эффект первого хозяина».  Это значит, что человек делает ремонт по своему усмотрению, обустраивает «голые стены» в собственном идеальном дизайне.  Новые дома, как правило, построены по новым технологиям, например, имеют просторные подъезды, прихожие, новые лифты. Конечно, новостройки могут доставлять некоторые неудобства отсутствием объектов инфраструктуры, таких как магазинов, спортивных сооружений, школ, детских садов и других.  Но, несмотря на это, новостройки имеют большой спрос. Ведь объекты инфраструктуры, как правило, быстро возводятся за сдаваемыми в эксплуатацию новостройками. Зачастую бывает, что магазины разных профилей, салоны красоты, кафе, спортзалы, автопарковки для жильцов располагаются в подвальных и цокольных помещениях, на первых не жилых этажах домов, либо в пристройках, что является очень удобным. Если нововозведённый микрорайон слишком большой, то в нем так же строят школы, детские сады, больницы, торговые центры, обустроенные по новым стандартам. </w:t>
      </w:r>
    </w:p>
    <w:p w14:paraId="7724FD8C"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lastRenderedPageBreak/>
        <w:t xml:space="preserve">Немаловажным фактором является юридическая чистота квартиры. Квартира абсолютно новая, в неё никто раньше не жил, а значит, ее покупатель является первым владельцем и впервые оформляет документы. Здесь не может возникнуть трудностей с «тёмными» историями прошлых владельцев и внезапно появившимися наследниками или совладельцами квартир. Так же, человек покупает квартиру у застройщика непосредственно, не имея дел с посредниками, недобросовестности которых стоит опасаться. Если же и привлекаются услуги риэлторов, то это проверенное, надежное агентство недвижимости, которое, как правило, не берет дополнительных денег с покупателя.  </w:t>
      </w:r>
    </w:p>
    <w:p w14:paraId="68F1E64D"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Но среди всех факторов, которыми руководствуются люди при покупке квартиры на первичном рынке, на первом плане стоит цена, которая значительно ниже, чем цена аналогичной квартиры на вторичном рынке. Стоимость квартиры на первичном рынке будет ниже, так как фактически на момент покупки квартиры не существует. Но здесь действует закономерность, согласно которой стоимость за квадратный метр жилья зависит от стадии строительства объекта. В том случае, когда дом построен, но ещё не сдан, цена будет близиться к ценам на вторичном рынке. Но расчетливые хозяева могут выиграть прибыль в размере до 30 % годовых при инвестировании средств на стадии котлована. </w:t>
      </w:r>
    </w:p>
    <w:p w14:paraId="7FB7D173"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Но так же существует и ряд рисков, вероятность возникновения которых по мере постройки дома снижается, соответственно стоимость жилья повышается. Самым распространенным риском является риск «недостроя» или «долгостроя», который подразумевает, что застройщик не сможет осилить финансовые затраты в результате изменения курса рубля или снижения текущих продаж.</w:t>
      </w:r>
    </w:p>
    <w:p w14:paraId="53C902AA"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 Так же существует технологический риск, то есть опасность допущения строителями технических ошибок и недоделок. Мы покупаем квартиру, которой ещё нет, она только в проекте. А то, какой она действительно должна быть каждый может представить по-разному. Здесь возникает риск несоответствия ожиданиям. Каким бы замечательный не был проект, его воплощение в реальность не всегда может соответствовать нашим представлениям. К примеру, может быть плохая звукоизоляция, напор воды из под крана окажется недостаточным, из окон будет периодически поддувать. Так же существует риск «двойных продаж», то есть вероятность того, что одна и также квартира будет продана несколько раз. Такое, как правило, случается по недоразумению и несогласованности действий соинвесторов, каждый из которых продает права требования на квартиру, полагая, что сам имеет эти права.</w:t>
      </w:r>
    </w:p>
    <w:p w14:paraId="3B7F4C8E"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Ценовая специфика жилья на первичном рынке зависит от множества факторов, которые можно классифицировать по различным критериям. Выделим следующие логические группы: социальные, экономические, физические, политические факторы. </w:t>
      </w:r>
    </w:p>
    <w:p w14:paraId="07819D74"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К социальным факторам относятся численность и плотность населения, стиль и уровень жизни общества, предпочтения, которыми руководствуются при выборе жилья массы людей. Экономическим фактором является экономическая ситуация в регионе, на местном уровне, уровень занятости и дохода, платежеспособность населения. В эту же категорию входят издержки при формировании продаж и затраты на строительно монтажные работы, зависящие от ценообразования на рынке подрядных услуг. Физические факторы – это климатические условия, рельеф, почва, экологические и сейсмические факторы. К политическим в свою очередь отнесем лицензирование оценочной и риэлтерской деятельности, налоговую и финансовую политику, предоставление различного рода льгот [1]. </w:t>
      </w:r>
    </w:p>
    <w:p w14:paraId="76D59CE7" w14:textId="77777777" w:rsidR="004E48F7" w:rsidRPr="000474BB" w:rsidRDefault="004E48F7" w:rsidP="000474BB">
      <w:pPr>
        <w:spacing w:after="0" w:line="20" w:lineRule="atLeast"/>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Как эти факторы влияют на цены в данной ситуации. Рассмотрим данные о средних ценах на различные типы квартир в Санкт-Петербурге и Владивостоке за апрель 2018 года, которые представлены в таблице 1 [2; 3].</w:t>
      </w:r>
    </w:p>
    <w:p w14:paraId="1A9B60E1" w14:textId="77777777" w:rsidR="004E48F7" w:rsidRPr="000474BB" w:rsidRDefault="004E48F7" w:rsidP="004E48F7">
      <w:pPr>
        <w:spacing w:line="20" w:lineRule="atLeast"/>
        <w:jc w:val="right"/>
        <w:rPr>
          <w:rFonts w:ascii="Times New Roman" w:hAnsi="Times New Roman" w:cs="Times New Roman"/>
          <w:i/>
          <w:iCs/>
          <w:sz w:val="24"/>
          <w:szCs w:val="24"/>
        </w:rPr>
      </w:pPr>
    </w:p>
    <w:p w14:paraId="3E190F5E" w14:textId="77777777" w:rsidR="000474BB" w:rsidRDefault="000474BB" w:rsidP="004E48F7">
      <w:pPr>
        <w:spacing w:line="20" w:lineRule="atLeast"/>
        <w:jc w:val="right"/>
        <w:rPr>
          <w:rFonts w:ascii="Times New Roman" w:hAnsi="Times New Roman" w:cs="Times New Roman"/>
          <w:i/>
          <w:iCs/>
          <w:sz w:val="24"/>
          <w:szCs w:val="24"/>
        </w:rPr>
      </w:pPr>
    </w:p>
    <w:p w14:paraId="0FB76C7C" w14:textId="77777777" w:rsidR="000474BB" w:rsidRDefault="000474BB" w:rsidP="004E48F7">
      <w:pPr>
        <w:spacing w:line="20" w:lineRule="atLeast"/>
        <w:jc w:val="right"/>
        <w:rPr>
          <w:rFonts w:ascii="Times New Roman" w:hAnsi="Times New Roman" w:cs="Times New Roman"/>
          <w:i/>
          <w:iCs/>
          <w:sz w:val="24"/>
          <w:szCs w:val="24"/>
        </w:rPr>
      </w:pPr>
    </w:p>
    <w:p w14:paraId="197781F5" w14:textId="77777777" w:rsidR="004E48F7" w:rsidRPr="000474BB" w:rsidRDefault="004E48F7" w:rsidP="004E48F7">
      <w:pPr>
        <w:spacing w:line="20" w:lineRule="atLeast"/>
        <w:jc w:val="right"/>
        <w:rPr>
          <w:rFonts w:ascii="Times New Roman" w:hAnsi="Times New Roman" w:cs="Times New Roman"/>
          <w:i/>
          <w:iCs/>
          <w:sz w:val="24"/>
          <w:szCs w:val="24"/>
        </w:rPr>
      </w:pPr>
      <w:r w:rsidRPr="000474BB">
        <w:rPr>
          <w:rFonts w:ascii="Times New Roman" w:hAnsi="Times New Roman" w:cs="Times New Roman"/>
          <w:i/>
          <w:iCs/>
          <w:sz w:val="24"/>
          <w:szCs w:val="24"/>
        </w:rPr>
        <w:lastRenderedPageBreak/>
        <w:t>Таблица 1</w:t>
      </w:r>
    </w:p>
    <w:p w14:paraId="67447185" w14:textId="77777777" w:rsidR="004E48F7" w:rsidRPr="000474BB" w:rsidRDefault="004E48F7" w:rsidP="004E48F7">
      <w:pPr>
        <w:spacing w:line="20" w:lineRule="atLeast"/>
        <w:jc w:val="center"/>
        <w:rPr>
          <w:rFonts w:ascii="Times New Roman" w:hAnsi="Times New Roman" w:cs="Times New Roman"/>
          <w:b/>
          <w:bCs/>
          <w:sz w:val="24"/>
          <w:szCs w:val="24"/>
        </w:rPr>
      </w:pPr>
      <w:r w:rsidRPr="000474BB">
        <w:rPr>
          <w:rFonts w:ascii="Times New Roman" w:hAnsi="Times New Roman" w:cs="Times New Roman"/>
          <w:b/>
          <w:bCs/>
          <w:sz w:val="24"/>
          <w:szCs w:val="24"/>
        </w:rPr>
        <w:t>Цена квартир в новостройках Санкт-Петербурга и Владивостока, апрель 2018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0"/>
        <w:gridCol w:w="1856"/>
        <w:gridCol w:w="1932"/>
        <w:gridCol w:w="1968"/>
        <w:gridCol w:w="2128"/>
      </w:tblGrid>
      <w:tr w:rsidR="004E48F7" w:rsidRPr="000474BB" w14:paraId="7787A00D" w14:textId="77777777" w:rsidTr="007E1183">
        <w:tc>
          <w:tcPr>
            <w:tcW w:w="1970" w:type="dxa"/>
          </w:tcPr>
          <w:p w14:paraId="6194F95D"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Город</w:t>
            </w:r>
          </w:p>
        </w:tc>
        <w:tc>
          <w:tcPr>
            <w:tcW w:w="3788" w:type="dxa"/>
            <w:gridSpan w:val="2"/>
          </w:tcPr>
          <w:p w14:paraId="6D7E3DED"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Санкт-Петербург</w:t>
            </w:r>
          </w:p>
        </w:tc>
        <w:tc>
          <w:tcPr>
            <w:tcW w:w="4096" w:type="dxa"/>
            <w:gridSpan w:val="2"/>
          </w:tcPr>
          <w:p w14:paraId="28C36856"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Владивосток</w:t>
            </w:r>
          </w:p>
        </w:tc>
      </w:tr>
      <w:tr w:rsidR="004E48F7" w:rsidRPr="000474BB" w14:paraId="5A956AD2" w14:textId="77777777" w:rsidTr="007E1183">
        <w:tc>
          <w:tcPr>
            <w:tcW w:w="1970" w:type="dxa"/>
          </w:tcPr>
          <w:p w14:paraId="12C626EE"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Тип квартиры</w:t>
            </w:r>
          </w:p>
        </w:tc>
        <w:tc>
          <w:tcPr>
            <w:tcW w:w="1856" w:type="dxa"/>
          </w:tcPr>
          <w:p w14:paraId="523D8D64"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Стоимость, руб</w:t>
            </w:r>
          </w:p>
        </w:tc>
        <w:tc>
          <w:tcPr>
            <w:tcW w:w="1932" w:type="dxa"/>
          </w:tcPr>
          <w:p w14:paraId="42AB6360" w14:textId="77777777" w:rsidR="004E48F7" w:rsidRPr="000474BB" w:rsidRDefault="004E48F7" w:rsidP="007E1183">
            <w:pPr>
              <w:spacing w:line="20" w:lineRule="atLeast"/>
              <w:jc w:val="both"/>
              <w:rPr>
                <w:rFonts w:ascii="Times New Roman" w:hAnsi="Times New Roman" w:cs="Times New Roman"/>
                <w:sz w:val="24"/>
                <w:szCs w:val="24"/>
                <w:vertAlign w:val="superscript"/>
              </w:rPr>
            </w:pPr>
            <w:r w:rsidRPr="000474BB">
              <w:rPr>
                <w:rFonts w:ascii="Times New Roman" w:hAnsi="Times New Roman" w:cs="Times New Roman"/>
                <w:sz w:val="24"/>
                <w:szCs w:val="24"/>
              </w:rPr>
              <w:t>Площадь, м</w:t>
            </w:r>
            <w:r w:rsidRPr="000474BB">
              <w:rPr>
                <w:rFonts w:ascii="Times New Roman" w:hAnsi="Times New Roman" w:cs="Times New Roman"/>
                <w:sz w:val="24"/>
                <w:szCs w:val="24"/>
                <w:vertAlign w:val="superscript"/>
              </w:rPr>
              <w:t>2</w:t>
            </w:r>
          </w:p>
        </w:tc>
        <w:tc>
          <w:tcPr>
            <w:tcW w:w="1968" w:type="dxa"/>
          </w:tcPr>
          <w:p w14:paraId="26F1827C"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Стоимость, руб</w:t>
            </w:r>
          </w:p>
        </w:tc>
        <w:tc>
          <w:tcPr>
            <w:tcW w:w="2128" w:type="dxa"/>
          </w:tcPr>
          <w:p w14:paraId="42C311CD" w14:textId="77777777" w:rsidR="004E48F7" w:rsidRPr="000474BB" w:rsidRDefault="004E48F7" w:rsidP="007E1183">
            <w:pPr>
              <w:spacing w:line="20" w:lineRule="atLeast"/>
              <w:jc w:val="both"/>
              <w:rPr>
                <w:rFonts w:ascii="Times New Roman" w:hAnsi="Times New Roman" w:cs="Times New Roman"/>
                <w:sz w:val="24"/>
                <w:szCs w:val="24"/>
                <w:vertAlign w:val="superscript"/>
              </w:rPr>
            </w:pPr>
            <w:r w:rsidRPr="000474BB">
              <w:rPr>
                <w:rFonts w:ascii="Times New Roman" w:hAnsi="Times New Roman" w:cs="Times New Roman"/>
                <w:sz w:val="24"/>
                <w:szCs w:val="24"/>
              </w:rPr>
              <w:t>Площадь, м</w:t>
            </w:r>
            <w:r w:rsidRPr="000474BB">
              <w:rPr>
                <w:rFonts w:ascii="Times New Roman" w:hAnsi="Times New Roman" w:cs="Times New Roman"/>
                <w:sz w:val="24"/>
                <w:szCs w:val="24"/>
                <w:vertAlign w:val="superscript"/>
              </w:rPr>
              <w:t>2</w:t>
            </w:r>
          </w:p>
        </w:tc>
      </w:tr>
      <w:tr w:rsidR="004E48F7" w:rsidRPr="000474BB" w14:paraId="7ED2E53B" w14:textId="77777777" w:rsidTr="007E1183">
        <w:tc>
          <w:tcPr>
            <w:tcW w:w="1970" w:type="dxa"/>
          </w:tcPr>
          <w:p w14:paraId="5F0E2976"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Однокомнатная</w:t>
            </w:r>
          </w:p>
        </w:tc>
        <w:tc>
          <w:tcPr>
            <w:tcW w:w="1856" w:type="dxa"/>
          </w:tcPr>
          <w:p w14:paraId="3E3FC471"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4 377 887</w:t>
            </w:r>
          </w:p>
        </w:tc>
        <w:tc>
          <w:tcPr>
            <w:tcW w:w="1932" w:type="dxa"/>
          </w:tcPr>
          <w:p w14:paraId="734DCF8F"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40.1</w:t>
            </w:r>
          </w:p>
        </w:tc>
        <w:tc>
          <w:tcPr>
            <w:tcW w:w="1968" w:type="dxa"/>
          </w:tcPr>
          <w:p w14:paraId="492F72A2"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3 802 804</w:t>
            </w:r>
          </w:p>
        </w:tc>
        <w:tc>
          <w:tcPr>
            <w:tcW w:w="2128" w:type="dxa"/>
          </w:tcPr>
          <w:p w14:paraId="293C7CF5"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42.6</w:t>
            </w:r>
          </w:p>
        </w:tc>
      </w:tr>
      <w:tr w:rsidR="004E48F7" w:rsidRPr="000474BB" w14:paraId="58173F67" w14:textId="77777777" w:rsidTr="007E1183">
        <w:trPr>
          <w:trHeight w:val="487"/>
        </w:trPr>
        <w:tc>
          <w:tcPr>
            <w:tcW w:w="1970" w:type="dxa"/>
          </w:tcPr>
          <w:p w14:paraId="51198881"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Двухкомнатная</w:t>
            </w:r>
          </w:p>
        </w:tc>
        <w:tc>
          <w:tcPr>
            <w:tcW w:w="1856" w:type="dxa"/>
          </w:tcPr>
          <w:p w14:paraId="178FB57E"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7 352 609</w:t>
            </w:r>
          </w:p>
        </w:tc>
        <w:tc>
          <w:tcPr>
            <w:tcW w:w="1932" w:type="dxa"/>
          </w:tcPr>
          <w:p w14:paraId="167C4BD9"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63.0</w:t>
            </w:r>
          </w:p>
        </w:tc>
        <w:tc>
          <w:tcPr>
            <w:tcW w:w="1968" w:type="dxa"/>
          </w:tcPr>
          <w:p w14:paraId="4441BE06"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5 343 938</w:t>
            </w:r>
          </w:p>
        </w:tc>
        <w:tc>
          <w:tcPr>
            <w:tcW w:w="2128" w:type="dxa"/>
          </w:tcPr>
          <w:p w14:paraId="6D23A8A2"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59.2</w:t>
            </w:r>
          </w:p>
        </w:tc>
      </w:tr>
      <w:tr w:rsidR="004E48F7" w:rsidRPr="000474BB" w14:paraId="0FDCD508" w14:textId="77777777" w:rsidTr="007E1183">
        <w:tc>
          <w:tcPr>
            <w:tcW w:w="1970" w:type="dxa"/>
          </w:tcPr>
          <w:p w14:paraId="0A19823E"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Трёхкомнатная</w:t>
            </w:r>
          </w:p>
        </w:tc>
        <w:tc>
          <w:tcPr>
            <w:tcW w:w="1856" w:type="dxa"/>
          </w:tcPr>
          <w:p w14:paraId="5794C1A0"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11 742 791</w:t>
            </w:r>
          </w:p>
        </w:tc>
        <w:tc>
          <w:tcPr>
            <w:tcW w:w="1932" w:type="dxa"/>
          </w:tcPr>
          <w:p w14:paraId="5E82DCBC"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91.8</w:t>
            </w:r>
          </w:p>
        </w:tc>
        <w:tc>
          <w:tcPr>
            <w:tcW w:w="1968" w:type="dxa"/>
          </w:tcPr>
          <w:p w14:paraId="4FC626E0"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6 779 751</w:t>
            </w:r>
          </w:p>
        </w:tc>
        <w:tc>
          <w:tcPr>
            <w:tcW w:w="2128" w:type="dxa"/>
          </w:tcPr>
          <w:p w14:paraId="67DC98B7"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84.9</w:t>
            </w:r>
          </w:p>
        </w:tc>
      </w:tr>
      <w:tr w:rsidR="004E48F7" w:rsidRPr="000474BB" w14:paraId="26D4CF1A" w14:textId="77777777" w:rsidTr="007E1183">
        <w:tc>
          <w:tcPr>
            <w:tcW w:w="1970" w:type="dxa"/>
          </w:tcPr>
          <w:p w14:paraId="36252CBF"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Многокомнатная</w:t>
            </w:r>
          </w:p>
        </w:tc>
        <w:tc>
          <w:tcPr>
            <w:tcW w:w="1856" w:type="dxa"/>
          </w:tcPr>
          <w:p w14:paraId="5710C1B5"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24 541 430</w:t>
            </w:r>
          </w:p>
        </w:tc>
        <w:tc>
          <w:tcPr>
            <w:tcW w:w="1932" w:type="dxa"/>
          </w:tcPr>
          <w:p w14:paraId="16358B94"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135.8</w:t>
            </w:r>
          </w:p>
        </w:tc>
        <w:tc>
          <w:tcPr>
            <w:tcW w:w="1968" w:type="dxa"/>
          </w:tcPr>
          <w:p w14:paraId="44A11C89"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14 108 000</w:t>
            </w:r>
          </w:p>
        </w:tc>
        <w:tc>
          <w:tcPr>
            <w:tcW w:w="2128" w:type="dxa"/>
          </w:tcPr>
          <w:p w14:paraId="6DB8B9E9"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140.6</w:t>
            </w:r>
          </w:p>
        </w:tc>
      </w:tr>
    </w:tbl>
    <w:p w14:paraId="41B43DA0" w14:textId="77777777" w:rsidR="004E48F7" w:rsidRPr="009715A6" w:rsidRDefault="004E48F7" w:rsidP="009715A6">
      <w:pPr>
        <w:spacing w:after="0" w:line="240" w:lineRule="auto"/>
        <w:ind w:firstLine="709"/>
        <w:jc w:val="both"/>
        <w:rPr>
          <w:rFonts w:ascii="Times New Roman" w:hAnsi="Times New Roman" w:cs="Times New Roman"/>
          <w:sz w:val="24"/>
          <w:szCs w:val="24"/>
        </w:rPr>
      </w:pPr>
      <w:r w:rsidRPr="000474BB">
        <w:rPr>
          <w:rFonts w:ascii="Times New Roman" w:hAnsi="Times New Roman" w:cs="Times New Roman"/>
          <w:sz w:val="24"/>
          <w:szCs w:val="24"/>
        </w:rPr>
        <w:t>В данной таблице приведены цены на квартиры различных типов в новостройках городов Санкт-Петербург и Владивосток. Как мы можем констатировать,  стоимость двухкомнатной квартиры в Санкт-Петербурге превышает стоимость аналогичной  квартиры  во Владивостоке примерно  на 2 миллиона рублей, трехкомнатной – практически на 5 миллионов рублей. В данном случае разницу можно объяснить различной площадью квартир. Но подобных рассуждений относительно однокомнатной и многокомнатной квартир мы привести не можем. Однокомнатная квартира в Санкт-Петербурге, меньшая по площади, чем однокомнатная квартира во Владивостоке стоит более чем на 500 000 тысяч рублей дороже. Подобная ситуация происходит и с многокомнатной квартирой. Мы видим, что во Владивостоке средняя площадь составляет 140,6 м2, в то время как в Санкт-Петербурге – 135,8 м2, при этом стоимость многокомнатной квартиры в Санкт-Петербурге более чем на 10 000 000 рублей превышает стоимость аналогичной во Владивостоке. Для более наглядного сравнения обратимся к таблице 2 «Средняя цена квартир в новостройках Санкт-Петербурга и Владивостока за 1 кв. метр, апрель 2018 г» [2; 3]</w:t>
      </w:r>
    </w:p>
    <w:p w14:paraId="00EE7A80" w14:textId="77777777" w:rsidR="004E48F7" w:rsidRPr="000474BB" w:rsidRDefault="004E48F7" w:rsidP="004E48F7">
      <w:pPr>
        <w:spacing w:after="0" w:line="20" w:lineRule="atLeast"/>
        <w:ind w:firstLineChars="125" w:firstLine="300"/>
        <w:jc w:val="right"/>
        <w:rPr>
          <w:rFonts w:ascii="Times New Roman" w:hAnsi="Times New Roman" w:cs="Times New Roman"/>
          <w:i/>
          <w:iCs/>
          <w:sz w:val="24"/>
          <w:szCs w:val="24"/>
        </w:rPr>
      </w:pPr>
    </w:p>
    <w:p w14:paraId="3D35A009" w14:textId="77777777" w:rsidR="004E48F7" w:rsidRPr="000474BB" w:rsidRDefault="004E48F7" w:rsidP="004E48F7">
      <w:pPr>
        <w:spacing w:after="0" w:line="20" w:lineRule="atLeast"/>
        <w:ind w:firstLineChars="125" w:firstLine="300"/>
        <w:jc w:val="right"/>
        <w:rPr>
          <w:rFonts w:ascii="Times New Roman" w:hAnsi="Times New Roman" w:cs="Times New Roman"/>
          <w:i/>
          <w:iCs/>
          <w:sz w:val="24"/>
          <w:szCs w:val="24"/>
        </w:rPr>
      </w:pPr>
      <w:r w:rsidRPr="000474BB">
        <w:rPr>
          <w:rFonts w:ascii="Times New Roman" w:hAnsi="Times New Roman" w:cs="Times New Roman"/>
          <w:i/>
          <w:iCs/>
          <w:sz w:val="24"/>
          <w:szCs w:val="24"/>
        </w:rPr>
        <w:t>Таблица 2</w:t>
      </w:r>
    </w:p>
    <w:p w14:paraId="0B415D0F" w14:textId="77777777" w:rsidR="004E48F7" w:rsidRPr="000474BB" w:rsidRDefault="004E48F7" w:rsidP="004E48F7">
      <w:pPr>
        <w:spacing w:line="20" w:lineRule="atLeast"/>
        <w:ind w:firstLine="567"/>
        <w:jc w:val="center"/>
        <w:rPr>
          <w:rFonts w:ascii="Times New Roman" w:hAnsi="Times New Roman" w:cs="Times New Roman"/>
          <w:b/>
          <w:bCs/>
          <w:sz w:val="24"/>
          <w:szCs w:val="24"/>
        </w:rPr>
      </w:pPr>
      <w:r w:rsidRPr="000474BB">
        <w:rPr>
          <w:rFonts w:ascii="Times New Roman" w:hAnsi="Times New Roman" w:cs="Times New Roman"/>
          <w:b/>
          <w:bCs/>
          <w:sz w:val="24"/>
          <w:szCs w:val="24"/>
        </w:rPr>
        <w:t>Средняя цена квартир в новостройках Санкт-Петербурга и Владивостока за 1 кв. метр, апрель 2018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4"/>
        <w:gridCol w:w="1914"/>
        <w:gridCol w:w="1914"/>
        <w:gridCol w:w="2021"/>
      </w:tblGrid>
      <w:tr w:rsidR="004E48F7" w:rsidRPr="000474BB" w14:paraId="058CD2BA" w14:textId="77777777" w:rsidTr="007E1183">
        <w:tc>
          <w:tcPr>
            <w:tcW w:w="1914" w:type="dxa"/>
          </w:tcPr>
          <w:p w14:paraId="1E8E47C2" w14:textId="77777777" w:rsidR="004E48F7" w:rsidRPr="000474BB" w:rsidRDefault="004E48F7" w:rsidP="007E1183">
            <w:pPr>
              <w:spacing w:line="20" w:lineRule="atLeast"/>
              <w:jc w:val="both"/>
              <w:rPr>
                <w:rFonts w:ascii="Times New Roman" w:hAnsi="Times New Roman" w:cs="Times New Roman"/>
                <w:sz w:val="24"/>
                <w:szCs w:val="24"/>
              </w:rPr>
            </w:pPr>
          </w:p>
        </w:tc>
        <w:tc>
          <w:tcPr>
            <w:tcW w:w="1914" w:type="dxa"/>
          </w:tcPr>
          <w:p w14:paraId="494B1B3A"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Однокомнатные квартиры</w:t>
            </w:r>
          </w:p>
        </w:tc>
        <w:tc>
          <w:tcPr>
            <w:tcW w:w="1914" w:type="dxa"/>
          </w:tcPr>
          <w:p w14:paraId="366BC2F8"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Двухкомнатные квартиры</w:t>
            </w:r>
          </w:p>
        </w:tc>
        <w:tc>
          <w:tcPr>
            <w:tcW w:w="1914" w:type="dxa"/>
          </w:tcPr>
          <w:p w14:paraId="3502F49D"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Трехкомнатные квартиры</w:t>
            </w:r>
          </w:p>
        </w:tc>
        <w:tc>
          <w:tcPr>
            <w:tcW w:w="2021" w:type="dxa"/>
          </w:tcPr>
          <w:p w14:paraId="222A388A"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Многокомнатные квартиры</w:t>
            </w:r>
          </w:p>
        </w:tc>
      </w:tr>
      <w:tr w:rsidR="004E48F7" w:rsidRPr="000474BB" w14:paraId="26413A23" w14:textId="77777777" w:rsidTr="007E1183">
        <w:tc>
          <w:tcPr>
            <w:tcW w:w="1914" w:type="dxa"/>
          </w:tcPr>
          <w:p w14:paraId="50F3D8FD"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Санкт-Петербург</w:t>
            </w:r>
          </w:p>
        </w:tc>
        <w:tc>
          <w:tcPr>
            <w:tcW w:w="1914" w:type="dxa"/>
          </w:tcPr>
          <w:p w14:paraId="69928DDA"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106 313 руб/м²</w:t>
            </w:r>
          </w:p>
        </w:tc>
        <w:tc>
          <w:tcPr>
            <w:tcW w:w="1914" w:type="dxa"/>
          </w:tcPr>
          <w:p w14:paraId="5673B834"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111 840 руб/м²</w:t>
            </w:r>
          </w:p>
        </w:tc>
        <w:tc>
          <w:tcPr>
            <w:tcW w:w="1914" w:type="dxa"/>
          </w:tcPr>
          <w:p w14:paraId="71651500"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121 001 руб/м²</w:t>
            </w:r>
          </w:p>
        </w:tc>
        <w:tc>
          <w:tcPr>
            <w:tcW w:w="2021" w:type="dxa"/>
          </w:tcPr>
          <w:p w14:paraId="24EE0EEB"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165 538 руб/м²</w:t>
            </w:r>
          </w:p>
        </w:tc>
      </w:tr>
      <w:tr w:rsidR="004E48F7" w:rsidRPr="000474BB" w14:paraId="798FBE41" w14:textId="77777777" w:rsidTr="007E1183">
        <w:tc>
          <w:tcPr>
            <w:tcW w:w="1914" w:type="dxa"/>
          </w:tcPr>
          <w:p w14:paraId="44CB70EE"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Владивосток</w:t>
            </w:r>
          </w:p>
        </w:tc>
        <w:tc>
          <w:tcPr>
            <w:tcW w:w="1914" w:type="dxa"/>
          </w:tcPr>
          <w:p w14:paraId="726E1D18"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89 535 руб/м²</w:t>
            </w:r>
          </w:p>
        </w:tc>
        <w:tc>
          <w:tcPr>
            <w:tcW w:w="1914" w:type="dxa"/>
          </w:tcPr>
          <w:p w14:paraId="3F900AF3"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90 292 руб/м²</w:t>
            </w:r>
          </w:p>
        </w:tc>
        <w:tc>
          <w:tcPr>
            <w:tcW w:w="1914" w:type="dxa"/>
          </w:tcPr>
          <w:p w14:paraId="08E2BDCA"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77 429 руб/м²</w:t>
            </w:r>
          </w:p>
        </w:tc>
        <w:tc>
          <w:tcPr>
            <w:tcW w:w="2021" w:type="dxa"/>
          </w:tcPr>
          <w:p w14:paraId="1B165041" w14:textId="77777777" w:rsidR="004E48F7" w:rsidRPr="000474BB" w:rsidRDefault="004E48F7" w:rsidP="007E1183">
            <w:pPr>
              <w:spacing w:line="20" w:lineRule="atLeast"/>
              <w:jc w:val="both"/>
              <w:rPr>
                <w:rFonts w:ascii="Times New Roman" w:hAnsi="Times New Roman" w:cs="Times New Roman"/>
                <w:sz w:val="24"/>
                <w:szCs w:val="24"/>
              </w:rPr>
            </w:pPr>
            <w:r w:rsidRPr="000474BB">
              <w:rPr>
                <w:rFonts w:ascii="Times New Roman" w:hAnsi="Times New Roman" w:cs="Times New Roman"/>
                <w:sz w:val="24"/>
                <w:szCs w:val="24"/>
              </w:rPr>
              <w:t>96 999 руб/м²</w:t>
            </w:r>
          </w:p>
        </w:tc>
      </w:tr>
    </w:tbl>
    <w:p w14:paraId="1EFBDFE4" w14:textId="77777777" w:rsidR="004E48F7" w:rsidRPr="000474BB" w:rsidRDefault="004E48F7" w:rsidP="009715A6">
      <w:pPr>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Исходя из приведенных данных, мы видим, что цены за квадратный метр по каждому типу квартиры в Санкт-Петербурге превышают цены за квадратный метр квартир во Владивостоке. Здесь к анализу подключаются факторы из классификации. </w:t>
      </w:r>
    </w:p>
    <w:p w14:paraId="17D2F6F7" w14:textId="77777777" w:rsidR="004E48F7" w:rsidRPr="000474BB" w:rsidRDefault="004E48F7" w:rsidP="009715A6">
      <w:pPr>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Количество населения в Санкт-Петербурге составляет порядка 5,2 человек, в то время как во Владивостоке 606,5 человек. Большое количество людей переезжает в Санкт-Петербург, исходя из соображений, жить ближе к центру страны, где сосредоточено её основное течение жизни. Всем этим людям необходимо жильё, спрос на него неэластичен, то есть у застройщиков есть возможность поднять цену и получить большую прибыль. Чего не скажешь о городе Владивосток, где иммиграционный  поток гораздо ниже, а множество людей наоборот переезжает в центральные регионы страны. </w:t>
      </w:r>
    </w:p>
    <w:p w14:paraId="136E5F8F" w14:textId="77777777" w:rsidR="004E48F7" w:rsidRPr="000474BB" w:rsidRDefault="004E48F7" w:rsidP="009715A6">
      <w:pPr>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Средние цены на продукты питания, товары повседневного спроса, транспорт и коммунальные услуги во Владивостоке на 16% превышают цены на те же товары в Санкт-</w:t>
      </w:r>
      <w:r w:rsidRPr="000474BB">
        <w:rPr>
          <w:rFonts w:ascii="Times New Roman" w:hAnsi="Times New Roman" w:cs="Times New Roman"/>
          <w:sz w:val="24"/>
          <w:szCs w:val="24"/>
        </w:rPr>
        <w:lastRenderedPageBreak/>
        <w:t>Петербурге. Кафе и рестораны в городе Санкт-Петербург на 21 % дешевле, чем в городе Владивосток. Казалось бы, чем это может повлиять на цены жилья на первичном рынке. Влияет это тем, что уровень комфорта жизни в Санкт-Петербурге в плане повседневных затрат является более высоким, а для того, чтобы жить в том месте, где условия лучше, необходимо вложить определенные средства.</w:t>
      </w:r>
    </w:p>
    <w:p w14:paraId="3BBBFD0F" w14:textId="77777777" w:rsidR="004E48F7" w:rsidRPr="000474BB" w:rsidRDefault="004E48F7" w:rsidP="009715A6">
      <w:pPr>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 xml:space="preserve">Физическим фактором различия цен может являться рельеф. Рельеф в этих двух городах различен. Город Владивосток расположен на гористой местности, где многие дома располагаются возвышенностях и склонах. Здесь стоимость жилья могут снизить такие факторы, как затененность, неудобная близость окон некоторых помещений относительно склона. В то время как в Санкт-Петербурге подобной проблемы не существует. Остальные физические факторы не несут особого влияния на ценообразование в данном случае, так как климат, экология, степень сейсмической опасности не отличаются в такой мере, чтобы они вызвали какое-то влияние на стоимость жилья.  </w:t>
      </w:r>
    </w:p>
    <w:p w14:paraId="59824BAA" w14:textId="77777777" w:rsidR="004E48F7" w:rsidRPr="000474BB" w:rsidRDefault="004E48F7" w:rsidP="009715A6">
      <w:pPr>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Санкт-Петербург – это северная столица России, один из крупнейших городов Европы,  один из мировых культурно-исторических  центров, со множеством объектов культуры, мировой и отечественной истории. Стабильно развивающаяся экономика города создаёт огромное поле для предпринимательской деятельности. Кроме того Санкт-Петербург  тесно связан с Европейскими странами экономически и по сути является «окном в Европу». Город живёт активной культурной, социально-экономической жизнью, динамично развивается, что, безусловно, оказывает влияние на ценообразование на первичном рынке жилья. И пока есть спрос на жильё, спада цен на первичное жильё не предвидится. Более того, возможен плавный их подъём.</w:t>
      </w:r>
    </w:p>
    <w:p w14:paraId="416309D1" w14:textId="77777777" w:rsidR="004E48F7" w:rsidRPr="000474BB" w:rsidRDefault="004E48F7" w:rsidP="009715A6">
      <w:pPr>
        <w:spacing w:after="0" w:line="240" w:lineRule="auto"/>
        <w:ind w:firstLineChars="295" w:firstLine="708"/>
        <w:jc w:val="both"/>
        <w:rPr>
          <w:rFonts w:ascii="Times New Roman" w:hAnsi="Times New Roman" w:cs="Times New Roman"/>
          <w:sz w:val="24"/>
          <w:szCs w:val="24"/>
        </w:rPr>
      </w:pPr>
      <w:r w:rsidRPr="000474BB">
        <w:rPr>
          <w:rFonts w:ascii="Times New Roman" w:hAnsi="Times New Roman" w:cs="Times New Roman"/>
          <w:sz w:val="24"/>
          <w:szCs w:val="24"/>
        </w:rPr>
        <w:t>Владивосток - это восточные ворота в Азию, город-порт, форпост России на Дальнем Востоке. Город исторически имеет тесные контакты и связи со многими странами Азии. В результате подготовки к Саммиту 2012 года, Владивосток получил мощный экономический импульс в своём развитии. С введением в эксплуатацию мостов через бухту «Золотой рог» и на остров Русский, нового современного терминала  международного аэропорта, новых дорог и развязок, улучшилась коммуникационная ситуация в городе. Со строительством новых корпусов Дальневосточного Федерального университета, оперного театра, с вводом в эксплуатацию спортивного комплекса «Фетисов-Арена», в корне изменилась культурно-научно-спортивная обстановка города. Владивосток, будучи морским портом, имея железнодорожные пути, автодороги, современный аэропорт, безусловно имеет огромный потенциал для дальнейшего всестороннего развития. С каждым годом он становится привлекательней для жителей Дальнего востока и Сибири. Таким образом, спрос на жильё во Владивостоке не падает, что, безусловно, приведет к дальнейшему росту цен рынке недвижимости города.</w:t>
      </w:r>
    </w:p>
    <w:p w14:paraId="52E12EC1" w14:textId="77777777" w:rsidR="004E48F7" w:rsidRPr="000474BB" w:rsidRDefault="004E48F7" w:rsidP="009715A6">
      <w:pPr>
        <w:spacing w:after="0" w:line="240" w:lineRule="auto"/>
        <w:ind w:firstLineChars="295" w:firstLine="711"/>
        <w:jc w:val="both"/>
        <w:rPr>
          <w:rFonts w:ascii="Times New Roman" w:hAnsi="Times New Roman" w:cs="Times New Roman"/>
          <w:b/>
          <w:bCs/>
          <w:sz w:val="24"/>
          <w:szCs w:val="24"/>
        </w:rPr>
      </w:pPr>
    </w:p>
    <w:p w14:paraId="6A2BC471" w14:textId="77777777" w:rsidR="004E48F7" w:rsidRPr="000474BB" w:rsidRDefault="007014C7" w:rsidP="009715A6">
      <w:pPr>
        <w:spacing w:after="0" w:line="240" w:lineRule="auto"/>
        <w:ind w:firstLineChars="295" w:firstLine="708"/>
        <w:jc w:val="both"/>
        <w:rPr>
          <w:rFonts w:ascii="Times New Roman" w:hAnsi="Times New Roman" w:cs="Times New Roman"/>
          <w:b/>
          <w:bCs/>
          <w:sz w:val="24"/>
          <w:szCs w:val="24"/>
        </w:rPr>
      </w:pPr>
      <w:r>
        <w:rPr>
          <w:rFonts w:ascii="Times New Roman" w:hAnsi="Times New Roman" w:cs="Times New Roman"/>
          <w:noProof/>
          <w:sz w:val="24"/>
          <w:szCs w:val="24"/>
          <w:lang w:eastAsia="ru-RU"/>
        </w:rPr>
        <w:pict w14:anchorId="7A9C7DF1">
          <v:shape id="_x0000_s1189" type="#_x0000_t32" style="position:absolute;left:0;text-align:left;margin-left:-34.95pt;margin-top:-.6pt;width:552.75pt;height:0;z-index:251734016" o:connectortype="straight"/>
        </w:pict>
      </w:r>
    </w:p>
    <w:p w14:paraId="64FB4AA8" w14:textId="77777777" w:rsidR="004E48F7" w:rsidRPr="000474BB" w:rsidRDefault="004E48F7" w:rsidP="009715A6">
      <w:pPr>
        <w:numPr>
          <w:ilvl w:val="0"/>
          <w:numId w:val="84"/>
        </w:numPr>
        <w:spacing w:after="0" w:line="20" w:lineRule="atLeast"/>
        <w:ind w:left="0" w:firstLine="709"/>
        <w:jc w:val="both"/>
        <w:rPr>
          <w:rFonts w:ascii="Times New Roman" w:hAnsi="Times New Roman" w:cs="Times New Roman"/>
          <w:sz w:val="24"/>
          <w:szCs w:val="24"/>
        </w:rPr>
      </w:pPr>
      <w:r w:rsidRPr="000474BB">
        <w:rPr>
          <w:rFonts w:ascii="Times New Roman" w:hAnsi="Times New Roman" w:cs="Times New Roman"/>
          <w:sz w:val="24"/>
          <w:szCs w:val="24"/>
        </w:rPr>
        <w:t xml:space="preserve">Гаврилов Н. А. Анализ факторов, влияющих на стоимость жилой недвижимости / Н. А. Гаврилов // Вологдинские чтения - 2009. </w:t>
      </w:r>
    </w:p>
    <w:p w14:paraId="0FAFF9E1" w14:textId="77777777" w:rsidR="004E48F7" w:rsidRPr="000474BB" w:rsidRDefault="004E48F7" w:rsidP="009715A6">
      <w:pPr>
        <w:numPr>
          <w:ilvl w:val="0"/>
          <w:numId w:val="84"/>
        </w:numPr>
        <w:spacing w:after="0" w:line="20" w:lineRule="atLeast"/>
        <w:ind w:left="0" w:firstLine="709"/>
        <w:jc w:val="both"/>
        <w:rPr>
          <w:rFonts w:ascii="Times New Roman" w:hAnsi="Times New Roman" w:cs="Times New Roman"/>
          <w:sz w:val="24"/>
          <w:szCs w:val="24"/>
        </w:rPr>
      </w:pPr>
      <w:r w:rsidRPr="000474BB">
        <w:rPr>
          <w:rFonts w:ascii="Times New Roman" w:hAnsi="Times New Roman" w:cs="Times New Roman"/>
          <w:sz w:val="24"/>
          <w:szCs w:val="24"/>
        </w:rPr>
        <w:t>Анализ рынка недвижимости в городе Владивосток, Приморский край [Электронный ресурс] Дата обновления: 05.04.2018. - Режим доступа: http://www.rlt24.com/primary/vladivostok.</w:t>
      </w:r>
    </w:p>
    <w:p w14:paraId="5CF10561" w14:textId="77777777" w:rsidR="004E48F7" w:rsidRPr="000474BB" w:rsidRDefault="004E48F7" w:rsidP="009715A6">
      <w:pPr>
        <w:numPr>
          <w:ilvl w:val="0"/>
          <w:numId w:val="84"/>
        </w:numPr>
        <w:spacing w:after="0" w:line="20" w:lineRule="atLeast"/>
        <w:ind w:left="0" w:firstLine="709"/>
        <w:jc w:val="both"/>
        <w:rPr>
          <w:rFonts w:ascii="Times New Roman" w:hAnsi="Times New Roman" w:cs="Times New Roman"/>
          <w:sz w:val="24"/>
          <w:szCs w:val="24"/>
        </w:rPr>
      </w:pPr>
      <w:r w:rsidRPr="000474BB">
        <w:rPr>
          <w:rFonts w:ascii="Times New Roman" w:hAnsi="Times New Roman" w:cs="Times New Roman"/>
          <w:sz w:val="24"/>
          <w:szCs w:val="24"/>
        </w:rPr>
        <w:t xml:space="preserve">Анализ рынка недвижимости в городе Санкт-Петербург [Электронный ресурс] Дата обновления: 05.04.2018. - Режим доступа: http://www.rlt24.com/primary/saint_petersburg/main. </w:t>
      </w:r>
    </w:p>
    <w:p w14:paraId="4DCC6F47" w14:textId="77777777" w:rsidR="004E48F7" w:rsidRPr="000474BB" w:rsidRDefault="004E48F7" w:rsidP="004E48F7">
      <w:pPr>
        <w:spacing w:after="0" w:line="20" w:lineRule="atLeast"/>
        <w:ind w:left="300"/>
        <w:jc w:val="both"/>
        <w:rPr>
          <w:rFonts w:ascii="Times New Roman" w:hAnsi="Times New Roman" w:cs="Times New Roman"/>
          <w:sz w:val="24"/>
          <w:szCs w:val="24"/>
        </w:rPr>
      </w:pPr>
    </w:p>
    <w:p w14:paraId="1B5E47D9" w14:textId="77777777" w:rsidR="004E48F7" w:rsidRDefault="004E48F7" w:rsidP="00234480">
      <w:pPr>
        <w:spacing w:after="0" w:line="240" w:lineRule="auto"/>
        <w:rPr>
          <w:rFonts w:ascii="Times New Roman" w:hAnsi="Times New Roman"/>
          <w:b/>
          <w:sz w:val="20"/>
          <w:szCs w:val="24"/>
        </w:rPr>
      </w:pPr>
    </w:p>
    <w:p w14:paraId="25D6C40E" w14:textId="77777777" w:rsidR="004E48F7" w:rsidRDefault="004E48F7" w:rsidP="00234480">
      <w:pPr>
        <w:spacing w:after="0" w:line="240" w:lineRule="auto"/>
        <w:rPr>
          <w:rFonts w:ascii="Times New Roman" w:hAnsi="Times New Roman"/>
          <w:b/>
          <w:sz w:val="20"/>
          <w:szCs w:val="24"/>
        </w:rPr>
      </w:pPr>
    </w:p>
    <w:p w14:paraId="18E7D592" w14:textId="77777777" w:rsidR="009715A6" w:rsidRDefault="009715A6" w:rsidP="00234480">
      <w:pPr>
        <w:spacing w:after="0" w:line="240" w:lineRule="auto"/>
        <w:rPr>
          <w:rFonts w:ascii="Times New Roman" w:hAnsi="Times New Roman"/>
          <w:b/>
          <w:sz w:val="20"/>
          <w:szCs w:val="24"/>
        </w:rPr>
      </w:pPr>
    </w:p>
    <w:p w14:paraId="4CC8AA0D" w14:textId="77777777" w:rsidR="009715A6" w:rsidRDefault="009715A6" w:rsidP="00234480">
      <w:pPr>
        <w:spacing w:after="0" w:line="240" w:lineRule="auto"/>
        <w:rPr>
          <w:rFonts w:ascii="Times New Roman" w:hAnsi="Times New Roman"/>
          <w:b/>
          <w:sz w:val="20"/>
          <w:szCs w:val="24"/>
        </w:rPr>
      </w:pPr>
    </w:p>
    <w:p w14:paraId="0387D0D6" w14:textId="77777777" w:rsidR="009715A6" w:rsidRDefault="009715A6" w:rsidP="00234480">
      <w:pPr>
        <w:spacing w:after="0" w:line="240" w:lineRule="auto"/>
        <w:rPr>
          <w:rFonts w:ascii="Times New Roman" w:hAnsi="Times New Roman"/>
          <w:b/>
          <w:sz w:val="20"/>
          <w:szCs w:val="24"/>
        </w:rPr>
      </w:pPr>
    </w:p>
    <w:p w14:paraId="565BFF5B" w14:textId="77777777" w:rsidR="00100B26" w:rsidRDefault="00100B26" w:rsidP="00234480">
      <w:pPr>
        <w:spacing w:after="0" w:line="240" w:lineRule="auto"/>
        <w:rPr>
          <w:rFonts w:ascii="Times New Roman" w:hAnsi="Times New Roman" w:cs="Times New Roman"/>
          <w:b/>
          <w:sz w:val="24"/>
          <w:szCs w:val="24"/>
        </w:rPr>
      </w:pPr>
    </w:p>
    <w:p w14:paraId="5EE45FFF" w14:textId="77777777" w:rsidR="006A10F6" w:rsidRPr="009715A6" w:rsidRDefault="006A10F6" w:rsidP="00234480">
      <w:pPr>
        <w:spacing w:after="0" w:line="240" w:lineRule="auto"/>
        <w:rPr>
          <w:rFonts w:ascii="Times New Roman" w:hAnsi="Times New Roman" w:cs="Times New Roman"/>
          <w:b/>
          <w:sz w:val="24"/>
          <w:szCs w:val="24"/>
        </w:rPr>
      </w:pPr>
      <w:r w:rsidRPr="009715A6">
        <w:rPr>
          <w:rFonts w:ascii="Times New Roman" w:hAnsi="Times New Roman" w:cs="Times New Roman"/>
          <w:b/>
          <w:sz w:val="24"/>
          <w:szCs w:val="24"/>
        </w:rPr>
        <w:lastRenderedPageBreak/>
        <w:t>Рубрика: проблемы динамичного развития экономики и финансов в современном мире</w:t>
      </w:r>
    </w:p>
    <w:p w14:paraId="34CDD9EB" w14:textId="77777777" w:rsidR="006A10F6" w:rsidRPr="009715A6" w:rsidRDefault="006A10F6" w:rsidP="006A10F6">
      <w:pPr>
        <w:spacing w:after="0" w:line="240" w:lineRule="auto"/>
        <w:ind w:firstLine="709"/>
        <w:rPr>
          <w:rFonts w:ascii="Times New Roman" w:hAnsi="Times New Roman" w:cs="Times New Roman"/>
          <w:sz w:val="24"/>
          <w:szCs w:val="24"/>
        </w:rPr>
      </w:pPr>
    </w:p>
    <w:p w14:paraId="5AA53A81" w14:textId="77777777" w:rsidR="006A10F6" w:rsidRPr="009715A6" w:rsidRDefault="006A10F6" w:rsidP="00234480">
      <w:pPr>
        <w:spacing w:after="0" w:line="240" w:lineRule="auto"/>
        <w:rPr>
          <w:rFonts w:ascii="Times New Roman" w:hAnsi="Times New Roman" w:cs="Times New Roman"/>
          <w:sz w:val="24"/>
          <w:szCs w:val="24"/>
        </w:rPr>
      </w:pPr>
      <w:r w:rsidRPr="009715A6">
        <w:rPr>
          <w:rFonts w:ascii="Times New Roman" w:hAnsi="Times New Roman" w:cs="Times New Roman"/>
          <w:sz w:val="24"/>
          <w:szCs w:val="24"/>
        </w:rPr>
        <w:t>УДК 336.025</w:t>
      </w:r>
      <w:r w:rsidRPr="009715A6">
        <w:rPr>
          <w:rFonts w:ascii="Times New Roman" w:hAnsi="Times New Roman" w:cs="Times New Roman"/>
          <w:sz w:val="24"/>
          <w:szCs w:val="24"/>
          <w:lang w:eastAsia="ru-RU"/>
        </w:rPr>
        <w:t xml:space="preserve">  </w:t>
      </w:r>
    </w:p>
    <w:p w14:paraId="498AF0D8" w14:textId="77777777" w:rsidR="006A10F6" w:rsidRPr="009715A6" w:rsidRDefault="006A10F6" w:rsidP="006A10F6">
      <w:pPr>
        <w:spacing w:after="0" w:line="240" w:lineRule="auto"/>
        <w:ind w:firstLine="709"/>
        <w:rPr>
          <w:rFonts w:ascii="Times New Roman" w:hAnsi="Times New Roman" w:cs="Times New Roman"/>
          <w:sz w:val="24"/>
          <w:szCs w:val="24"/>
        </w:rPr>
      </w:pPr>
    </w:p>
    <w:p w14:paraId="67AC4A44" w14:textId="77777777" w:rsidR="006A10F6" w:rsidRPr="009715A6" w:rsidRDefault="00234480" w:rsidP="006A10F6">
      <w:pPr>
        <w:spacing w:after="0" w:line="240" w:lineRule="auto"/>
        <w:ind w:firstLine="709"/>
        <w:jc w:val="center"/>
        <w:rPr>
          <w:rFonts w:ascii="Times New Roman" w:hAnsi="Times New Roman" w:cs="Times New Roman"/>
          <w:b/>
          <w:sz w:val="24"/>
          <w:szCs w:val="24"/>
        </w:rPr>
      </w:pPr>
      <w:r w:rsidRPr="009715A6">
        <w:rPr>
          <w:rFonts w:ascii="Times New Roman" w:hAnsi="Times New Roman" w:cs="Times New Roman"/>
          <w:b/>
          <w:sz w:val="24"/>
          <w:szCs w:val="24"/>
        </w:rPr>
        <w:t xml:space="preserve">ФИНАНСОВЫЙ КОНТРОЛЬ КАК ЭЛЕМЕНТ ФИНАНСОВОЙ РАБОТЫ </w:t>
      </w:r>
    </w:p>
    <w:p w14:paraId="263F3B9E" w14:textId="77777777" w:rsidR="006A10F6" w:rsidRPr="009715A6" w:rsidRDefault="006A10F6" w:rsidP="006A10F6">
      <w:pPr>
        <w:spacing w:after="0" w:line="240" w:lineRule="auto"/>
        <w:ind w:firstLine="709"/>
        <w:jc w:val="center"/>
        <w:rPr>
          <w:rFonts w:ascii="Times New Roman" w:hAnsi="Times New Roman" w:cs="Times New Roman"/>
          <w:sz w:val="24"/>
          <w:szCs w:val="24"/>
        </w:rPr>
      </w:pPr>
    </w:p>
    <w:p w14:paraId="65B725C1" w14:textId="77777777" w:rsidR="006A10F6" w:rsidRPr="009715A6" w:rsidRDefault="006A10F6" w:rsidP="006A10F6">
      <w:pPr>
        <w:spacing w:after="0" w:line="240" w:lineRule="auto"/>
        <w:ind w:firstLine="709"/>
        <w:jc w:val="center"/>
        <w:rPr>
          <w:rFonts w:ascii="Times New Roman" w:hAnsi="Times New Roman" w:cs="Times New Roman"/>
          <w:b/>
          <w:sz w:val="24"/>
          <w:szCs w:val="24"/>
        </w:rPr>
      </w:pPr>
      <w:r w:rsidRPr="009715A6">
        <w:rPr>
          <w:rFonts w:ascii="Times New Roman" w:hAnsi="Times New Roman" w:cs="Times New Roman"/>
          <w:b/>
          <w:sz w:val="24"/>
          <w:szCs w:val="24"/>
        </w:rPr>
        <w:t>Гайдаш Мария Александровна,</w:t>
      </w:r>
    </w:p>
    <w:p w14:paraId="07047E61" w14:textId="77777777" w:rsidR="006A10F6" w:rsidRPr="009715A6" w:rsidRDefault="006A10F6" w:rsidP="006A10F6">
      <w:pPr>
        <w:spacing w:after="0"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rPr>
        <w:t>бакалавр 3 курса направление «Экономика»,</w:t>
      </w:r>
    </w:p>
    <w:p w14:paraId="16E5E008" w14:textId="77777777" w:rsidR="00234480" w:rsidRPr="009715A6" w:rsidRDefault="00234480" w:rsidP="006A10F6">
      <w:pPr>
        <w:spacing w:after="0" w:line="240" w:lineRule="auto"/>
        <w:ind w:firstLine="709"/>
        <w:jc w:val="center"/>
        <w:rPr>
          <w:rFonts w:ascii="Times New Roman" w:hAnsi="Times New Roman" w:cs="Times New Roman"/>
          <w:i/>
          <w:sz w:val="24"/>
          <w:szCs w:val="24"/>
        </w:rPr>
      </w:pPr>
    </w:p>
    <w:p w14:paraId="40CEDC3E" w14:textId="77777777" w:rsidR="006A10F6" w:rsidRPr="009715A6" w:rsidRDefault="006A10F6" w:rsidP="006A10F6">
      <w:pPr>
        <w:spacing w:after="0" w:line="240" w:lineRule="auto"/>
        <w:ind w:firstLine="709"/>
        <w:jc w:val="center"/>
        <w:rPr>
          <w:rFonts w:ascii="Times New Roman" w:hAnsi="Times New Roman" w:cs="Times New Roman"/>
          <w:i/>
          <w:sz w:val="24"/>
          <w:szCs w:val="24"/>
        </w:rPr>
      </w:pPr>
      <w:r w:rsidRPr="009715A6">
        <w:rPr>
          <w:rFonts w:ascii="Times New Roman" w:hAnsi="Times New Roman" w:cs="Times New Roman"/>
          <w:i/>
          <w:sz w:val="24"/>
          <w:szCs w:val="24"/>
        </w:rPr>
        <w:t xml:space="preserve">Владивостокский государственный университет экономики и сервиса </w:t>
      </w:r>
    </w:p>
    <w:p w14:paraId="0D0B7D34" w14:textId="77777777" w:rsidR="006A10F6" w:rsidRPr="009715A6" w:rsidRDefault="006A10F6" w:rsidP="006A10F6">
      <w:pPr>
        <w:spacing w:after="0" w:line="240" w:lineRule="auto"/>
        <w:ind w:firstLine="709"/>
        <w:jc w:val="center"/>
        <w:rPr>
          <w:rFonts w:ascii="Times New Roman" w:hAnsi="Times New Roman" w:cs="Times New Roman"/>
          <w:i/>
          <w:sz w:val="24"/>
          <w:szCs w:val="24"/>
        </w:rPr>
      </w:pPr>
      <w:r w:rsidRPr="009715A6">
        <w:rPr>
          <w:rFonts w:ascii="Times New Roman" w:hAnsi="Times New Roman" w:cs="Times New Roman"/>
          <w:i/>
          <w:sz w:val="24"/>
          <w:szCs w:val="24"/>
        </w:rPr>
        <w:t xml:space="preserve">Россия. Владивосток </w:t>
      </w:r>
    </w:p>
    <w:p w14:paraId="40D2860B" w14:textId="77777777" w:rsidR="00234480" w:rsidRPr="009715A6" w:rsidRDefault="00234480" w:rsidP="006A10F6">
      <w:pPr>
        <w:spacing w:after="0" w:line="240" w:lineRule="auto"/>
        <w:ind w:firstLine="709"/>
        <w:jc w:val="center"/>
        <w:rPr>
          <w:rFonts w:ascii="Times New Roman" w:hAnsi="Times New Roman" w:cs="Times New Roman"/>
          <w:sz w:val="24"/>
          <w:szCs w:val="24"/>
        </w:rPr>
      </w:pPr>
    </w:p>
    <w:p w14:paraId="24F16CEA" w14:textId="77777777" w:rsidR="006A10F6" w:rsidRPr="007E1000" w:rsidRDefault="006A10F6" w:rsidP="006A10F6">
      <w:pPr>
        <w:spacing w:after="0"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lang w:val="en-US"/>
        </w:rPr>
        <w:t>E</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9715A6">
        <w:rPr>
          <w:rFonts w:ascii="Times New Roman" w:hAnsi="Times New Roman" w:cs="Times New Roman"/>
          <w:sz w:val="24"/>
          <w:szCs w:val="24"/>
          <w:lang w:val="en-US"/>
        </w:rPr>
        <w:t>Mariya</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Gaydash</w:t>
      </w:r>
      <w:r w:rsidRPr="007E1000">
        <w:rPr>
          <w:rFonts w:ascii="Times New Roman" w:hAnsi="Times New Roman" w:cs="Times New Roman"/>
          <w:sz w:val="24"/>
          <w:szCs w:val="24"/>
        </w:rPr>
        <w:t>97@</w:t>
      </w:r>
      <w:r w:rsidRPr="009715A6">
        <w:rPr>
          <w:rFonts w:ascii="Times New Roman" w:hAnsi="Times New Roman" w:cs="Times New Roman"/>
          <w:sz w:val="24"/>
          <w:szCs w:val="24"/>
          <w:lang w:val="en-US"/>
        </w:rPr>
        <w:t>vvsu</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ru</w:t>
      </w:r>
      <w:r w:rsidRPr="007E1000">
        <w:rPr>
          <w:rFonts w:ascii="Times New Roman" w:hAnsi="Times New Roman" w:cs="Times New Roman"/>
          <w:sz w:val="24"/>
          <w:szCs w:val="24"/>
        </w:rPr>
        <w:t xml:space="preserve">; </w:t>
      </w:r>
      <w:r w:rsidRPr="009715A6">
        <w:rPr>
          <w:rFonts w:ascii="Times New Roman" w:hAnsi="Times New Roman" w:cs="Times New Roman"/>
          <w:sz w:val="24"/>
          <w:szCs w:val="24"/>
        </w:rPr>
        <w:t>тел</w:t>
      </w:r>
      <w:r w:rsidRPr="007E1000">
        <w:rPr>
          <w:rFonts w:ascii="Times New Roman" w:hAnsi="Times New Roman" w:cs="Times New Roman"/>
          <w:sz w:val="24"/>
          <w:szCs w:val="24"/>
        </w:rPr>
        <w:t>.: +79841455167</w:t>
      </w:r>
    </w:p>
    <w:p w14:paraId="2AB59961" w14:textId="77777777" w:rsidR="006A10F6" w:rsidRPr="009715A6" w:rsidRDefault="006A10F6" w:rsidP="006A10F6">
      <w:pPr>
        <w:spacing w:after="0"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rPr>
        <w:t>ул. Чапаева, 5, г. Владивосток, Приморский край, Россия, 690000</w:t>
      </w:r>
    </w:p>
    <w:p w14:paraId="42050CB3" w14:textId="77777777" w:rsidR="00234480" w:rsidRPr="009715A6" w:rsidRDefault="00234480" w:rsidP="006A10F6">
      <w:pPr>
        <w:spacing w:after="0" w:line="240" w:lineRule="auto"/>
        <w:ind w:firstLine="709"/>
        <w:jc w:val="center"/>
        <w:rPr>
          <w:rFonts w:ascii="Times New Roman" w:hAnsi="Times New Roman" w:cs="Times New Roman"/>
          <w:sz w:val="24"/>
          <w:szCs w:val="24"/>
        </w:rPr>
      </w:pPr>
    </w:p>
    <w:p w14:paraId="10B7BE35" w14:textId="77777777" w:rsidR="006A10F6" w:rsidRPr="009715A6" w:rsidRDefault="006A10F6" w:rsidP="006A10F6">
      <w:pPr>
        <w:spacing w:after="0" w:line="240" w:lineRule="auto"/>
        <w:ind w:firstLine="709"/>
        <w:jc w:val="center"/>
        <w:rPr>
          <w:rFonts w:ascii="Times New Roman" w:hAnsi="Times New Roman" w:cs="Times New Roman"/>
          <w:b/>
          <w:sz w:val="24"/>
          <w:szCs w:val="24"/>
        </w:rPr>
      </w:pPr>
      <w:r w:rsidRPr="009715A6">
        <w:rPr>
          <w:rFonts w:ascii="Times New Roman" w:hAnsi="Times New Roman" w:cs="Times New Roman"/>
          <w:b/>
          <w:sz w:val="24"/>
          <w:szCs w:val="24"/>
        </w:rPr>
        <w:t>Шелушкина Виктория Кирилловна,</w:t>
      </w:r>
    </w:p>
    <w:p w14:paraId="25367B45" w14:textId="77777777" w:rsidR="006A10F6" w:rsidRPr="009715A6" w:rsidRDefault="006A10F6" w:rsidP="006A10F6">
      <w:pPr>
        <w:spacing w:after="0"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rPr>
        <w:t>бакалавр 3 курса направление «Экономика»,</w:t>
      </w:r>
    </w:p>
    <w:p w14:paraId="130CC4CD" w14:textId="77777777" w:rsidR="00234480" w:rsidRPr="009715A6" w:rsidRDefault="00234480" w:rsidP="006A10F6">
      <w:pPr>
        <w:spacing w:after="0" w:line="240" w:lineRule="auto"/>
        <w:ind w:firstLine="709"/>
        <w:jc w:val="center"/>
        <w:rPr>
          <w:rFonts w:ascii="Times New Roman" w:hAnsi="Times New Roman" w:cs="Times New Roman"/>
          <w:i/>
          <w:sz w:val="24"/>
          <w:szCs w:val="24"/>
        </w:rPr>
      </w:pPr>
    </w:p>
    <w:p w14:paraId="6B51C022" w14:textId="77777777" w:rsidR="006A10F6" w:rsidRPr="009715A6" w:rsidRDefault="006A10F6" w:rsidP="006A10F6">
      <w:pPr>
        <w:spacing w:after="0" w:line="240" w:lineRule="auto"/>
        <w:ind w:firstLine="709"/>
        <w:jc w:val="center"/>
        <w:rPr>
          <w:rFonts w:ascii="Times New Roman" w:hAnsi="Times New Roman" w:cs="Times New Roman"/>
          <w:i/>
          <w:sz w:val="24"/>
          <w:szCs w:val="24"/>
        </w:rPr>
      </w:pPr>
      <w:r w:rsidRPr="009715A6">
        <w:rPr>
          <w:rFonts w:ascii="Times New Roman" w:hAnsi="Times New Roman" w:cs="Times New Roman"/>
          <w:i/>
          <w:sz w:val="24"/>
          <w:szCs w:val="24"/>
        </w:rPr>
        <w:t xml:space="preserve">Владивостокский государственный университет экономики и сервиса </w:t>
      </w:r>
    </w:p>
    <w:p w14:paraId="302A043A" w14:textId="77777777" w:rsidR="006A10F6" w:rsidRPr="009715A6" w:rsidRDefault="006A10F6" w:rsidP="006A10F6">
      <w:pPr>
        <w:spacing w:after="0" w:line="240" w:lineRule="auto"/>
        <w:ind w:firstLine="709"/>
        <w:jc w:val="center"/>
        <w:rPr>
          <w:rFonts w:ascii="Times New Roman" w:hAnsi="Times New Roman" w:cs="Times New Roman"/>
          <w:i/>
          <w:sz w:val="24"/>
          <w:szCs w:val="24"/>
        </w:rPr>
      </w:pPr>
      <w:r w:rsidRPr="009715A6">
        <w:rPr>
          <w:rFonts w:ascii="Times New Roman" w:hAnsi="Times New Roman" w:cs="Times New Roman"/>
          <w:i/>
          <w:sz w:val="24"/>
          <w:szCs w:val="24"/>
        </w:rPr>
        <w:t xml:space="preserve">Россия. Владивосток </w:t>
      </w:r>
    </w:p>
    <w:p w14:paraId="055BFDB1" w14:textId="77777777" w:rsidR="00234480" w:rsidRPr="009715A6" w:rsidRDefault="00234480" w:rsidP="006A10F6">
      <w:pPr>
        <w:spacing w:after="0" w:line="240" w:lineRule="auto"/>
        <w:ind w:firstLine="709"/>
        <w:jc w:val="center"/>
        <w:rPr>
          <w:rFonts w:ascii="Times New Roman" w:hAnsi="Times New Roman" w:cs="Times New Roman"/>
          <w:sz w:val="24"/>
          <w:szCs w:val="24"/>
        </w:rPr>
      </w:pPr>
    </w:p>
    <w:p w14:paraId="21828A22" w14:textId="77777777" w:rsidR="006A10F6" w:rsidRPr="007E1000" w:rsidRDefault="006A10F6" w:rsidP="006A10F6">
      <w:pPr>
        <w:spacing w:after="0"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lang w:val="en-US"/>
        </w:rPr>
        <w:t>E</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9715A6">
        <w:rPr>
          <w:rFonts w:ascii="Times New Roman" w:hAnsi="Times New Roman" w:cs="Times New Roman"/>
          <w:sz w:val="24"/>
          <w:szCs w:val="24"/>
          <w:lang w:val="en-US"/>
        </w:rPr>
        <w:t>vshelushkina</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mail</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ru</w:t>
      </w:r>
      <w:r w:rsidRPr="007E1000">
        <w:rPr>
          <w:rFonts w:ascii="Times New Roman" w:hAnsi="Times New Roman" w:cs="Times New Roman"/>
          <w:sz w:val="24"/>
          <w:szCs w:val="24"/>
        </w:rPr>
        <w:t xml:space="preserve">; </w:t>
      </w:r>
      <w:r w:rsidRPr="009715A6">
        <w:rPr>
          <w:rFonts w:ascii="Times New Roman" w:hAnsi="Times New Roman" w:cs="Times New Roman"/>
          <w:sz w:val="24"/>
          <w:szCs w:val="24"/>
        </w:rPr>
        <w:t>тел</w:t>
      </w:r>
      <w:r w:rsidRPr="007E1000">
        <w:rPr>
          <w:rFonts w:ascii="Times New Roman" w:hAnsi="Times New Roman" w:cs="Times New Roman"/>
          <w:sz w:val="24"/>
          <w:szCs w:val="24"/>
        </w:rPr>
        <w:t>.: +79146685740</w:t>
      </w:r>
    </w:p>
    <w:p w14:paraId="030F0C52" w14:textId="77777777" w:rsidR="006A10F6" w:rsidRPr="009715A6" w:rsidRDefault="006A10F6" w:rsidP="006A10F6">
      <w:pPr>
        <w:spacing w:after="0"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rPr>
        <w:t>ул. Чапаева, 5, г. Владивосток, Приморский край, Россия, 690000</w:t>
      </w:r>
    </w:p>
    <w:p w14:paraId="38E78751" w14:textId="77777777" w:rsidR="006A10F6" w:rsidRPr="009715A6" w:rsidRDefault="006A10F6" w:rsidP="006A10F6">
      <w:pPr>
        <w:widowControl w:val="0"/>
        <w:spacing w:after="0" w:line="240" w:lineRule="auto"/>
        <w:ind w:firstLine="709"/>
        <w:jc w:val="both"/>
        <w:rPr>
          <w:rFonts w:ascii="Times New Roman" w:hAnsi="Times New Roman" w:cs="Times New Roman"/>
          <w:b/>
          <w:sz w:val="24"/>
          <w:szCs w:val="24"/>
        </w:rPr>
      </w:pPr>
    </w:p>
    <w:p w14:paraId="725B2DE0" w14:textId="77777777" w:rsidR="009715A6" w:rsidRPr="00100B26" w:rsidRDefault="006A10F6" w:rsidP="00100B26">
      <w:pPr>
        <w:widowControl w:val="0"/>
        <w:spacing w:after="0" w:line="240" w:lineRule="auto"/>
        <w:ind w:firstLine="709"/>
        <w:jc w:val="both"/>
        <w:rPr>
          <w:rFonts w:ascii="Times New Roman" w:hAnsi="Times New Roman" w:cs="Times New Roman"/>
          <w:i/>
          <w:sz w:val="24"/>
          <w:szCs w:val="24"/>
        </w:rPr>
      </w:pPr>
      <w:r w:rsidRPr="009715A6">
        <w:rPr>
          <w:rFonts w:ascii="Times New Roman" w:hAnsi="Times New Roman" w:cs="Times New Roman"/>
          <w:i/>
          <w:sz w:val="24"/>
          <w:szCs w:val="24"/>
        </w:rPr>
        <w:t xml:space="preserve">Финансовый контроль принимает на себя несколько ролей: является управленческой деятельностью и является объектом управления. Также он проводится на всех стадиях финансовой деятельности </w:t>
      </w:r>
      <w:r w:rsidRPr="009715A6">
        <w:rPr>
          <w:rFonts w:ascii="Times New Roman" w:hAnsi="Times New Roman" w:cs="Times New Roman"/>
          <w:i/>
          <w:color w:val="000000"/>
          <w:sz w:val="24"/>
          <w:szCs w:val="24"/>
          <w:shd w:val="clear" w:color="auto" w:fill="FFFFFF"/>
        </w:rPr>
        <w:t xml:space="preserve">исходя из собственных целей. Поэтому чем выше уровень эффективности контроля, тем выше эффективность предприятия. </w:t>
      </w:r>
      <w:r w:rsidRPr="009715A6">
        <w:rPr>
          <w:rFonts w:ascii="Times New Roman" w:hAnsi="Times New Roman" w:cs="Times New Roman"/>
          <w:i/>
          <w:sz w:val="24"/>
          <w:szCs w:val="24"/>
        </w:rPr>
        <w:t>Для получения ожидаемых результатов в организации должна действовать продуктивная с</w:t>
      </w:r>
      <w:r w:rsidR="00100B26">
        <w:rPr>
          <w:rFonts w:ascii="Times New Roman" w:hAnsi="Times New Roman" w:cs="Times New Roman"/>
          <w:i/>
          <w:sz w:val="24"/>
          <w:szCs w:val="24"/>
        </w:rPr>
        <w:t>истема управления.</w:t>
      </w:r>
    </w:p>
    <w:p w14:paraId="7EB18DD4" w14:textId="77777777" w:rsidR="006A10F6" w:rsidRPr="009715A6" w:rsidRDefault="006A10F6" w:rsidP="00234480">
      <w:pPr>
        <w:widowControl w:val="0"/>
        <w:spacing w:after="0" w:line="240" w:lineRule="auto"/>
        <w:ind w:firstLine="709"/>
        <w:jc w:val="both"/>
        <w:rPr>
          <w:rFonts w:ascii="Times New Roman" w:hAnsi="Times New Roman" w:cs="Times New Roman"/>
          <w:i/>
          <w:sz w:val="24"/>
          <w:szCs w:val="24"/>
        </w:rPr>
      </w:pPr>
      <w:r w:rsidRPr="009715A6">
        <w:rPr>
          <w:rFonts w:ascii="Times New Roman" w:hAnsi="Times New Roman" w:cs="Times New Roman"/>
          <w:b/>
          <w:i/>
          <w:sz w:val="24"/>
          <w:szCs w:val="24"/>
        </w:rPr>
        <w:t>Ключевые слова и словосочетания:</w:t>
      </w:r>
      <w:r w:rsidRPr="009715A6">
        <w:rPr>
          <w:rFonts w:ascii="Times New Roman" w:hAnsi="Times New Roman" w:cs="Times New Roman"/>
          <w:i/>
          <w:sz w:val="24"/>
          <w:szCs w:val="24"/>
        </w:rPr>
        <w:t xml:space="preserve"> финансовая работа, внутренний контроль, финансовая служба, инструмент управления, финансовое планирование, информационные системы.</w:t>
      </w:r>
    </w:p>
    <w:p w14:paraId="62A75F99" w14:textId="77777777" w:rsidR="006A10F6" w:rsidRPr="009715A6" w:rsidRDefault="006A10F6" w:rsidP="006A10F6">
      <w:pPr>
        <w:widowControl w:val="0"/>
        <w:spacing w:after="0" w:line="240" w:lineRule="auto"/>
        <w:ind w:firstLine="709"/>
        <w:jc w:val="center"/>
        <w:rPr>
          <w:rFonts w:ascii="Times New Roman" w:hAnsi="Times New Roman" w:cs="Times New Roman"/>
          <w:b/>
          <w:sz w:val="24"/>
          <w:szCs w:val="24"/>
        </w:rPr>
      </w:pPr>
    </w:p>
    <w:p w14:paraId="09A1C710" w14:textId="77777777" w:rsidR="006A10F6" w:rsidRPr="009715A6" w:rsidRDefault="00234480" w:rsidP="006A10F6">
      <w:pPr>
        <w:widowControl w:val="0"/>
        <w:spacing w:after="0" w:line="240" w:lineRule="auto"/>
        <w:ind w:firstLine="709"/>
        <w:jc w:val="center"/>
        <w:rPr>
          <w:rFonts w:ascii="Times New Roman" w:hAnsi="Times New Roman" w:cs="Times New Roman"/>
          <w:b/>
          <w:sz w:val="24"/>
          <w:szCs w:val="24"/>
          <w:lang w:val="en-US"/>
        </w:rPr>
      </w:pPr>
      <w:r w:rsidRPr="009715A6">
        <w:rPr>
          <w:rFonts w:ascii="Times New Roman" w:hAnsi="Times New Roman" w:cs="Times New Roman"/>
          <w:b/>
          <w:sz w:val="24"/>
          <w:szCs w:val="24"/>
          <w:lang w:val="en-US"/>
        </w:rPr>
        <w:t>FINANCIAL CONTROL AS ELEMENT OF FINANCIAL WORK</w:t>
      </w:r>
    </w:p>
    <w:p w14:paraId="2ECAA31B" w14:textId="77777777" w:rsidR="006A10F6" w:rsidRPr="009715A6" w:rsidRDefault="006A10F6" w:rsidP="006A10F6">
      <w:pPr>
        <w:widowControl w:val="0"/>
        <w:spacing w:after="0" w:line="240" w:lineRule="auto"/>
        <w:ind w:firstLine="709"/>
        <w:jc w:val="center"/>
        <w:rPr>
          <w:rFonts w:ascii="Times New Roman" w:hAnsi="Times New Roman" w:cs="Times New Roman"/>
          <w:b/>
          <w:sz w:val="24"/>
          <w:szCs w:val="24"/>
          <w:lang w:val="en-US"/>
        </w:rPr>
      </w:pPr>
    </w:p>
    <w:p w14:paraId="3B295ADA" w14:textId="77777777" w:rsidR="009715A6" w:rsidRPr="00100B26" w:rsidRDefault="006A10F6" w:rsidP="00100B26">
      <w:pPr>
        <w:widowControl w:val="0"/>
        <w:spacing w:after="0" w:line="240" w:lineRule="auto"/>
        <w:ind w:firstLine="709"/>
        <w:jc w:val="both"/>
        <w:rPr>
          <w:rFonts w:ascii="Times New Roman" w:hAnsi="Times New Roman" w:cs="Times New Roman"/>
          <w:i/>
          <w:sz w:val="24"/>
          <w:szCs w:val="24"/>
          <w:lang w:val="en-US"/>
        </w:rPr>
      </w:pPr>
      <w:r w:rsidRPr="009715A6">
        <w:rPr>
          <w:rFonts w:ascii="Times New Roman" w:hAnsi="Times New Roman" w:cs="Times New Roman"/>
          <w:i/>
          <w:sz w:val="24"/>
          <w:szCs w:val="24"/>
          <w:lang w:val="en-US"/>
        </w:rPr>
        <w:t>Financial control assumes several roles: is a management activity and is object of management. In addition, it is carried out at all stages of financial activities proceeding from own purposes. Therefore, the efficiency of control is higher, the efficiency of the entity is higher. For receipt of the expected results in the organization the productiv</w:t>
      </w:r>
      <w:r w:rsidR="00100B26">
        <w:rPr>
          <w:rFonts w:ascii="Times New Roman" w:hAnsi="Times New Roman" w:cs="Times New Roman"/>
          <w:i/>
          <w:sz w:val="24"/>
          <w:szCs w:val="24"/>
          <w:lang w:val="en-US"/>
        </w:rPr>
        <w:t>e management system shall work.</w:t>
      </w:r>
    </w:p>
    <w:p w14:paraId="669D8088" w14:textId="77777777" w:rsidR="006A10F6" w:rsidRPr="009715A6" w:rsidRDefault="006A10F6" w:rsidP="00234480">
      <w:pPr>
        <w:widowControl w:val="0"/>
        <w:spacing w:after="0" w:line="240" w:lineRule="auto"/>
        <w:ind w:firstLine="709"/>
        <w:jc w:val="both"/>
        <w:rPr>
          <w:rFonts w:ascii="Times New Roman" w:hAnsi="Times New Roman" w:cs="Times New Roman"/>
          <w:i/>
          <w:sz w:val="24"/>
          <w:szCs w:val="24"/>
          <w:lang w:val="en-US"/>
        </w:rPr>
      </w:pPr>
      <w:r w:rsidRPr="009715A6">
        <w:rPr>
          <w:rFonts w:ascii="Times New Roman" w:hAnsi="Times New Roman" w:cs="Times New Roman"/>
          <w:b/>
          <w:i/>
          <w:sz w:val="24"/>
          <w:szCs w:val="24"/>
          <w:lang w:val="en-US"/>
        </w:rPr>
        <w:t>Keywords</w:t>
      </w:r>
      <w:r w:rsidRPr="009715A6">
        <w:rPr>
          <w:rFonts w:ascii="Times New Roman" w:hAnsi="Times New Roman" w:cs="Times New Roman"/>
          <w:i/>
          <w:sz w:val="24"/>
          <w:szCs w:val="24"/>
          <w:lang w:val="en-US"/>
        </w:rPr>
        <w:t>: financial work, internal control, financial service, management, financial planning, information systems.</w:t>
      </w:r>
    </w:p>
    <w:p w14:paraId="2FBD1CFD" w14:textId="77777777" w:rsidR="006A10F6" w:rsidRPr="009715A6" w:rsidRDefault="006A10F6" w:rsidP="006A10F6">
      <w:pPr>
        <w:widowControl w:val="0"/>
        <w:spacing w:after="0" w:line="240" w:lineRule="auto"/>
        <w:ind w:firstLine="709"/>
        <w:jc w:val="both"/>
        <w:rPr>
          <w:rFonts w:ascii="Times New Roman" w:hAnsi="Times New Roman" w:cs="Times New Roman"/>
          <w:i/>
          <w:sz w:val="24"/>
          <w:szCs w:val="24"/>
          <w:lang w:val="en-US"/>
        </w:rPr>
      </w:pPr>
    </w:p>
    <w:p w14:paraId="0621A5EE"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В современном мире термин «финансовая работа» нашел свое место в многочисленных научных статьях и бизнес учебниках. Это важная составляющая любой организации, которой необходимо управлять денежными потоками в процессе финансово-хозяйственной деятельности. </w:t>
      </w:r>
    </w:p>
    <w:p w14:paraId="287C354B"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Финансовая работа заключается в своевременном и полном обеспечении предприятия финансовыми ресурсами для удовлетворения его воспроизводственных нужд, активной инвестиционной деятельности и выполнения всех его финансовых обязательств перед бюджетом, налоговой службой, банками, другими предприятиями и собственными работниками. [1] Поэтому цель данной работы – изучить внутренний контроль с точки </w:t>
      </w:r>
      <w:r w:rsidRPr="009715A6">
        <w:rPr>
          <w:rFonts w:ascii="Times New Roman" w:hAnsi="Times New Roman" w:cs="Times New Roman"/>
          <w:sz w:val="24"/>
          <w:szCs w:val="24"/>
        </w:rPr>
        <w:lastRenderedPageBreak/>
        <w:t xml:space="preserve">зрения его влияния на финансовую работу организацию. </w:t>
      </w:r>
    </w:p>
    <w:p w14:paraId="5A8EB59C"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Сущность финансовой работы состоит в поддержании эффективных финансовых вложений, которые сопровождают хозяйственную деятельность, сохранении платежеспособности и обеспечении приемлемого кругооборота основного и оборотного капитала. Ведь важным сегментом успешного функционирования предприятия является рациональная и эффективная организация финансовой работы.</w:t>
      </w:r>
    </w:p>
    <w:p w14:paraId="76C9EBD4"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Для осуществления финансовой работы предприятию необходимо организовать финансовую службу.</w:t>
      </w:r>
    </w:p>
    <w:p w14:paraId="49011E22"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Финансовая служба – это структурная единица в организации предприятия, которая выполняет функции разработки предложений по установлению финансовой политики предприятия, а также ее реализации в различных проявлениях, контроля и составления финансовой отчетности. [2]</w:t>
      </w:r>
    </w:p>
    <w:p w14:paraId="4D8BC451"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Деятельность финансовой службы подчинена главной цели – обеспечению финансовой стабильности предприятия, созданию устойчивых предпосылок для экономического роста и получения прибыли. [3]</w:t>
      </w:r>
    </w:p>
    <w:p w14:paraId="08D01E6A"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Финансовая работа осуществляется по трем важным направлениям:</w:t>
      </w:r>
    </w:p>
    <w:p w14:paraId="64163998" w14:textId="77777777" w:rsidR="006A10F6" w:rsidRPr="009715A6" w:rsidRDefault="006A10F6" w:rsidP="00202D58">
      <w:pPr>
        <w:pStyle w:val="a7"/>
        <w:widowControl w:val="0"/>
        <w:numPr>
          <w:ilvl w:val="0"/>
          <w:numId w:val="21"/>
        </w:numPr>
        <w:ind w:left="0" w:firstLine="709"/>
        <w:jc w:val="both"/>
        <w:rPr>
          <w:rFonts w:ascii="Times New Roman" w:hAnsi="Times New Roman" w:cs="Times New Roman"/>
        </w:rPr>
      </w:pPr>
      <w:r w:rsidRPr="009715A6">
        <w:rPr>
          <w:rFonts w:ascii="Times New Roman" w:hAnsi="Times New Roman" w:cs="Times New Roman"/>
        </w:rPr>
        <w:t xml:space="preserve">Финансовое планирование. </w:t>
      </w:r>
    </w:p>
    <w:p w14:paraId="4184E685"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Осуществление данного направления происходит на основе анализа бухгалтерской, статистической и управленческой отчетности, что дает информацию о финансах хозяйствующего субъекта. После этого, опираясь на обработанные финансовые показатели, составляются соответствующие планы, по которым в дальнейшем следует финансовая работа.</w:t>
      </w:r>
    </w:p>
    <w:p w14:paraId="25CA45BB" w14:textId="77777777" w:rsidR="006A10F6" w:rsidRPr="009715A6" w:rsidRDefault="006A10F6" w:rsidP="00202D58">
      <w:pPr>
        <w:pStyle w:val="a7"/>
        <w:widowControl w:val="0"/>
        <w:numPr>
          <w:ilvl w:val="0"/>
          <w:numId w:val="21"/>
        </w:numPr>
        <w:ind w:left="0" w:firstLine="709"/>
        <w:jc w:val="both"/>
        <w:rPr>
          <w:rFonts w:ascii="Times New Roman" w:hAnsi="Times New Roman" w:cs="Times New Roman"/>
        </w:rPr>
      </w:pPr>
      <w:r w:rsidRPr="009715A6">
        <w:rPr>
          <w:rFonts w:ascii="Times New Roman" w:hAnsi="Times New Roman" w:cs="Times New Roman"/>
        </w:rPr>
        <w:t>Оперативная работа.</w:t>
      </w:r>
    </w:p>
    <w:p w14:paraId="6D62DC35"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Оперативная работа предполагает постоянное наблюдение и оценку качественных и количественных особенностей финансовых потоков и отношений предприятия. Непрерывное влияние на результативность совершаемого предприятием действия или какой-либо финансовой сделки является главной целью оперативной работы, и позволяет сохранить репутацию на должном уровне</w:t>
      </w:r>
    </w:p>
    <w:p w14:paraId="5B1BEDCC" w14:textId="77777777" w:rsidR="006A10F6" w:rsidRPr="009715A6" w:rsidRDefault="006A10F6" w:rsidP="00202D58">
      <w:pPr>
        <w:pStyle w:val="a7"/>
        <w:widowControl w:val="0"/>
        <w:numPr>
          <w:ilvl w:val="0"/>
          <w:numId w:val="21"/>
        </w:numPr>
        <w:ind w:left="0" w:firstLine="709"/>
        <w:jc w:val="both"/>
        <w:rPr>
          <w:rFonts w:ascii="Times New Roman" w:hAnsi="Times New Roman" w:cs="Times New Roman"/>
        </w:rPr>
      </w:pPr>
      <w:r w:rsidRPr="009715A6">
        <w:rPr>
          <w:rFonts w:ascii="Times New Roman" w:hAnsi="Times New Roman" w:cs="Times New Roman"/>
        </w:rPr>
        <w:t>Контрольно-аналитическая работа.</w:t>
      </w:r>
    </w:p>
    <w:p w14:paraId="050CE02D"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Основное содержание контрольно-аналитической работы - предупреждение и устранение негативных явлений, снижающих эффективность проводимых в области финансовых отношений управленческих решений, разработка и проведение совместно с другими службами мероприятий по успешному выполнению важнейших финансовых показателей работы предприятия. [4] </w:t>
      </w:r>
    </w:p>
    <w:p w14:paraId="72590CB4" w14:textId="77777777" w:rsidR="006A10F6" w:rsidRPr="009715A6" w:rsidRDefault="006A10F6" w:rsidP="006A10F6">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Контрольно-аналитическая работа в организации осуществляется системой внутреннего контроля. </w:t>
      </w:r>
      <w:r w:rsidRPr="009715A6">
        <w:rPr>
          <w:rFonts w:ascii="Times New Roman" w:hAnsi="Times New Roman" w:cs="Times New Roman"/>
          <w:color w:val="000000"/>
          <w:sz w:val="24"/>
          <w:szCs w:val="24"/>
          <w:shd w:val="clear" w:color="auto" w:fill="FFFFFF"/>
        </w:rPr>
        <w:t>П</w:t>
      </w:r>
      <w:r w:rsidRPr="009715A6">
        <w:rPr>
          <w:rFonts w:ascii="Times New Roman" w:hAnsi="Times New Roman" w:cs="Times New Roman"/>
          <w:sz w:val="24"/>
          <w:szCs w:val="24"/>
        </w:rPr>
        <w:t>од целью функционирования этой системы следует понимать сохранение и эффективное использование разнообразных ресурсов и потенциалов коммерческой организации, обеспечение ее эффективного функционирования, а также устойчивости и максимального развития в условиях многоплановой конкуренции.</w:t>
      </w:r>
    </w:p>
    <w:p w14:paraId="04C99ABE" w14:textId="77777777" w:rsidR="006A10F6" w:rsidRPr="009715A6" w:rsidRDefault="006A10F6" w:rsidP="006A10F6">
      <w:pPr>
        <w:spacing w:after="0" w:line="240" w:lineRule="auto"/>
        <w:ind w:firstLine="709"/>
        <w:jc w:val="both"/>
        <w:rPr>
          <w:rFonts w:ascii="Times New Roman" w:hAnsi="Times New Roman" w:cs="Times New Roman"/>
          <w:color w:val="000000"/>
          <w:sz w:val="24"/>
          <w:szCs w:val="24"/>
          <w:shd w:val="clear" w:color="auto" w:fill="FFFFFF"/>
        </w:rPr>
      </w:pPr>
      <w:r w:rsidRPr="009715A6">
        <w:rPr>
          <w:rFonts w:ascii="Times New Roman" w:hAnsi="Times New Roman" w:cs="Times New Roman"/>
          <w:color w:val="000000"/>
          <w:sz w:val="24"/>
          <w:szCs w:val="24"/>
          <w:shd w:val="clear" w:color="auto" w:fill="FFFFFF"/>
        </w:rPr>
        <w:t xml:space="preserve">Достижение поставленной цели перед внутренним финансовым контролем требует соблюдения определенных принципов </w:t>
      </w:r>
      <w:r w:rsidRPr="009715A6">
        <w:rPr>
          <w:rFonts w:ascii="Times New Roman" w:hAnsi="Times New Roman" w:cs="Times New Roman"/>
          <w:sz w:val="24"/>
          <w:szCs w:val="24"/>
          <w:shd w:val="clear" w:color="auto" w:fill="FFFFFF"/>
        </w:rPr>
        <w:t>[5]</w:t>
      </w:r>
      <w:r w:rsidRPr="009715A6">
        <w:rPr>
          <w:rFonts w:ascii="Times New Roman" w:hAnsi="Times New Roman" w:cs="Times New Roman"/>
          <w:color w:val="000000"/>
          <w:sz w:val="24"/>
          <w:szCs w:val="24"/>
          <w:shd w:val="clear" w:color="auto" w:fill="FFFFFF"/>
        </w:rPr>
        <w:t>:</w:t>
      </w:r>
    </w:p>
    <w:p w14:paraId="06A08522" w14:textId="77777777" w:rsidR="006A10F6" w:rsidRPr="009715A6" w:rsidRDefault="006A10F6" w:rsidP="00202D58">
      <w:pPr>
        <w:pStyle w:val="a7"/>
        <w:numPr>
          <w:ilvl w:val="0"/>
          <w:numId w:val="22"/>
        </w:numPr>
        <w:ind w:left="0" w:firstLine="709"/>
        <w:jc w:val="both"/>
        <w:rPr>
          <w:rFonts w:ascii="Times New Roman" w:hAnsi="Times New Roman" w:cs="Times New Roman"/>
          <w:color w:val="000000"/>
          <w:shd w:val="clear" w:color="auto" w:fill="FFFFFF"/>
          <w:lang w:eastAsia="ru-RU"/>
        </w:rPr>
      </w:pPr>
      <w:r w:rsidRPr="009715A6">
        <w:rPr>
          <w:rFonts w:ascii="Times New Roman" w:hAnsi="Times New Roman" w:cs="Times New Roman"/>
          <w:color w:val="000000"/>
          <w:shd w:val="clear" w:color="auto" w:fill="FFFFFF"/>
          <w:lang w:eastAsia="ru-RU"/>
        </w:rPr>
        <w:t xml:space="preserve">Реализация финансового плана предприятия. Стратегия определяет основные направления развития, контроль же помогает не сворачивать в ненужную сторону.  </w:t>
      </w:r>
    </w:p>
    <w:p w14:paraId="128839A7" w14:textId="77777777" w:rsidR="006A10F6" w:rsidRPr="009715A6" w:rsidRDefault="006A10F6" w:rsidP="00202D58">
      <w:pPr>
        <w:pStyle w:val="a7"/>
        <w:numPr>
          <w:ilvl w:val="0"/>
          <w:numId w:val="22"/>
        </w:numPr>
        <w:ind w:left="0" w:firstLine="709"/>
        <w:jc w:val="both"/>
        <w:rPr>
          <w:rFonts w:ascii="Times New Roman" w:hAnsi="Times New Roman" w:cs="Times New Roman"/>
          <w:shd w:val="clear" w:color="auto" w:fill="FFFFFF"/>
          <w:lang w:eastAsia="ru-RU"/>
        </w:rPr>
      </w:pPr>
      <w:r w:rsidRPr="009715A6">
        <w:rPr>
          <w:rFonts w:ascii="Times New Roman" w:hAnsi="Times New Roman" w:cs="Times New Roman"/>
          <w:shd w:val="clear" w:color="auto" w:fill="FFFFFF"/>
          <w:lang w:eastAsia="ru-RU"/>
        </w:rPr>
        <w:t>Сопоставимость данных контроля.</w:t>
      </w:r>
      <w:r w:rsidRPr="009715A6">
        <w:rPr>
          <w:rFonts w:ascii="Times New Roman" w:hAnsi="Times New Roman" w:cs="Times New Roman"/>
          <w:color w:val="000000"/>
          <w:shd w:val="clear" w:color="auto" w:fill="FFFFFF"/>
          <w:lang w:eastAsia="ru-RU"/>
        </w:rPr>
        <w:t xml:space="preserve"> Внедрять систему контроля на предприятии следует, формируя стандарты контроля и определяя показатели реального положения дел. Более того, финансовый контроль должен создавать условия для проведения сравнительного анализа тех данных, которые находятся под контролем, со средним значением этих же параметров по отрасли. </w:t>
      </w:r>
    </w:p>
    <w:p w14:paraId="758CFA51" w14:textId="77777777" w:rsidR="006A10F6" w:rsidRPr="009715A6" w:rsidRDefault="006A10F6" w:rsidP="00202D58">
      <w:pPr>
        <w:pStyle w:val="a7"/>
        <w:numPr>
          <w:ilvl w:val="0"/>
          <w:numId w:val="22"/>
        </w:numPr>
        <w:tabs>
          <w:tab w:val="left" w:pos="709"/>
        </w:tabs>
        <w:ind w:left="0" w:firstLine="709"/>
        <w:jc w:val="both"/>
        <w:rPr>
          <w:rFonts w:ascii="Times New Roman" w:hAnsi="Times New Roman" w:cs="Times New Roman"/>
          <w:color w:val="000000"/>
          <w:shd w:val="clear" w:color="auto" w:fill="FFFFFF"/>
          <w:lang w:eastAsia="ru-RU"/>
        </w:rPr>
      </w:pPr>
      <w:r w:rsidRPr="009715A6">
        <w:rPr>
          <w:rFonts w:ascii="Times New Roman" w:hAnsi="Times New Roman" w:cs="Times New Roman"/>
          <w:color w:val="000000"/>
          <w:shd w:val="clear" w:color="auto" w:fill="FFFFFF"/>
          <w:lang w:eastAsia="ru-RU"/>
        </w:rPr>
        <w:t xml:space="preserve">Своевременность и гибкость. Систему финансового контроля должна помогать управлению увидеть вовремя потенциальную проблему до ее превращения в серьезную, а также система ФК должна перестраиваться под изменения финансовых инструментов, решений и стандартов финансовых операций. </w:t>
      </w:r>
    </w:p>
    <w:p w14:paraId="3CD63AA8" w14:textId="77777777" w:rsidR="006A10F6" w:rsidRPr="009715A6" w:rsidRDefault="006A10F6" w:rsidP="00202D58">
      <w:pPr>
        <w:pStyle w:val="a7"/>
        <w:numPr>
          <w:ilvl w:val="0"/>
          <w:numId w:val="22"/>
        </w:numPr>
        <w:tabs>
          <w:tab w:val="left" w:pos="709"/>
        </w:tabs>
        <w:ind w:left="0" w:firstLine="709"/>
        <w:jc w:val="both"/>
        <w:rPr>
          <w:rFonts w:ascii="Times New Roman" w:hAnsi="Times New Roman" w:cs="Times New Roman"/>
          <w:color w:val="000000"/>
          <w:shd w:val="clear" w:color="auto" w:fill="FFFFFF"/>
          <w:lang w:eastAsia="ru-RU"/>
        </w:rPr>
      </w:pPr>
      <w:r w:rsidRPr="009715A6">
        <w:rPr>
          <w:rFonts w:ascii="Times New Roman" w:hAnsi="Times New Roman" w:cs="Times New Roman"/>
          <w:color w:val="000000"/>
          <w:shd w:val="clear" w:color="auto" w:fill="FFFFFF"/>
          <w:lang w:eastAsia="ru-RU"/>
        </w:rPr>
        <w:lastRenderedPageBreak/>
        <w:t>Экономичность. Масштаб трат, необходимых для контроля, не должен быть больше того эффекта, который ожидается получить в ходе его реализации.</w:t>
      </w:r>
    </w:p>
    <w:p w14:paraId="161EC825" w14:textId="77777777" w:rsidR="006A10F6" w:rsidRPr="009715A6" w:rsidRDefault="006A10F6" w:rsidP="006A10F6">
      <w:pPr>
        <w:pStyle w:val="a7"/>
        <w:tabs>
          <w:tab w:val="left" w:pos="709"/>
        </w:tabs>
        <w:ind w:left="0" w:firstLine="709"/>
        <w:jc w:val="both"/>
        <w:rPr>
          <w:rFonts w:ascii="Times New Roman" w:hAnsi="Times New Roman" w:cs="Times New Roman"/>
          <w:color w:val="000000"/>
          <w:shd w:val="clear" w:color="auto" w:fill="FFFFFF"/>
          <w:lang w:eastAsia="ru-RU"/>
        </w:rPr>
      </w:pPr>
      <w:r w:rsidRPr="009715A6">
        <w:rPr>
          <w:rFonts w:ascii="Times New Roman" w:hAnsi="Times New Roman" w:cs="Times New Roman"/>
        </w:rPr>
        <w:t xml:space="preserve">Внимание к вопросу внедрения внутреннего контроля на предприятии обусловлено принятием Федерального закона от 6 декабря 2011 г. N 402-ФЗ "О бухгалтерском учете", в соответствии с 19 статьей которого </w:t>
      </w:r>
      <w:r w:rsidRPr="009715A6">
        <w:rPr>
          <w:rFonts w:ascii="Times New Roman" w:hAnsi="Times New Roman" w:cs="Times New Roman"/>
          <w:shd w:val="clear" w:color="auto" w:fill="FFFFFF"/>
        </w:rPr>
        <w:t xml:space="preserve">экономический субъект обязан организовать и осуществлять внутренний контроль совершаемых фактов хозяйственной жизни. [6] </w:t>
      </w:r>
    </w:p>
    <w:p w14:paraId="2EFC7444" w14:textId="77777777" w:rsidR="006A10F6" w:rsidRPr="009715A6" w:rsidRDefault="006A10F6" w:rsidP="006A10F6">
      <w:pPr>
        <w:spacing w:after="0" w:line="240" w:lineRule="auto"/>
        <w:ind w:firstLine="709"/>
        <w:jc w:val="both"/>
        <w:rPr>
          <w:rFonts w:ascii="Times New Roman" w:hAnsi="Times New Roman" w:cs="Times New Roman"/>
          <w:sz w:val="24"/>
          <w:szCs w:val="24"/>
          <w:shd w:val="clear" w:color="auto" w:fill="FFFFFF"/>
        </w:rPr>
      </w:pPr>
      <w:r w:rsidRPr="009715A6">
        <w:rPr>
          <w:rFonts w:ascii="Times New Roman" w:hAnsi="Times New Roman" w:cs="Times New Roman"/>
          <w:sz w:val="24"/>
          <w:szCs w:val="24"/>
          <w:shd w:val="clear" w:color="auto" w:fill="FFFFFF"/>
        </w:rPr>
        <w:t>Особую ценность имеет Информация Минфина России N ПЗ-11/2013 "Организация и осуществление экономическим субъектом внутреннего контроля совершаемых фактов хозяйственной жизни, ведения бухгалтерского учета и составления бухгалтерской (финансовой) отчетности". Именно в этом документе прописаны основные положения о контроле, которые Министерство финансов России подготовило в целях обобщения практики организации и осуществления экономическими субъектами внутреннего контроля (за исключением организаций сектора государственного управления).</w:t>
      </w:r>
    </w:p>
    <w:p w14:paraId="6CCC23EE"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Для предотвращения потерь и минимизации рисков Минфин предлагает экономическим субъектам применять следующие процедуры внутреннего контроля [7]:</w:t>
      </w:r>
    </w:p>
    <w:p w14:paraId="2B372D0C"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а) документальное оформление;</w:t>
      </w:r>
    </w:p>
    <w:p w14:paraId="1CCFA399"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б) проверка соответствия документов установленным, а также процедуры контроля взаимосвязанных фактов хозяйственной жизни;</w:t>
      </w:r>
    </w:p>
    <w:p w14:paraId="61148EB1"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в) санкционирование сделок и операций, обеспечивающее подтверждение правомочности совершения их;</w:t>
      </w:r>
    </w:p>
    <w:p w14:paraId="0B4EF914"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г) сверка данных;</w:t>
      </w:r>
    </w:p>
    <w:p w14:paraId="35DA0EDB"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д) разграничение полномочий и возложение обязанностей на разных лиц с целью уменьшения рисков возникновения ошибок и злоупотреблений;</w:t>
      </w:r>
    </w:p>
    <w:p w14:paraId="37333E20"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е) процедуры контроля фактического наличия и состояния объектов, в том числе физическая охрана, ограничение доступа, инвентаризация;</w:t>
      </w:r>
    </w:p>
    <w:p w14:paraId="4533AF30"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ж) надзор, обеспечивающий оценку достижения поставленных целей или показателей;</w:t>
      </w:r>
    </w:p>
    <w:p w14:paraId="6750DAF6"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з) процедуры, связанные с компьютерной обработкой информации и информационными системами.</w:t>
      </w:r>
    </w:p>
    <w:p w14:paraId="2F327BDA"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Информационные системы организации должны содержать только качественную и актуальную информацию, чтобы управленческие решения принимались верно. Информационная система должна обеспечивать ведение бухгалтерского учета и составление финансовой отчетности. Помимо этого, передача информации должна осуществляться и между управленческими звеньями организации.</w:t>
      </w:r>
    </w:p>
    <w:p w14:paraId="55FB9EE9"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Заключительным этапом внутреннего контроля является его оценка. Оценка внутреннего контроля осуществляется с целью определения эффективности и результативности проведённых процедур, а также необходимости изменений не реже одного раза в год.</w:t>
      </w:r>
    </w:p>
    <w:p w14:paraId="6326E953" w14:textId="77777777" w:rsidR="006A10F6" w:rsidRPr="009715A6" w:rsidRDefault="006A10F6" w:rsidP="006A10F6">
      <w:pPr>
        <w:pStyle w:val="a7"/>
        <w:tabs>
          <w:tab w:val="left" w:pos="142"/>
        </w:tabs>
        <w:ind w:left="0" w:firstLine="709"/>
        <w:jc w:val="both"/>
        <w:rPr>
          <w:rFonts w:ascii="Times New Roman" w:hAnsi="Times New Roman" w:cs="Times New Roman"/>
        </w:rPr>
      </w:pPr>
      <w:r w:rsidRPr="009715A6">
        <w:rPr>
          <w:rFonts w:ascii="Times New Roman" w:hAnsi="Times New Roman" w:cs="Times New Roman"/>
        </w:rPr>
        <w:t>Одним из видов оценки внутреннего контроля является непрерывный мониторинг внутреннего контроля, т.е. оценка внутреннего контроля, осуществляемая экономическим субъектом на постоянной основе в ходе его повседневной деятельности. Осуществление непрерывного мониторинга и периодической оценки внутреннего контроля позволяет удостовериться в том, что внутренний контроль экономического субъекта обеспечивает достаточную уверенность в достижении экономическим субъектом своих целей.</w:t>
      </w:r>
    </w:p>
    <w:p w14:paraId="64443196" w14:textId="77777777" w:rsidR="006A10F6" w:rsidRPr="009715A6" w:rsidRDefault="006A10F6" w:rsidP="006A10F6">
      <w:pPr>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Система внутреннего контроля необходима, прежде всего, для контроля действий руководителей организации с точки зрения соответствия интересам собственника, повышения эффективности принимаемых управленческих решений и, соответственно, роста конкурентоспособности хозяйствующего объекта.</w:t>
      </w:r>
    </w:p>
    <w:p w14:paraId="47E1C3F5" w14:textId="77777777" w:rsidR="006A10F6" w:rsidRPr="009715A6" w:rsidRDefault="006A10F6" w:rsidP="006A10F6">
      <w:pPr>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Выявляя отклонения и устанавливая причины их возникновения, контроль позволяет оперативно разработать и реализовать на практике мероприятия, направленные на повышение эффективности работы данного хозяйствующего объекта. </w:t>
      </w:r>
    </w:p>
    <w:p w14:paraId="6D8E6F0D" w14:textId="77777777" w:rsidR="006A10F6" w:rsidRPr="009715A6" w:rsidRDefault="006A10F6" w:rsidP="006A10F6">
      <w:pPr>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lastRenderedPageBreak/>
        <w:t>Таким образом, роль контроля в управлении велика, так как представляет собой процесс достижения целей организации, поэтому без эффективной системы внутреннего контроля нет рациональной финансовой работы в целом.</w:t>
      </w:r>
    </w:p>
    <w:p w14:paraId="2CB563FC" w14:textId="77777777" w:rsidR="006A10F6" w:rsidRDefault="006A10F6" w:rsidP="006A10F6">
      <w:pPr>
        <w:pBdr>
          <w:bottom w:val="single" w:sz="12" w:space="1" w:color="auto"/>
        </w:pBdr>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Более того, финансовая служба должна своевременно реагировать на появление новых тенденций развития предприятия и подстраиваться под них. Ведь успех деятельности предприятия в перспективе во многом связан с соответствием организационной структуры финансовой службы целям и задачам предприятия.</w:t>
      </w:r>
    </w:p>
    <w:p w14:paraId="3FDCE676" w14:textId="77777777" w:rsidR="00100B26" w:rsidRPr="009715A6" w:rsidRDefault="00100B26" w:rsidP="006A10F6">
      <w:pPr>
        <w:pBdr>
          <w:bottom w:val="single" w:sz="12" w:space="1" w:color="auto"/>
        </w:pBdr>
        <w:spacing w:after="0" w:line="240" w:lineRule="auto"/>
        <w:ind w:firstLine="709"/>
        <w:jc w:val="both"/>
        <w:rPr>
          <w:rFonts w:ascii="Times New Roman" w:hAnsi="Times New Roman" w:cs="Times New Roman"/>
          <w:sz w:val="24"/>
          <w:szCs w:val="24"/>
        </w:rPr>
      </w:pPr>
    </w:p>
    <w:p w14:paraId="2A383044"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 xml:space="preserve">Кольчихина В.Н. Оперативная финансовая работа // В.Н. Кольчихина, О.В. Михеенко, Т.Э. Сергутина // Учебное пособие. 2016. [Электронный ресурс] // – Режим доступа: </w:t>
      </w:r>
      <w:hyperlink r:id="rId92" w:tgtFrame="_blank" w:history="1">
        <w:r w:rsidRPr="009715A6">
          <w:rPr>
            <w:rFonts w:ascii="Times New Roman" w:eastAsia="Times New Roman" w:hAnsi="Times New Roman" w:cs="Times New Roman"/>
            <w:sz w:val="24"/>
            <w:szCs w:val="24"/>
            <w:lang w:eastAsia="ru-RU"/>
          </w:rPr>
          <w:t>https://elibrary.ru/item.asp?id=26848707</w:t>
        </w:r>
      </w:hyperlink>
      <w:r w:rsidRPr="009715A6">
        <w:rPr>
          <w:rFonts w:ascii="Times New Roman" w:eastAsia="Times New Roman" w:hAnsi="Times New Roman" w:cs="Times New Roman"/>
          <w:sz w:val="24"/>
          <w:szCs w:val="24"/>
          <w:lang w:eastAsia="ru-RU"/>
        </w:rPr>
        <w:t>.</w:t>
      </w:r>
    </w:p>
    <w:p w14:paraId="5E15F67E"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Финансовая служба // UTMAG [Электронный ресурс] // – Режим доступа: </w:t>
      </w:r>
      <w:hyperlink r:id="rId93" w:tgtFrame="_blank" w:history="1">
        <w:r w:rsidRPr="009715A6">
          <w:rPr>
            <w:rFonts w:ascii="Times New Roman" w:eastAsia="Times New Roman" w:hAnsi="Times New Roman" w:cs="Times New Roman"/>
            <w:sz w:val="24"/>
            <w:szCs w:val="24"/>
            <w:lang w:eastAsia="ru-RU"/>
          </w:rPr>
          <w:t>https://utmagazine.ru/posts/8938-finansovaya-sluzhba</w:t>
        </w:r>
      </w:hyperlink>
      <w:r w:rsidRPr="009715A6">
        <w:rPr>
          <w:rFonts w:ascii="Times New Roman" w:eastAsia="Times New Roman" w:hAnsi="Times New Roman" w:cs="Times New Roman"/>
          <w:sz w:val="24"/>
          <w:szCs w:val="24"/>
          <w:lang w:eastAsia="ru-RU"/>
        </w:rPr>
        <w:t> .</w:t>
      </w:r>
    </w:p>
    <w:p w14:paraId="2C2A8916"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Блюм М.А. Совершенствование управления оперативной финансовой и коммерческой работой на предприятии (на примере предприятия горнодобывающей промышленности) // М.А. Блюм, О.В. Коробова, Т.М. Уляхин // ООО "Консалтинговая компания Юком". 2015. [Электронный ресурс] - Режим доступа: </w:t>
      </w:r>
      <w:hyperlink r:id="rId94" w:tgtFrame="_blank" w:history="1">
        <w:r w:rsidRPr="009715A6">
          <w:rPr>
            <w:rFonts w:ascii="Times New Roman" w:eastAsia="Times New Roman" w:hAnsi="Times New Roman" w:cs="Times New Roman"/>
            <w:sz w:val="24"/>
            <w:szCs w:val="24"/>
            <w:lang w:eastAsia="ru-RU"/>
          </w:rPr>
          <w:t>https://elibrary.ru/item.asp?id=24818365</w:t>
        </w:r>
      </w:hyperlink>
      <w:r w:rsidRPr="009715A6">
        <w:rPr>
          <w:rFonts w:ascii="Times New Roman" w:eastAsia="Times New Roman" w:hAnsi="Times New Roman" w:cs="Times New Roman"/>
          <w:sz w:val="24"/>
          <w:szCs w:val="24"/>
          <w:lang w:eastAsia="ru-RU"/>
        </w:rPr>
        <w:t>.</w:t>
      </w:r>
    </w:p>
    <w:p w14:paraId="30847F25"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 xml:space="preserve">Некрасов С.О. Анализ финансовых результатов коммерческой организации // С.О. Некрасов, И.Ф. Кузьмичева // Экономические науки в России и за рубежом. 2014. № XV. </w:t>
      </w:r>
    </w:p>
    <w:p w14:paraId="005CCC9A"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 xml:space="preserve">Финансовый контроль: методы анализа и оценки эффективности // Генеральный директор [Электронный ресурс] // – Режим доступа: </w:t>
      </w:r>
      <w:hyperlink r:id="rId95" w:history="1">
        <w:r w:rsidRPr="009715A6">
          <w:rPr>
            <w:rFonts w:ascii="Times New Roman" w:eastAsia="Times New Roman" w:hAnsi="Times New Roman" w:cs="Times New Roman"/>
            <w:sz w:val="24"/>
            <w:szCs w:val="24"/>
            <w:lang w:eastAsia="ru-RU"/>
          </w:rPr>
          <w:t>https://www.gd.ru/articles/9039-qqq-17-m2-22-02-2017-finansovyy-kontrol</w:t>
        </w:r>
      </w:hyperlink>
      <w:r w:rsidRPr="009715A6">
        <w:rPr>
          <w:rFonts w:ascii="Times New Roman" w:eastAsia="Times New Roman" w:hAnsi="Times New Roman" w:cs="Times New Roman"/>
          <w:sz w:val="24"/>
          <w:szCs w:val="24"/>
          <w:lang w:eastAsia="ru-RU"/>
        </w:rPr>
        <w:t xml:space="preserve"> </w:t>
      </w:r>
    </w:p>
    <w:p w14:paraId="5F783F96"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 xml:space="preserve">Каковкина Т.В. Система внутреннего контроля как средство выявления рисков организации // Международный бухгалтерский учет. 2014. №36 (330) [Электронный ресурс] // – Режим доступа: </w:t>
      </w:r>
      <w:hyperlink r:id="rId96" w:history="1">
        <w:r w:rsidRPr="009715A6">
          <w:rPr>
            <w:rFonts w:ascii="Times New Roman" w:eastAsia="Times New Roman" w:hAnsi="Times New Roman" w:cs="Times New Roman"/>
            <w:sz w:val="24"/>
            <w:szCs w:val="24"/>
            <w:lang w:eastAsia="ru-RU"/>
          </w:rPr>
          <w:t>https://cyberleninka.ru/article/n/sistema-vnutrennego-kontrolya-kak-sredstvo-vyyavleniya-riskov-organizatsii</w:t>
        </w:r>
      </w:hyperlink>
      <w:r w:rsidRPr="009715A6">
        <w:rPr>
          <w:rFonts w:ascii="Times New Roman" w:eastAsia="Times New Roman" w:hAnsi="Times New Roman" w:cs="Times New Roman"/>
          <w:sz w:val="24"/>
          <w:szCs w:val="24"/>
          <w:lang w:eastAsia="ru-RU"/>
        </w:rPr>
        <w:t>.</w:t>
      </w:r>
    </w:p>
    <w:p w14:paraId="47930905" w14:textId="77777777" w:rsidR="006A10F6" w:rsidRPr="009715A6" w:rsidRDefault="006A10F6" w:rsidP="009715A6">
      <w:pPr>
        <w:numPr>
          <w:ilvl w:val="0"/>
          <w:numId w:val="23"/>
        </w:numPr>
        <w:spacing w:after="0" w:line="240" w:lineRule="auto"/>
        <w:ind w:left="0" w:firstLine="709"/>
        <w:jc w:val="both"/>
        <w:rPr>
          <w:rFonts w:ascii="Times New Roman" w:eastAsia="Times New Roman" w:hAnsi="Times New Roman" w:cs="Times New Roman"/>
          <w:sz w:val="24"/>
          <w:szCs w:val="24"/>
          <w:lang w:eastAsia="ru-RU"/>
        </w:rPr>
      </w:pPr>
      <w:r w:rsidRPr="009715A6">
        <w:rPr>
          <w:rFonts w:ascii="Times New Roman" w:eastAsia="Times New Roman" w:hAnsi="Times New Roman" w:cs="Times New Roman"/>
          <w:sz w:val="24"/>
          <w:szCs w:val="24"/>
          <w:lang w:eastAsia="ru-RU"/>
        </w:rPr>
        <w:t xml:space="preserve">Информация Минфина России от 25 декабря 2013 г. N ПЗ-11/2013 "Организация и осуществление экономическим субъектом внутреннего контроля совершаемых фактов хозяйственной жизни, ведения бухгалтерского учета и составления бухгалтерской (финансовой) отчетности" // КонсультантПлюс [Электронный ресурс] // – Режим доступа: </w:t>
      </w:r>
      <w:hyperlink r:id="rId97" w:history="1">
        <w:r w:rsidRPr="009715A6">
          <w:rPr>
            <w:rFonts w:ascii="Times New Roman" w:eastAsia="Times New Roman" w:hAnsi="Times New Roman" w:cs="Times New Roman"/>
            <w:sz w:val="24"/>
            <w:szCs w:val="24"/>
            <w:lang w:eastAsia="ru-RU"/>
          </w:rPr>
          <w:t>http://www.consultant.ru/document/cons_doc_LAW_156407/</w:t>
        </w:r>
      </w:hyperlink>
      <w:r w:rsidRPr="009715A6">
        <w:rPr>
          <w:rFonts w:ascii="Times New Roman" w:eastAsia="Times New Roman" w:hAnsi="Times New Roman" w:cs="Times New Roman"/>
          <w:sz w:val="24"/>
          <w:szCs w:val="24"/>
          <w:lang w:eastAsia="ru-RU"/>
        </w:rPr>
        <w:t xml:space="preserve"> </w:t>
      </w:r>
    </w:p>
    <w:p w14:paraId="2FC0A1CB" w14:textId="77777777" w:rsidR="00234480" w:rsidRPr="00234480" w:rsidRDefault="00234480" w:rsidP="006A10F6">
      <w:pPr>
        <w:tabs>
          <w:tab w:val="left" w:pos="993"/>
        </w:tabs>
        <w:spacing w:after="0" w:line="240" w:lineRule="auto"/>
        <w:ind w:right="-1"/>
        <w:rPr>
          <w:rFonts w:ascii="Times New Roman" w:eastAsia="MS Mincho" w:hAnsi="Times New Roman"/>
          <w:b/>
          <w:sz w:val="24"/>
          <w:szCs w:val="24"/>
          <w:lang w:eastAsia="ru-RU"/>
        </w:rPr>
      </w:pPr>
    </w:p>
    <w:p w14:paraId="6D20317F" w14:textId="77777777" w:rsidR="00A261E7" w:rsidRPr="009715A6" w:rsidRDefault="00A261E7" w:rsidP="00A261E7">
      <w:pPr>
        <w:rPr>
          <w:rFonts w:ascii="Times New Roman" w:hAnsi="Times New Roman" w:cs="Times New Roman"/>
          <w:b/>
          <w:sz w:val="24"/>
          <w:szCs w:val="24"/>
        </w:rPr>
      </w:pPr>
      <w:r w:rsidRPr="009715A6">
        <w:rPr>
          <w:rFonts w:ascii="Times New Roman" w:hAnsi="Times New Roman" w:cs="Times New Roman"/>
          <w:b/>
          <w:sz w:val="24"/>
          <w:szCs w:val="24"/>
        </w:rPr>
        <w:t xml:space="preserve">Рубрика: Учёт, анализ, аудит и статистика: исследование тенденций и проблем совершенствования. </w:t>
      </w:r>
    </w:p>
    <w:p w14:paraId="7C883B57" w14:textId="77777777" w:rsidR="00A261E7" w:rsidRPr="009715A6" w:rsidRDefault="00A261E7" w:rsidP="00A261E7">
      <w:pPr>
        <w:spacing w:before="240"/>
        <w:rPr>
          <w:rFonts w:ascii="Times New Roman" w:hAnsi="Times New Roman" w:cs="Times New Roman"/>
          <w:sz w:val="24"/>
          <w:szCs w:val="24"/>
        </w:rPr>
      </w:pPr>
      <w:r w:rsidRPr="009715A6">
        <w:rPr>
          <w:rFonts w:ascii="Times New Roman" w:hAnsi="Times New Roman" w:cs="Times New Roman"/>
          <w:sz w:val="24"/>
          <w:szCs w:val="24"/>
        </w:rPr>
        <w:t>УДК 657.9</w:t>
      </w:r>
    </w:p>
    <w:p w14:paraId="5A6A0DBD" w14:textId="77777777" w:rsidR="00A261E7" w:rsidRPr="00100B26" w:rsidRDefault="00A261E7" w:rsidP="00100B26">
      <w:pPr>
        <w:jc w:val="center"/>
        <w:rPr>
          <w:rFonts w:ascii="Times New Roman" w:hAnsi="Times New Roman" w:cs="Times New Roman"/>
          <w:b/>
          <w:sz w:val="24"/>
          <w:szCs w:val="24"/>
        </w:rPr>
      </w:pPr>
      <w:r w:rsidRPr="009715A6">
        <w:rPr>
          <w:rFonts w:ascii="Times New Roman" w:hAnsi="Times New Roman" w:cs="Times New Roman"/>
          <w:b/>
          <w:sz w:val="24"/>
          <w:szCs w:val="24"/>
        </w:rPr>
        <w:t>ПРОБЛЕМЫ ОЦЕНКИ ФИНАНСОВОГО СОСТ</w:t>
      </w:r>
      <w:r w:rsidR="00100B26">
        <w:rPr>
          <w:rFonts w:ascii="Times New Roman" w:hAnsi="Times New Roman" w:cs="Times New Roman"/>
          <w:b/>
          <w:sz w:val="24"/>
          <w:szCs w:val="24"/>
        </w:rPr>
        <w:t>ОЯНИЯ НА ПРИМЕРЕ ООО «СКАЙПАРК»</w:t>
      </w:r>
    </w:p>
    <w:p w14:paraId="371DB61B" w14:textId="77777777" w:rsidR="00A261E7" w:rsidRPr="00100B26" w:rsidRDefault="00A261E7" w:rsidP="00100B26">
      <w:pPr>
        <w:spacing w:after="0" w:line="240" w:lineRule="auto"/>
        <w:ind w:firstLine="709"/>
        <w:jc w:val="center"/>
        <w:rPr>
          <w:rFonts w:ascii="Times New Roman" w:hAnsi="Times New Roman" w:cs="Times New Roman"/>
          <w:b/>
          <w:sz w:val="24"/>
          <w:szCs w:val="24"/>
        </w:rPr>
      </w:pPr>
      <w:r w:rsidRPr="00100B26">
        <w:rPr>
          <w:rFonts w:ascii="Times New Roman" w:hAnsi="Times New Roman" w:cs="Times New Roman"/>
          <w:b/>
          <w:sz w:val="24"/>
          <w:szCs w:val="24"/>
        </w:rPr>
        <w:t>Половникова Светлана Алексеевна</w:t>
      </w:r>
    </w:p>
    <w:p w14:paraId="599F4636" w14:textId="77777777" w:rsidR="00A261E7" w:rsidRPr="009715A6" w:rsidRDefault="00A261E7" w:rsidP="00100B26">
      <w:pPr>
        <w:tabs>
          <w:tab w:val="center" w:pos="5173"/>
          <w:tab w:val="left" w:pos="6045"/>
        </w:tabs>
        <w:spacing w:line="240" w:lineRule="auto"/>
        <w:ind w:firstLine="709"/>
        <w:jc w:val="center"/>
        <w:rPr>
          <w:rFonts w:ascii="Times New Roman" w:hAnsi="Times New Roman" w:cs="Times New Roman"/>
          <w:sz w:val="24"/>
          <w:szCs w:val="24"/>
        </w:rPr>
      </w:pPr>
      <w:r w:rsidRPr="009715A6">
        <w:rPr>
          <w:rFonts w:ascii="Times New Roman" w:hAnsi="Times New Roman" w:cs="Times New Roman"/>
          <w:sz w:val="24"/>
          <w:szCs w:val="24"/>
        </w:rPr>
        <w:t>бакалавр</w:t>
      </w:r>
    </w:p>
    <w:p w14:paraId="1063219D" w14:textId="77777777" w:rsidR="00A261E7" w:rsidRPr="009715A6" w:rsidRDefault="00A261E7" w:rsidP="00100B26">
      <w:pPr>
        <w:spacing w:after="0" w:line="240" w:lineRule="auto"/>
        <w:ind w:firstLine="709"/>
        <w:jc w:val="center"/>
        <w:rPr>
          <w:rFonts w:ascii="Times New Roman" w:hAnsi="Times New Roman" w:cs="Times New Roman"/>
          <w:i/>
          <w:sz w:val="24"/>
          <w:szCs w:val="24"/>
        </w:rPr>
      </w:pPr>
      <w:r w:rsidRPr="009715A6">
        <w:rPr>
          <w:rFonts w:ascii="Times New Roman" w:hAnsi="Times New Roman" w:cs="Times New Roman"/>
          <w:i/>
          <w:sz w:val="24"/>
          <w:szCs w:val="24"/>
        </w:rPr>
        <w:t>Владивостокский государственный университет экономики и сервиса</w:t>
      </w:r>
    </w:p>
    <w:p w14:paraId="788F5778" w14:textId="77777777" w:rsidR="00A261E7" w:rsidRPr="009715A6" w:rsidRDefault="00A261E7" w:rsidP="009715A6">
      <w:pPr>
        <w:spacing w:line="240" w:lineRule="auto"/>
        <w:ind w:firstLine="709"/>
        <w:jc w:val="center"/>
        <w:rPr>
          <w:rFonts w:ascii="Times New Roman" w:hAnsi="Times New Roman" w:cs="Times New Roman"/>
          <w:i/>
          <w:sz w:val="24"/>
          <w:szCs w:val="24"/>
        </w:rPr>
      </w:pPr>
      <w:r w:rsidRPr="009715A6">
        <w:rPr>
          <w:rFonts w:ascii="Times New Roman" w:hAnsi="Times New Roman" w:cs="Times New Roman"/>
          <w:i/>
          <w:sz w:val="24"/>
          <w:szCs w:val="24"/>
        </w:rPr>
        <w:t>Россия. Владивосток</w:t>
      </w:r>
    </w:p>
    <w:p w14:paraId="22C0B210" w14:textId="77777777" w:rsidR="00A261E7" w:rsidRPr="007E1000" w:rsidRDefault="00A261E7" w:rsidP="00100B26">
      <w:pPr>
        <w:spacing w:after="0"/>
        <w:ind w:firstLine="709"/>
        <w:jc w:val="center"/>
        <w:rPr>
          <w:rFonts w:ascii="Times New Roman" w:hAnsi="Times New Roman" w:cs="Times New Roman"/>
          <w:sz w:val="24"/>
          <w:szCs w:val="24"/>
        </w:rPr>
      </w:pPr>
      <w:r w:rsidRPr="009715A6">
        <w:rPr>
          <w:rFonts w:ascii="Times New Roman" w:hAnsi="Times New Roman" w:cs="Times New Roman"/>
          <w:sz w:val="24"/>
          <w:szCs w:val="24"/>
          <w:lang w:val="en-US"/>
        </w:rPr>
        <w:t>E</w:t>
      </w:r>
      <w:r w:rsidRPr="007E1000">
        <w:rPr>
          <w:rFonts w:ascii="Times New Roman" w:hAnsi="Times New Roman" w:cs="Times New Roman"/>
          <w:sz w:val="24"/>
          <w:szCs w:val="24"/>
        </w:rPr>
        <w:t>-</w:t>
      </w:r>
      <w:r w:rsidRPr="009715A6">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hyperlink r:id="rId98" w:history="1">
        <w:r w:rsidRPr="009715A6">
          <w:rPr>
            <w:rStyle w:val="a4"/>
            <w:rFonts w:ascii="Times New Roman" w:hAnsi="Times New Roman" w:cs="Times New Roman"/>
            <w:sz w:val="24"/>
            <w:szCs w:val="24"/>
            <w:lang w:val="en-US"/>
          </w:rPr>
          <w:t>polovnikova</w:t>
        </w:r>
        <w:r w:rsidRPr="007E1000">
          <w:rPr>
            <w:rStyle w:val="a4"/>
            <w:rFonts w:ascii="Times New Roman" w:hAnsi="Times New Roman" w:cs="Times New Roman"/>
            <w:sz w:val="24"/>
            <w:szCs w:val="24"/>
          </w:rPr>
          <w:t>.</w:t>
        </w:r>
        <w:r w:rsidRPr="009715A6">
          <w:rPr>
            <w:rStyle w:val="a4"/>
            <w:rFonts w:ascii="Times New Roman" w:hAnsi="Times New Roman" w:cs="Times New Roman"/>
            <w:sz w:val="24"/>
            <w:szCs w:val="24"/>
            <w:lang w:val="en-US"/>
          </w:rPr>
          <w:t>sveta</w:t>
        </w:r>
        <w:r w:rsidRPr="007E1000">
          <w:rPr>
            <w:rStyle w:val="a4"/>
            <w:rFonts w:ascii="Times New Roman" w:hAnsi="Times New Roman" w:cs="Times New Roman"/>
            <w:sz w:val="24"/>
            <w:szCs w:val="24"/>
          </w:rPr>
          <w:t>2016@</w:t>
        </w:r>
        <w:r w:rsidRPr="009715A6">
          <w:rPr>
            <w:rStyle w:val="a4"/>
            <w:rFonts w:ascii="Times New Roman" w:hAnsi="Times New Roman" w:cs="Times New Roman"/>
            <w:sz w:val="24"/>
            <w:szCs w:val="24"/>
            <w:lang w:val="en-US"/>
          </w:rPr>
          <w:t>yandex</w:t>
        </w:r>
        <w:r w:rsidRPr="007E1000">
          <w:rPr>
            <w:rStyle w:val="a4"/>
            <w:rFonts w:ascii="Times New Roman" w:hAnsi="Times New Roman" w:cs="Times New Roman"/>
            <w:sz w:val="24"/>
            <w:szCs w:val="24"/>
          </w:rPr>
          <w:t>.</w:t>
        </w:r>
        <w:r w:rsidRPr="009715A6">
          <w:rPr>
            <w:rStyle w:val="a4"/>
            <w:rFonts w:ascii="Times New Roman" w:hAnsi="Times New Roman" w:cs="Times New Roman"/>
            <w:sz w:val="24"/>
            <w:szCs w:val="24"/>
            <w:lang w:val="en-US"/>
          </w:rPr>
          <w:t>ru</w:t>
        </w:r>
      </w:hyperlink>
      <w:r w:rsidRPr="007E1000">
        <w:rPr>
          <w:rFonts w:ascii="Times New Roman" w:hAnsi="Times New Roman" w:cs="Times New Roman"/>
          <w:sz w:val="24"/>
          <w:szCs w:val="24"/>
        </w:rPr>
        <w:t xml:space="preserve">; </w:t>
      </w:r>
      <w:r w:rsidRPr="009715A6">
        <w:rPr>
          <w:rFonts w:ascii="Times New Roman" w:hAnsi="Times New Roman" w:cs="Times New Roman"/>
          <w:sz w:val="24"/>
          <w:szCs w:val="24"/>
        </w:rPr>
        <w:t>тел</w:t>
      </w:r>
      <w:r w:rsidRPr="007E1000">
        <w:rPr>
          <w:rFonts w:ascii="Times New Roman" w:hAnsi="Times New Roman" w:cs="Times New Roman"/>
          <w:sz w:val="24"/>
          <w:szCs w:val="24"/>
        </w:rPr>
        <w:t>.: 89245216984</w:t>
      </w:r>
    </w:p>
    <w:p w14:paraId="24A7028A" w14:textId="77777777" w:rsidR="00A261E7" w:rsidRPr="009715A6" w:rsidRDefault="00A261E7" w:rsidP="00A261E7">
      <w:pPr>
        <w:ind w:firstLine="709"/>
        <w:jc w:val="center"/>
        <w:rPr>
          <w:rFonts w:ascii="Times New Roman" w:hAnsi="Times New Roman" w:cs="Times New Roman"/>
          <w:sz w:val="24"/>
          <w:szCs w:val="24"/>
        </w:rPr>
      </w:pPr>
      <w:r w:rsidRPr="009715A6">
        <w:rPr>
          <w:rFonts w:ascii="Times New Roman" w:hAnsi="Times New Roman" w:cs="Times New Roman"/>
          <w:sz w:val="24"/>
          <w:szCs w:val="24"/>
        </w:rPr>
        <w:t>ул. Гоголя, 41, г. Владивосток, Приморский край, Россия, 690014</w:t>
      </w:r>
    </w:p>
    <w:p w14:paraId="3A2BAADD" w14:textId="77777777" w:rsidR="00A261E7" w:rsidRPr="009715A6" w:rsidRDefault="00A261E7" w:rsidP="00A261E7">
      <w:pPr>
        <w:pStyle w:val="aff2"/>
        <w:ind w:firstLine="0"/>
        <w:rPr>
          <w:b/>
          <w:bCs/>
          <w:sz w:val="24"/>
          <w:szCs w:val="24"/>
        </w:rPr>
      </w:pPr>
    </w:p>
    <w:p w14:paraId="737695A2" w14:textId="77777777" w:rsidR="00100B26" w:rsidRPr="00100B26" w:rsidRDefault="00A261E7" w:rsidP="00100B26">
      <w:pPr>
        <w:autoSpaceDE w:val="0"/>
        <w:autoSpaceDN w:val="0"/>
        <w:adjustRightInd w:val="0"/>
        <w:spacing w:after="0"/>
        <w:ind w:firstLine="720"/>
        <w:jc w:val="both"/>
        <w:rPr>
          <w:rFonts w:ascii="Times New Roman" w:hAnsi="Times New Roman" w:cs="Times New Roman"/>
          <w:i/>
          <w:noProof/>
          <w:sz w:val="24"/>
          <w:szCs w:val="24"/>
        </w:rPr>
      </w:pPr>
      <w:r w:rsidRPr="009715A6">
        <w:rPr>
          <w:rFonts w:ascii="Times New Roman" w:eastAsia="TimesNewRomanPSMT" w:hAnsi="Times New Roman" w:cs="Times New Roman"/>
          <w:i/>
          <w:sz w:val="24"/>
          <w:szCs w:val="24"/>
        </w:rPr>
        <w:lastRenderedPageBreak/>
        <w:t>Правильная оценка степени финансового состояния является толчком к выявлению более конкретных причин дисбаланса деятельности организации, а также позволяет своевременно и рационально влиять на механизм возникновения этих причин путем принятия конкретных управленческих решений</w:t>
      </w:r>
      <w:r w:rsidRPr="009715A6">
        <w:rPr>
          <w:rFonts w:ascii="Times New Roman" w:hAnsi="Times New Roman" w:cs="Times New Roman"/>
          <w:i/>
          <w:noProof/>
          <w:sz w:val="24"/>
          <w:szCs w:val="24"/>
        </w:rPr>
        <w:t xml:space="preserve">. В статье дано понятие финансового состояния, показана необходимость его анализа и представлены методы его проведения в условиях </w:t>
      </w:r>
      <w:r w:rsidRPr="00100B26">
        <w:rPr>
          <w:rFonts w:ascii="Times New Roman" w:hAnsi="Times New Roman" w:cs="Times New Roman"/>
          <w:i/>
          <w:noProof/>
          <w:sz w:val="24"/>
          <w:szCs w:val="24"/>
        </w:rPr>
        <w:t xml:space="preserve">конкретной организации. </w:t>
      </w:r>
    </w:p>
    <w:p w14:paraId="1C418C6E" w14:textId="77777777" w:rsidR="00A261E7" w:rsidRPr="00100B26" w:rsidRDefault="00A261E7" w:rsidP="00100B26">
      <w:pPr>
        <w:autoSpaceDE w:val="0"/>
        <w:autoSpaceDN w:val="0"/>
        <w:adjustRightInd w:val="0"/>
        <w:spacing w:line="240" w:lineRule="auto"/>
        <w:ind w:firstLine="720"/>
        <w:jc w:val="both"/>
        <w:rPr>
          <w:rFonts w:ascii="Times New Roman" w:eastAsia="ArialMT" w:hAnsi="Times New Roman" w:cs="Times New Roman"/>
          <w:i/>
          <w:sz w:val="24"/>
          <w:szCs w:val="24"/>
        </w:rPr>
      </w:pPr>
      <w:r w:rsidRPr="00100B26">
        <w:rPr>
          <w:b/>
          <w:i/>
          <w:sz w:val="24"/>
          <w:szCs w:val="24"/>
        </w:rPr>
        <w:t>Ключевые слова</w:t>
      </w:r>
      <w:r w:rsidRPr="00100B26">
        <w:rPr>
          <w:i/>
          <w:sz w:val="24"/>
          <w:szCs w:val="24"/>
        </w:rPr>
        <w:t>: анализ,  финансовое состояние, ликвидность, финансовая устойчивость, деловая активность.</w:t>
      </w:r>
    </w:p>
    <w:p w14:paraId="65A36485" w14:textId="77777777" w:rsidR="00A261E7" w:rsidRPr="00100B26" w:rsidRDefault="00A261E7" w:rsidP="00100B26">
      <w:pPr>
        <w:pStyle w:val="aff2"/>
        <w:spacing w:after="200" w:line="240" w:lineRule="auto"/>
        <w:ind w:firstLine="0"/>
        <w:jc w:val="center"/>
        <w:rPr>
          <w:b/>
          <w:bCs/>
          <w:spacing w:val="-2"/>
          <w:sz w:val="24"/>
          <w:szCs w:val="24"/>
          <w:highlight w:val="cyan"/>
          <w:lang w:val="en-US"/>
        </w:rPr>
      </w:pPr>
      <w:r w:rsidRPr="009715A6">
        <w:rPr>
          <w:b/>
          <w:bCs/>
          <w:spacing w:val="-2"/>
          <w:sz w:val="24"/>
          <w:szCs w:val="24"/>
          <w:lang w:val="en-US"/>
        </w:rPr>
        <w:t>EVALUATION OF THE FINANCIAL CONDITION ON THE EXAMPLE OF "SKY PARK»</w:t>
      </w:r>
    </w:p>
    <w:p w14:paraId="2FC70AD5" w14:textId="77777777" w:rsidR="00A261E7" w:rsidRPr="00100B26" w:rsidRDefault="00A261E7" w:rsidP="00100B26">
      <w:pPr>
        <w:spacing w:after="0"/>
        <w:ind w:firstLine="720"/>
        <w:jc w:val="both"/>
        <w:rPr>
          <w:rStyle w:val="af1"/>
          <w:rFonts w:ascii="Times New Roman" w:hAnsi="Times New Roman"/>
          <w:b w:val="0"/>
          <w:i/>
          <w:color w:val="000000"/>
          <w:sz w:val="24"/>
          <w:szCs w:val="24"/>
          <w:lang w:val="en-US"/>
        </w:rPr>
      </w:pPr>
      <w:r w:rsidRPr="009715A6">
        <w:rPr>
          <w:rStyle w:val="af1"/>
          <w:rFonts w:ascii="Times New Roman" w:hAnsi="Times New Roman"/>
          <w:b w:val="0"/>
          <w:i/>
          <w:color w:val="000000"/>
          <w:sz w:val="24"/>
          <w:szCs w:val="24"/>
          <w:lang w:val="en-US"/>
        </w:rPr>
        <w:t>Proper assessment of the degree of financial condition is the impetus for the identification of more specific causes of imbalance in the activities of the organization, and allows timely and rational influence on the mechanism of occurrence of these causes through specific management decisions. The article describes the concept of financial condition, shows the need for its analysis and presents the methods of its implementation in a particular organization</w:t>
      </w:r>
      <w:r w:rsidR="00100B26" w:rsidRPr="00100B26">
        <w:rPr>
          <w:rStyle w:val="af1"/>
          <w:rFonts w:ascii="Times New Roman" w:hAnsi="Times New Roman"/>
          <w:b w:val="0"/>
          <w:i/>
          <w:color w:val="000000"/>
          <w:sz w:val="24"/>
          <w:szCs w:val="24"/>
          <w:lang w:val="en-US"/>
        </w:rPr>
        <w:t>.</w:t>
      </w:r>
    </w:p>
    <w:p w14:paraId="40D6C4E8" w14:textId="77777777" w:rsidR="009715A6" w:rsidRDefault="00A261E7" w:rsidP="00100B26">
      <w:pPr>
        <w:pStyle w:val="aff2"/>
        <w:spacing w:line="240" w:lineRule="auto"/>
        <w:ind w:firstLine="708"/>
        <w:rPr>
          <w:i/>
          <w:sz w:val="24"/>
          <w:szCs w:val="24"/>
          <w:lang w:val="en-US"/>
        </w:rPr>
      </w:pPr>
      <w:r w:rsidRPr="009715A6">
        <w:rPr>
          <w:b/>
          <w:i/>
          <w:sz w:val="24"/>
          <w:szCs w:val="24"/>
          <w:lang w:val="en-US"/>
        </w:rPr>
        <w:t>Keyword</w:t>
      </w:r>
      <w:r w:rsidRPr="009715A6">
        <w:rPr>
          <w:i/>
          <w:sz w:val="24"/>
          <w:szCs w:val="24"/>
          <w:lang w:val="en-US"/>
        </w:rPr>
        <w:t>s: analysis, financial condition, liquidity, financial stability, business activity</w:t>
      </w:r>
      <w:r w:rsidR="00100B26" w:rsidRPr="00100B26">
        <w:rPr>
          <w:i/>
          <w:sz w:val="24"/>
          <w:szCs w:val="24"/>
          <w:lang w:val="en-US"/>
        </w:rPr>
        <w:t>.</w:t>
      </w:r>
    </w:p>
    <w:p w14:paraId="2E4B6A3E" w14:textId="77777777" w:rsidR="00100B26" w:rsidRPr="00100B26" w:rsidRDefault="00100B26" w:rsidP="00100B26">
      <w:pPr>
        <w:pStyle w:val="aff2"/>
        <w:spacing w:line="240" w:lineRule="auto"/>
        <w:ind w:firstLine="708"/>
        <w:rPr>
          <w:i/>
          <w:sz w:val="24"/>
          <w:szCs w:val="24"/>
          <w:lang w:val="en-US"/>
        </w:rPr>
      </w:pPr>
    </w:p>
    <w:p w14:paraId="5030380B" w14:textId="77777777" w:rsidR="00A261E7" w:rsidRPr="009715A6" w:rsidRDefault="00A261E7" w:rsidP="00100B26">
      <w:pPr>
        <w:spacing w:after="0" w:line="240" w:lineRule="auto"/>
        <w:ind w:firstLine="708"/>
        <w:jc w:val="both"/>
        <w:rPr>
          <w:rFonts w:ascii="Times New Roman" w:hAnsi="Times New Roman" w:cs="Times New Roman"/>
          <w:sz w:val="24"/>
          <w:szCs w:val="24"/>
        </w:rPr>
      </w:pPr>
      <w:r w:rsidRPr="009715A6">
        <w:rPr>
          <w:rFonts w:ascii="Times New Roman" w:hAnsi="Times New Roman" w:cs="Times New Roman"/>
          <w:sz w:val="24"/>
          <w:szCs w:val="24"/>
        </w:rPr>
        <w:t>Финансовое состояние организации помогает определить и оценить насколько конкурентоспособная организация, насколько она привлекательна для акционеров и инвесторов, и как она развивается с момента ее создания до настоящего времени [1].</w:t>
      </w:r>
    </w:p>
    <w:p w14:paraId="5A3F8434" w14:textId="77777777" w:rsidR="00A261E7" w:rsidRPr="009715A6" w:rsidRDefault="00A261E7" w:rsidP="009715A6">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Рассматривая теоретические аспекты оценки финансового состояния, необходимо отметить, что не существует единой трактовки данного понятия, поэтому разными авторами термин «финансовое состояние» рассматривается с разных точек зрения.</w:t>
      </w:r>
    </w:p>
    <w:p w14:paraId="76319A03" w14:textId="77777777" w:rsidR="00A261E7" w:rsidRPr="009715A6" w:rsidRDefault="00A261E7" w:rsidP="009715A6">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Например, экономист Савицкая Г.В. считает, что финансовое состояние организации характеризуется способностью самофинансироваться и развиваться [2].</w:t>
      </w:r>
    </w:p>
    <w:p w14:paraId="122CB40E" w14:textId="77777777" w:rsidR="00A261E7" w:rsidRPr="009715A6" w:rsidRDefault="00A261E7" w:rsidP="009715A6">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С Савицкой Г.В., разделяют свое мнение Банк В.Р. и Тараскина Л.В., к определению финансового состояния ученые добавили такие понятия как «обеспеченность финансовыми ресурсами», «целесообразность их размещения», «эффективность использования», «платежеспособность и финансовая устойчивость» [3].</w:t>
      </w:r>
    </w:p>
    <w:p w14:paraId="16282D33" w14:textId="77777777" w:rsidR="00A261E7" w:rsidRPr="009715A6" w:rsidRDefault="00A261E7" w:rsidP="009715A6">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Исходя из определения финансовой устойчивости организации, Билык М.Д. определяет финансовое состояние как критерий финансовой конкурентоспособности, платежеспособности и кредитоспособности организации [4].</w:t>
      </w:r>
    </w:p>
    <w:p w14:paraId="0FD4649A" w14:textId="77777777" w:rsidR="00A261E7" w:rsidRPr="009715A6" w:rsidRDefault="00A261E7" w:rsidP="009715A6">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Ефимова О.В. рассматривает финансовое состояние как экономическую категорию, которая отображает состояние капитала в процессе его кругооборота и способность субъекта к саморазвитию на определенный промежуток времени [5]. Такие ученые как Гаврилова А.Н., Попов А.А. определяют финансовое состояние через призму инвестиционной деятельности, которую осуществляет организация. Упор делается на то, каким образом и в какие активы размещаются финансовые ресурсы организации, как они используются, при этом особая роль отводится функции контроля выполнения плановых показателей [6].</w:t>
      </w:r>
    </w:p>
    <w:p w14:paraId="346AF486" w14:textId="77777777" w:rsidR="00A261E7" w:rsidRPr="009715A6" w:rsidRDefault="00A261E7" w:rsidP="009715A6">
      <w:pPr>
        <w:widowControl w:val="0"/>
        <w:spacing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Балабанов И.Т. рассматривает финансовое состояние через инвестиционную привлекательность, способность организации быть конкурентоспособным на финансовом рынке и в полном объеме выполнять свои обязательства [7].</w:t>
      </w:r>
    </w:p>
    <w:p w14:paraId="3FB3DC1A" w14:textId="77777777" w:rsidR="00A261E7" w:rsidRPr="009715A6" w:rsidRDefault="00A261E7" w:rsidP="009715A6">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Таким образом, благодаря оценке финансового состояния организации можно определить имущественное состояние организации, возможность погашения своих обязательств, достаточность капитала для операционной деятельности, способность организации к инвестированию, потребность в дополнительных источниках финансирования, возможности увеличения капитала и привлечения заемных средств.</w:t>
      </w:r>
    </w:p>
    <w:p w14:paraId="4F50B99C" w14:textId="77777777" w:rsidR="00A261E7" w:rsidRPr="009715A6" w:rsidRDefault="00A261E7" w:rsidP="009715A6">
      <w:pPr>
        <w:autoSpaceDE w:val="0"/>
        <w:autoSpaceDN w:val="0"/>
        <w:adjustRightInd w:val="0"/>
        <w:spacing w:after="0" w:line="240" w:lineRule="auto"/>
        <w:ind w:firstLine="700"/>
        <w:jc w:val="both"/>
        <w:rPr>
          <w:rFonts w:ascii="Times New Roman" w:hAnsi="Times New Roman" w:cs="Times New Roman"/>
          <w:sz w:val="24"/>
          <w:szCs w:val="24"/>
        </w:rPr>
      </w:pPr>
      <w:r w:rsidRPr="009715A6">
        <w:rPr>
          <w:rFonts w:ascii="Times New Roman" w:hAnsi="Times New Roman" w:cs="Times New Roman"/>
          <w:sz w:val="24"/>
          <w:szCs w:val="24"/>
        </w:rPr>
        <w:t xml:space="preserve">Методика анализа финансового состояния организации включает в себя графический, табличный и коэффициентный способы. </w:t>
      </w:r>
    </w:p>
    <w:p w14:paraId="5E76D2A2" w14:textId="77777777" w:rsidR="00A261E7" w:rsidRPr="009715A6" w:rsidRDefault="00A261E7" w:rsidP="009715A6">
      <w:pPr>
        <w:spacing w:line="240" w:lineRule="auto"/>
        <w:ind w:firstLine="720"/>
        <w:jc w:val="both"/>
        <w:rPr>
          <w:rFonts w:ascii="Times New Roman" w:hAnsi="Times New Roman" w:cs="Times New Roman"/>
          <w:sz w:val="24"/>
          <w:szCs w:val="24"/>
        </w:rPr>
      </w:pPr>
      <w:r w:rsidRPr="009715A6">
        <w:rPr>
          <w:rFonts w:ascii="Times New Roman" w:hAnsi="Times New Roman" w:cs="Times New Roman"/>
          <w:color w:val="000000"/>
          <w:sz w:val="24"/>
          <w:szCs w:val="24"/>
        </w:rPr>
        <w:lastRenderedPageBreak/>
        <w:t xml:space="preserve">Так, имущественный анализ ООО «Спайпарк» (таблица 1) показал </w:t>
      </w:r>
      <w:r w:rsidRPr="009715A6">
        <w:rPr>
          <w:rFonts w:ascii="Times New Roman" w:hAnsi="Times New Roman" w:cs="Times New Roman"/>
          <w:kern w:val="32"/>
          <w:sz w:val="24"/>
          <w:szCs w:val="24"/>
        </w:rPr>
        <w:t xml:space="preserve">благоприятную тенденцию, происходит рост активов, а также снижение дебиторской задолженности, что положительной отражается на финансовой деятельности </w:t>
      </w:r>
      <w:r w:rsidRPr="009715A6">
        <w:rPr>
          <w:rFonts w:ascii="Times New Roman" w:hAnsi="Times New Roman" w:cs="Times New Roman"/>
          <w:sz w:val="24"/>
          <w:szCs w:val="24"/>
        </w:rPr>
        <w:t>организации</w:t>
      </w:r>
      <w:r w:rsidRPr="009715A6">
        <w:rPr>
          <w:rFonts w:ascii="Times New Roman" w:hAnsi="Times New Roman" w:cs="Times New Roman"/>
          <w:kern w:val="32"/>
          <w:sz w:val="24"/>
          <w:szCs w:val="24"/>
        </w:rPr>
        <w:t>. Но отрицательной тенденцией является снижение денежных средств, что отрицательно влияет на платежеспособность</w:t>
      </w:r>
      <w:r w:rsidRPr="009715A6">
        <w:rPr>
          <w:rFonts w:ascii="Times New Roman" w:hAnsi="Times New Roman" w:cs="Times New Roman"/>
          <w:sz w:val="24"/>
          <w:szCs w:val="24"/>
        </w:rPr>
        <w:t xml:space="preserve">. </w:t>
      </w:r>
    </w:p>
    <w:p w14:paraId="1E6AFD9A" w14:textId="77777777" w:rsidR="00A261E7" w:rsidRPr="009715A6" w:rsidRDefault="00A261E7" w:rsidP="00A261E7">
      <w:pPr>
        <w:widowControl w:val="0"/>
        <w:spacing w:before="120"/>
        <w:jc w:val="both"/>
        <w:rPr>
          <w:rFonts w:ascii="Times New Roman" w:hAnsi="Times New Roman" w:cs="Times New Roman"/>
          <w:kern w:val="32"/>
          <w:sz w:val="24"/>
          <w:szCs w:val="24"/>
        </w:rPr>
      </w:pPr>
      <w:r w:rsidRPr="009715A6">
        <w:rPr>
          <w:rFonts w:ascii="Times New Roman" w:hAnsi="Times New Roman" w:cs="Times New Roman"/>
          <w:kern w:val="32"/>
          <w:sz w:val="24"/>
          <w:szCs w:val="24"/>
        </w:rPr>
        <w:t xml:space="preserve">Таблица 1 - Состав и структура активов </w:t>
      </w:r>
      <w:r w:rsidRPr="009715A6">
        <w:rPr>
          <w:rFonts w:ascii="Times New Roman" w:hAnsi="Times New Roman" w:cs="Times New Roman"/>
          <w:sz w:val="24"/>
          <w:szCs w:val="24"/>
        </w:rPr>
        <w:t>ООО «Скайпарк»</w:t>
      </w:r>
      <w:r w:rsidRPr="009715A6">
        <w:rPr>
          <w:rFonts w:ascii="Times New Roman" w:hAnsi="Times New Roman" w:cs="Times New Roman"/>
          <w:kern w:val="32"/>
          <w:sz w:val="24"/>
          <w:szCs w:val="24"/>
        </w:rPr>
        <w:t xml:space="preserve"> за 2015-2017 годы</w:t>
      </w:r>
    </w:p>
    <w:tbl>
      <w:tblPr>
        <w:tblW w:w="943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959"/>
        <w:gridCol w:w="921"/>
        <w:gridCol w:w="915"/>
        <w:gridCol w:w="805"/>
        <w:gridCol w:w="900"/>
        <w:gridCol w:w="873"/>
        <w:gridCol w:w="1003"/>
        <w:gridCol w:w="900"/>
      </w:tblGrid>
      <w:tr w:rsidR="00A261E7" w:rsidRPr="009715A6" w14:paraId="0A1C358A" w14:textId="77777777" w:rsidTr="007E1183">
        <w:trPr>
          <w:trHeight w:val="454"/>
        </w:trPr>
        <w:tc>
          <w:tcPr>
            <w:tcW w:w="2160" w:type="dxa"/>
            <w:vMerge w:val="restart"/>
            <w:tcMar>
              <w:left w:w="28" w:type="dxa"/>
              <w:right w:w="28" w:type="dxa"/>
            </w:tcMar>
            <w:vAlign w:val="center"/>
          </w:tcPr>
          <w:p w14:paraId="512F680A" w14:textId="77777777" w:rsidR="00A261E7" w:rsidRPr="009715A6" w:rsidRDefault="00A261E7" w:rsidP="007E1183">
            <w:pPr>
              <w:widowControl w:val="0"/>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Средства</w:t>
            </w:r>
          </w:p>
          <w:p w14:paraId="69901A8D" w14:textId="77777777" w:rsidR="00A261E7" w:rsidRPr="009715A6" w:rsidRDefault="00A261E7" w:rsidP="007E1183">
            <w:pPr>
              <w:widowControl w:val="0"/>
              <w:jc w:val="center"/>
              <w:rPr>
                <w:rFonts w:ascii="Times New Roman" w:hAnsi="Times New Roman" w:cs="Times New Roman"/>
                <w:kern w:val="32"/>
                <w:sz w:val="24"/>
                <w:szCs w:val="24"/>
              </w:rPr>
            </w:pPr>
            <w:r w:rsidRPr="009715A6">
              <w:rPr>
                <w:rFonts w:ascii="Times New Roman" w:hAnsi="Times New Roman" w:cs="Times New Roman"/>
                <w:kern w:val="32"/>
                <w:sz w:val="24"/>
                <w:szCs w:val="24"/>
              </w:rPr>
              <w:t>организации</w:t>
            </w:r>
          </w:p>
        </w:tc>
        <w:tc>
          <w:tcPr>
            <w:tcW w:w="1880" w:type="dxa"/>
            <w:gridSpan w:val="2"/>
            <w:tcMar>
              <w:left w:w="28" w:type="dxa"/>
              <w:right w:w="28" w:type="dxa"/>
            </w:tcMar>
            <w:vAlign w:val="center"/>
          </w:tcPr>
          <w:p w14:paraId="731C0CD0"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2015г.</w:t>
            </w:r>
          </w:p>
        </w:tc>
        <w:tc>
          <w:tcPr>
            <w:tcW w:w="1720" w:type="dxa"/>
            <w:gridSpan w:val="2"/>
            <w:tcMar>
              <w:left w:w="28" w:type="dxa"/>
              <w:right w:w="28" w:type="dxa"/>
            </w:tcMar>
            <w:vAlign w:val="center"/>
          </w:tcPr>
          <w:p w14:paraId="7FC957EF"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2016г.</w:t>
            </w:r>
          </w:p>
        </w:tc>
        <w:tc>
          <w:tcPr>
            <w:tcW w:w="1773" w:type="dxa"/>
            <w:gridSpan w:val="2"/>
            <w:tcMar>
              <w:left w:w="28" w:type="dxa"/>
              <w:right w:w="28" w:type="dxa"/>
            </w:tcMar>
            <w:vAlign w:val="center"/>
          </w:tcPr>
          <w:p w14:paraId="7B2F4294"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2017г.</w:t>
            </w:r>
          </w:p>
        </w:tc>
        <w:tc>
          <w:tcPr>
            <w:tcW w:w="1903" w:type="dxa"/>
            <w:gridSpan w:val="2"/>
            <w:tcMar>
              <w:left w:w="28" w:type="dxa"/>
              <w:right w:w="28" w:type="dxa"/>
            </w:tcMar>
            <w:vAlign w:val="center"/>
          </w:tcPr>
          <w:p w14:paraId="22CC5FDB"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Темп роста, %</w:t>
            </w:r>
          </w:p>
        </w:tc>
      </w:tr>
      <w:tr w:rsidR="00A261E7" w:rsidRPr="009715A6" w14:paraId="300E3B01" w14:textId="77777777" w:rsidTr="007E1183">
        <w:trPr>
          <w:trHeight w:val="454"/>
        </w:trPr>
        <w:tc>
          <w:tcPr>
            <w:tcW w:w="2160" w:type="dxa"/>
            <w:vMerge/>
            <w:tcMar>
              <w:left w:w="28" w:type="dxa"/>
              <w:right w:w="28" w:type="dxa"/>
            </w:tcMar>
            <w:vAlign w:val="center"/>
          </w:tcPr>
          <w:p w14:paraId="7EF37AA3"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p>
        </w:tc>
        <w:tc>
          <w:tcPr>
            <w:tcW w:w="959" w:type="dxa"/>
            <w:tcMar>
              <w:left w:w="28" w:type="dxa"/>
              <w:right w:w="28" w:type="dxa"/>
            </w:tcMar>
            <w:vAlign w:val="center"/>
          </w:tcPr>
          <w:p w14:paraId="010A3FB6"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тыс. руб.</w:t>
            </w:r>
          </w:p>
        </w:tc>
        <w:tc>
          <w:tcPr>
            <w:tcW w:w="921" w:type="dxa"/>
            <w:tcMar>
              <w:left w:w="28" w:type="dxa"/>
              <w:right w:w="28" w:type="dxa"/>
            </w:tcMar>
            <w:vAlign w:val="center"/>
          </w:tcPr>
          <w:p w14:paraId="074D7DEE"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уд. вес, %</w:t>
            </w:r>
          </w:p>
        </w:tc>
        <w:tc>
          <w:tcPr>
            <w:tcW w:w="915" w:type="dxa"/>
            <w:tcMar>
              <w:left w:w="28" w:type="dxa"/>
              <w:right w:w="28" w:type="dxa"/>
            </w:tcMar>
            <w:vAlign w:val="center"/>
          </w:tcPr>
          <w:p w14:paraId="6D7F6837"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тыс. руб.</w:t>
            </w:r>
          </w:p>
        </w:tc>
        <w:tc>
          <w:tcPr>
            <w:tcW w:w="805" w:type="dxa"/>
            <w:tcMar>
              <w:left w:w="28" w:type="dxa"/>
              <w:right w:w="28" w:type="dxa"/>
            </w:tcMar>
            <w:vAlign w:val="center"/>
          </w:tcPr>
          <w:p w14:paraId="38BCABF7"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уд. вес, %</w:t>
            </w:r>
          </w:p>
        </w:tc>
        <w:tc>
          <w:tcPr>
            <w:tcW w:w="900" w:type="dxa"/>
            <w:tcMar>
              <w:left w:w="28" w:type="dxa"/>
              <w:right w:w="28" w:type="dxa"/>
            </w:tcMar>
            <w:vAlign w:val="center"/>
          </w:tcPr>
          <w:p w14:paraId="672CF39C"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тыс. руб.</w:t>
            </w:r>
          </w:p>
        </w:tc>
        <w:tc>
          <w:tcPr>
            <w:tcW w:w="873" w:type="dxa"/>
            <w:tcMar>
              <w:left w:w="28" w:type="dxa"/>
              <w:right w:w="28" w:type="dxa"/>
            </w:tcMar>
            <w:vAlign w:val="center"/>
          </w:tcPr>
          <w:p w14:paraId="750C082E"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уд. вес, %</w:t>
            </w:r>
          </w:p>
        </w:tc>
        <w:tc>
          <w:tcPr>
            <w:tcW w:w="1003" w:type="dxa"/>
            <w:tcMar>
              <w:left w:w="28" w:type="dxa"/>
              <w:right w:w="28" w:type="dxa"/>
            </w:tcMar>
            <w:vAlign w:val="center"/>
          </w:tcPr>
          <w:p w14:paraId="29B46322"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2016г / 2015г</w:t>
            </w:r>
          </w:p>
        </w:tc>
        <w:tc>
          <w:tcPr>
            <w:tcW w:w="900" w:type="dxa"/>
            <w:tcMar>
              <w:left w:w="28" w:type="dxa"/>
              <w:right w:w="28" w:type="dxa"/>
            </w:tcMar>
            <w:vAlign w:val="center"/>
          </w:tcPr>
          <w:p w14:paraId="062EA5E4"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2017г / 2016г</w:t>
            </w:r>
          </w:p>
        </w:tc>
      </w:tr>
      <w:tr w:rsidR="00A261E7" w:rsidRPr="009715A6" w14:paraId="3C8C93F7" w14:textId="77777777" w:rsidTr="007E1183">
        <w:trPr>
          <w:trHeight w:val="454"/>
        </w:trPr>
        <w:tc>
          <w:tcPr>
            <w:tcW w:w="2160" w:type="dxa"/>
            <w:tcMar>
              <w:left w:w="28" w:type="dxa"/>
              <w:right w:w="28" w:type="dxa"/>
            </w:tcMar>
            <w:vAlign w:val="center"/>
          </w:tcPr>
          <w:p w14:paraId="68BAAE9D" w14:textId="77777777" w:rsidR="00A261E7" w:rsidRPr="009715A6" w:rsidRDefault="00A261E7" w:rsidP="007E1183">
            <w:pPr>
              <w:widowControl w:val="0"/>
              <w:spacing w:before="100" w:beforeAutospacing="1" w:after="100" w:afterAutospacing="1"/>
              <w:ind w:left="-28"/>
              <w:rPr>
                <w:rFonts w:ascii="Times New Roman" w:hAnsi="Times New Roman" w:cs="Times New Roman"/>
                <w:kern w:val="32"/>
                <w:sz w:val="24"/>
                <w:szCs w:val="24"/>
              </w:rPr>
            </w:pPr>
            <w:r w:rsidRPr="009715A6">
              <w:rPr>
                <w:rFonts w:ascii="Times New Roman" w:hAnsi="Times New Roman" w:cs="Times New Roman"/>
                <w:kern w:val="32"/>
                <w:sz w:val="24"/>
                <w:szCs w:val="24"/>
              </w:rPr>
              <w:t>Внеоборотные активы, в т.ч.:</w:t>
            </w:r>
          </w:p>
        </w:tc>
        <w:tc>
          <w:tcPr>
            <w:tcW w:w="959" w:type="dxa"/>
            <w:tcMar>
              <w:left w:w="28" w:type="dxa"/>
              <w:right w:w="28" w:type="dxa"/>
            </w:tcMar>
            <w:vAlign w:val="center"/>
          </w:tcPr>
          <w:p w14:paraId="35A25C9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1318</w:t>
            </w:r>
          </w:p>
        </w:tc>
        <w:tc>
          <w:tcPr>
            <w:tcW w:w="921" w:type="dxa"/>
            <w:tcMar>
              <w:left w:w="28" w:type="dxa"/>
              <w:right w:w="28" w:type="dxa"/>
            </w:tcMar>
            <w:vAlign w:val="center"/>
          </w:tcPr>
          <w:p w14:paraId="39ABC8B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7</w:t>
            </w:r>
            <w:r w:rsidRPr="009715A6">
              <w:rPr>
                <w:rFonts w:ascii="Times New Roman" w:hAnsi="Times New Roman" w:cs="Times New Roman"/>
                <w:color w:val="000000"/>
                <w:kern w:val="32"/>
                <w:sz w:val="24"/>
                <w:szCs w:val="24"/>
              </w:rPr>
              <w:t>,</w:t>
            </w:r>
            <w:r w:rsidRPr="009715A6">
              <w:rPr>
                <w:rFonts w:ascii="Times New Roman" w:hAnsi="Times New Roman" w:cs="Times New Roman"/>
                <w:color w:val="000000"/>
                <w:kern w:val="32"/>
                <w:sz w:val="24"/>
                <w:szCs w:val="24"/>
                <w:lang w:val="en-US"/>
              </w:rPr>
              <w:t>42</w:t>
            </w:r>
          </w:p>
        </w:tc>
        <w:tc>
          <w:tcPr>
            <w:tcW w:w="915" w:type="dxa"/>
            <w:tcMar>
              <w:left w:w="28" w:type="dxa"/>
              <w:right w:w="28" w:type="dxa"/>
            </w:tcMar>
            <w:vAlign w:val="center"/>
          </w:tcPr>
          <w:p w14:paraId="32E78D1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1603</w:t>
            </w:r>
          </w:p>
        </w:tc>
        <w:tc>
          <w:tcPr>
            <w:tcW w:w="805" w:type="dxa"/>
            <w:tcMar>
              <w:left w:w="28" w:type="dxa"/>
              <w:right w:w="28" w:type="dxa"/>
            </w:tcMar>
            <w:vAlign w:val="center"/>
          </w:tcPr>
          <w:p w14:paraId="6CD0C04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8,04</w:t>
            </w:r>
          </w:p>
        </w:tc>
        <w:tc>
          <w:tcPr>
            <w:tcW w:w="900" w:type="dxa"/>
            <w:tcMar>
              <w:left w:w="28" w:type="dxa"/>
              <w:right w:w="28" w:type="dxa"/>
            </w:tcMar>
            <w:vAlign w:val="center"/>
          </w:tcPr>
          <w:p w14:paraId="35908C3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1953</w:t>
            </w:r>
          </w:p>
        </w:tc>
        <w:tc>
          <w:tcPr>
            <w:tcW w:w="873" w:type="dxa"/>
            <w:tcMar>
              <w:left w:w="28" w:type="dxa"/>
              <w:right w:w="28" w:type="dxa"/>
            </w:tcMar>
            <w:vAlign w:val="center"/>
          </w:tcPr>
          <w:p w14:paraId="7A7B5A8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8,42</w:t>
            </w:r>
          </w:p>
        </w:tc>
        <w:tc>
          <w:tcPr>
            <w:tcW w:w="1003" w:type="dxa"/>
            <w:tcMar>
              <w:left w:w="28" w:type="dxa"/>
              <w:right w:w="28" w:type="dxa"/>
            </w:tcMar>
            <w:vAlign w:val="center"/>
          </w:tcPr>
          <w:p w14:paraId="39FFE67E"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121,6</w:t>
            </w:r>
          </w:p>
        </w:tc>
        <w:tc>
          <w:tcPr>
            <w:tcW w:w="900" w:type="dxa"/>
            <w:tcMar>
              <w:left w:w="28" w:type="dxa"/>
              <w:right w:w="28" w:type="dxa"/>
            </w:tcMar>
            <w:vAlign w:val="center"/>
          </w:tcPr>
          <w:p w14:paraId="42723D14"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121,8</w:t>
            </w:r>
          </w:p>
        </w:tc>
      </w:tr>
      <w:tr w:rsidR="00A261E7" w:rsidRPr="009715A6" w14:paraId="12BF6F55" w14:textId="77777777" w:rsidTr="007E1183">
        <w:trPr>
          <w:trHeight w:val="454"/>
        </w:trPr>
        <w:tc>
          <w:tcPr>
            <w:tcW w:w="2160" w:type="dxa"/>
            <w:tcMar>
              <w:left w:w="28" w:type="dxa"/>
              <w:right w:w="28" w:type="dxa"/>
            </w:tcMar>
            <w:vAlign w:val="center"/>
          </w:tcPr>
          <w:p w14:paraId="74FC8B23"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основные средства</w:t>
            </w:r>
          </w:p>
        </w:tc>
        <w:tc>
          <w:tcPr>
            <w:tcW w:w="959" w:type="dxa"/>
            <w:tcMar>
              <w:left w:w="28" w:type="dxa"/>
              <w:right w:w="28" w:type="dxa"/>
            </w:tcMar>
            <w:vAlign w:val="center"/>
          </w:tcPr>
          <w:p w14:paraId="0BFE091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1318</w:t>
            </w:r>
          </w:p>
        </w:tc>
        <w:tc>
          <w:tcPr>
            <w:tcW w:w="921" w:type="dxa"/>
            <w:tcMar>
              <w:left w:w="28" w:type="dxa"/>
              <w:right w:w="28" w:type="dxa"/>
            </w:tcMar>
            <w:vAlign w:val="center"/>
          </w:tcPr>
          <w:p w14:paraId="7AEA775F"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7,42</w:t>
            </w:r>
          </w:p>
        </w:tc>
        <w:tc>
          <w:tcPr>
            <w:tcW w:w="915" w:type="dxa"/>
            <w:tcMar>
              <w:left w:w="28" w:type="dxa"/>
              <w:right w:w="28" w:type="dxa"/>
            </w:tcMar>
            <w:vAlign w:val="center"/>
          </w:tcPr>
          <w:p w14:paraId="3D8B7AD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1603</w:t>
            </w:r>
          </w:p>
        </w:tc>
        <w:tc>
          <w:tcPr>
            <w:tcW w:w="805" w:type="dxa"/>
            <w:tcMar>
              <w:left w:w="28" w:type="dxa"/>
              <w:right w:w="28" w:type="dxa"/>
            </w:tcMar>
            <w:vAlign w:val="center"/>
          </w:tcPr>
          <w:p w14:paraId="6BE3A124"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8,04</w:t>
            </w:r>
          </w:p>
        </w:tc>
        <w:tc>
          <w:tcPr>
            <w:tcW w:w="900" w:type="dxa"/>
            <w:tcMar>
              <w:left w:w="28" w:type="dxa"/>
              <w:right w:w="28" w:type="dxa"/>
            </w:tcMar>
            <w:vAlign w:val="center"/>
          </w:tcPr>
          <w:p w14:paraId="5A87D4EE"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1953</w:t>
            </w:r>
          </w:p>
        </w:tc>
        <w:tc>
          <w:tcPr>
            <w:tcW w:w="873" w:type="dxa"/>
            <w:tcMar>
              <w:left w:w="28" w:type="dxa"/>
              <w:right w:w="28" w:type="dxa"/>
            </w:tcMar>
            <w:vAlign w:val="center"/>
          </w:tcPr>
          <w:p w14:paraId="42FD647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8,42</w:t>
            </w:r>
          </w:p>
        </w:tc>
        <w:tc>
          <w:tcPr>
            <w:tcW w:w="1003" w:type="dxa"/>
            <w:tcMar>
              <w:left w:w="28" w:type="dxa"/>
              <w:right w:w="28" w:type="dxa"/>
            </w:tcMar>
            <w:vAlign w:val="center"/>
          </w:tcPr>
          <w:p w14:paraId="53CE149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121,6</w:t>
            </w:r>
          </w:p>
        </w:tc>
        <w:tc>
          <w:tcPr>
            <w:tcW w:w="900" w:type="dxa"/>
            <w:tcMar>
              <w:left w:w="28" w:type="dxa"/>
              <w:right w:w="28" w:type="dxa"/>
            </w:tcMar>
            <w:vAlign w:val="center"/>
          </w:tcPr>
          <w:p w14:paraId="48921F8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121,8</w:t>
            </w:r>
          </w:p>
        </w:tc>
      </w:tr>
      <w:tr w:rsidR="00A261E7" w:rsidRPr="009715A6" w14:paraId="5EEA00B9" w14:textId="77777777" w:rsidTr="007E1183">
        <w:trPr>
          <w:trHeight w:val="454"/>
        </w:trPr>
        <w:tc>
          <w:tcPr>
            <w:tcW w:w="2160" w:type="dxa"/>
            <w:tcMar>
              <w:left w:w="28" w:type="dxa"/>
              <w:right w:w="28" w:type="dxa"/>
            </w:tcMar>
            <w:vAlign w:val="center"/>
          </w:tcPr>
          <w:p w14:paraId="230D6404"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Оборотные активы, в т.ч.:</w:t>
            </w:r>
          </w:p>
        </w:tc>
        <w:tc>
          <w:tcPr>
            <w:tcW w:w="959" w:type="dxa"/>
            <w:tcMar>
              <w:left w:w="28" w:type="dxa"/>
              <w:right w:w="28" w:type="dxa"/>
            </w:tcMar>
            <w:vAlign w:val="center"/>
          </w:tcPr>
          <w:p w14:paraId="5C1D8D5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16454</w:t>
            </w:r>
          </w:p>
        </w:tc>
        <w:tc>
          <w:tcPr>
            <w:tcW w:w="921" w:type="dxa"/>
            <w:tcMar>
              <w:left w:w="28" w:type="dxa"/>
              <w:right w:w="28" w:type="dxa"/>
            </w:tcMar>
            <w:vAlign w:val="center"/>
          </w:tcPr>
          <w:p w14:paraId="4850EBBE"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92,58</w:t>
            </w:r>
          </w:p>
        </w:tc>
        <w:tc>
          <w:tcPr>
            <w:tcW w:w="915" w:type="dxa"/>
            <w:tcMar>
              <w:left w:w="28" w:type="dxa"/>
              <w:right w:w="28" w:type="dxa"/>
            </w:tcMar>
            <w:vAlign w:val="center"/>
          </w:tcPr>
          <w:p w14:paraId="2E585D01"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18329</w:t>
            </w:r>
          </w:p>
        </w:tc>
        <w:tc>
          <w:tcPr>
            <w:tcW w:w="805" w:type="dxa"/>
            <w:tcMar>
              <w:left w:w="28" w:type="dxa"/>
              <w:right w:w="28" w:type="dxa"/>
            </w:tcMar>
            <w:vAlign w:val="center"/>
          </w:tcPr>
          <w:p w14:paraId="165A1FF0"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91,95</w:t>
            </w:r>
          </w:p>
        </w:tc>
        <w:tc>
          <w:tcPr>
            <w:tcW w:w="900" w:type="dxa"/>
            <w:tcMar>
              <w:left w:w="28" w:type="dxa"/>
              <w:right w:w="28" w:type="dxa"/>
            </w:tcMar>
            <w:vAlign w:val="center"/>
          </w:tcPr>
          <w:p w14:paraId="6B2F0F6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21232</w:t>
            </w:r>
          </w:p>
        </w:tc>
        <w:tc>
          <w:tcPr>
            <w:tcW w:w="873" w:type="dxa"/>
            <w:tcMar>
              <w:left w:w="28" w:type="dxa"/>
              <w:right w:w="28" w:type="dxa"/>
            </w:tcMar>
            <w:vAlign w:val="center"/>
          </w:tcPr>
          <w:p w14:paraId="5727A514"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91,58</w:t>
            </w:r>
          </w:p>
        </w:tc>
        <w:tc>
          <w:tcPr>
            <w:tcW w:w="1003" w:type="dxa"/>
            <w:tcMar>
              <w:left w:w="28" w:type="dxa"/>
              <w:right w:w="28" w:type="dxa"/>
            </w:tcMar>
            <w:vAlign w:val="center"/>
          </w:tcPr>
          <w:p w14:paraId="5B8CB71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111,4</w:t>
            </w:r>
          </w:p>
        </w:tc>
        <w:tc>
          <w:tcPr>
            <w:tcW w:w="900" w:type="dxa"/>
            <w:tcMar>
              <w:left w:w="28" w:type="dxa"/>
              <w:right w:w="28" w:type="dxa"/>
            </w:tcMar>
            <w:vAlign w:val="center"/>
          </w:tcPr>
          <w:p w14:paraId="373E0731"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115,8</w:t>
            </w:r>
          </w:p>
        </w:tc>
      </w:tr>
      <w:tr w:rsidR="00A261E7" w:rsidRPr="009715A6" w14:paraId="38F51828" w14:textId="77777777" w:rsidTr="007E1183">
        <w:trPr>
          <w:trHeight w:val="454"/>
        </w:trPr>
        <w:tc>
          <w:tcPr>
            <w:tcW w:w="2160" w:type="dxa"/>
            <w:tcMar>
              <w:left w:w="28" w:type="dxa"/>
              <w:right w:w="28" w:type="dxa"/>
            </w:tcMar>
            <w:vAlign w:val="center"/>
          </w:tcPr>
          <w:p w14:paraId="5BAFE51F"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запасы</w:t>
            </w:r>
          </w:p>
        </w:tc>
        <w:tc>
          <w:tcPr>
            <w:tcW w:w="959" w:type="dxa"/>
            <w:tcMar>
              <w:left w:w="28" w:type="dxa"/>
              <w:right w:w="28" w:type="dxa"/>
            </w:tcMar>
            <w:vAlign w:val="center"/>
          </w:tcPr>
          <w:p w14:paraId="50A22C9E"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13853</w:t>
            </w:r>
          </w:p>
        </w:tc>
        <w:tc>
          <w:tcPr>
            <w:tcW w:w="921" w:type="dxa"/>
            <w:tcMar>
              <w:left w:w="28" w:type="dxa"/>
              <w:right w:w="28" w:type="dxa"/>
            </w:tcMar>
            <w:vAlign w:val="center"/>
          </w:tcPr>
          <w:p w14:paraId="5D7B3D3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77,95</w:t>
            </w:r>
          </w:p>
        </w:tc>
        <w:tc>
          <w:tcPr>
            <w:tcW w:w="915" w:type="dxa"/>
            <w:tcMar>
              <w:left w:w="28" w:type="dxa"/>
              <w:right w:w="28" w:type="dxa"/>
            </w:tcMar>
            <w:vAlign w:val="center"/>
          </w:tcPr>
          <w:p w14:paraId="095CE79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16208</w:t>
            </w:r>
          </w:p>
        </w:tc>
        <w:tc>
          <w:tcPr>
            <w:tcW w:w="805" w:type="dxa"/>
            <w:tcMar>
              <w:left w:w="28" w:type="dxa"/>
              <w:right w:w="28" w:type="dxa"/>
            </w:tcMar>
            <w:vAlign w:val="center"/>
          </w:tcPr>
          <w:p w14:paraId="780D8B9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81,32</w:t>
            </w:r>
          </w:p>
        </w:tc>
        <w:tc>
          <w:tcPr>
            <w:tcW w:w="900" w:type="dxa"/>
            <w:tcMar>
              <w:left w:w="28" w:type="dxa"/>
              <w:right w:w="28" w:type="dxa"/>
            </w:tcMar>
            <w:vAlign w:val="center"/>
          </w:tcPr>
          <w:p w14:paraId="0E949C4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rPr>
              <w:t>20</w:t>
            </w:r>
            <w:r w:rsidRPr="009715A6">
              <w:rPr>
                <w:rFonts w:ascii="Times New Roman" w:hAnsi="Times New Roman" w:cs="Times New Roman"/>
                <w:color w:val="000000"/>
                <w:kern w:val="32"/>
                <w:sz w:val="24"/>
                <w:szCs w:val="24"/>
                <w:lang w:val="en-US"/>
              </w:rPr>
              <w:t>571</w:t>
            </w:r>
          </w:p>
        </w:tc>
        <w:tc>
          <w:tcPr>
            <w:tcW w:w="873" w:type="dxa"/>
            <w:tcMar>
              <w:left w:w="28" w:type="dxa"/>
              <w:right w:w="28" w:type="dxa"/>
            </w:tcMar>
            <w:vAlign w:val="center"/>
          </w:tcPr>
          <w:p w14:paraId="0EF9371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88,73</w:t>
            </w:r>
          </w:p>
        </w:tc>
        <w:tc>
          <w:tcPr>
            <w:tcW w:w="1003" w:type="dxa"/>
            <w:tcMar>
              <w:left w:w="28" w:type="dxa"/>
              <w:right w:w="28" w:type="dxa"/>
            </w:tcMar>
            <w:vAlign w:val="center"/>
          </w:tcPr>
          <w:p w14:paraId="1B04718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117,0</w:t>
            </w:r>
          </w:p>
        </w:tc>
        <w:tc>
          <w:tcPr>
            <w:tcW w:w="900" w:type="dxa"/>
            <w:tcMar>
              <w:left w:w="28" w:type="dxa"/>
              <w:right w:w="28" w:type="dxa"/>
            </w:tcMar>
            <w:vAlign w:val="center"/>
          </w:tcPr>
          <w:p w14:paraId="2E5DA74D"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126,9</w:t>
            </w:r>
          </w:p>
        </w:tc>
      </w:tr>
      <w:tr w:rsidR="00A261E7" w:rsidRPr="009715A6" w14:paraId="3767339A" w14:textId="77777777" w:rsidTr="007E1183">
        <w:trPr>
          <w:trHeight w:val="454"/>
        </w:trPr>
        <w:tc>
          <w:tcPr>
            <w:tcW w:w="2160" w:type="dxa"/>
            <w:tcMar>
              <w:left w:w="28" w:type="dxa"/>
              <w:right w:w="28" w:type="dxa"/>
            </w:tcMar>
            <w:vAlign w:val="center"/>
          </w:tcPr>
          <w:p w14:paraId="36094C4C"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дебиторская задолженность</w:t>
            </w:r>
          </w:p>
        </w:tc>
        <w:tc>
          <w:tcPr>
            <w:tcW w:w="959" w:type="dxa"/>
            <w:tcMar>
              <w:left w:w="28" w:type="dxa"/>
              <w:right w:w="28" w:type="dxa"/>
            </w:tcMar>
            <w:vAlign w:val="center"/>
          </w:tcPr>
          <w:p w14:paraId="2679DE93"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2073</w:t>
            </w:r>
          </w:p>
        </w:tc>
        <w:tc>
          <w:tcPr>
            <w:tcW w:w="921" w:type="dxa"/>
            <w:tcMar>
              <w:left w:w="28" w:type="dxa"/>
              <w:right w:w="28" w:type="dxa"/>
            </w:tcMar>
            <w:vAlign w:val="center"/>
          </w:tcPr>
          <w:p w14:paraId="163B1CE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11,66</w:t>
            </w:r>
          </w:p>
        </w:tc>
        <w:tc>
          <w:tcPr>
            <w:tcW w:w="915" w:type="dxa"/>
            <w:tcMar>
              <w:left w:w="28" w:type="dxa"/>
              <w:right w:w="28" w:type="dxa"/>
            </w:tcMar>
            <w:vAlign w:val="center"/>
          </w:tcPr>
          <w:p w14:paraId="10D566D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1239</w:t>
            </w:r>
          </w:p>
        </w:tc>
        <w:tc>
          <w:tcPr>
            <w:tcW w:w="805" w:type="dxa"/>
            <w:tcMar>
              <w:left w:w="28" w:type="dxa"/>
              <w:right w:w="28" w:type="dxa"/>
            </w:tcMar>
            <w:vAlign w:val="center"/>
          </w:tcPr>
          <w:p w14:paraId="1E7DDBC3"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6,22</w:t>
            </w:r>
          </w:p>
        </w:tc>
        <w:tc>
          <w:tcPr>
            <w:tcW w:w="900" w:type="dxa"/>
            <w:tcMar>
              <w:left w:w="28" w:type="dxa"/>
              <w:right w:w="28" w:type="dxa"/>
            </w:tcMar>
            <w:vAlign w:val="center"/>
          </w:tcPr>
          <w:p w14:paraId="66A632B1"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203</w:t>
            </w:r>
          </w:p>
        </w:tc>
        <w:tc>
          <w:tcPr>
            <w:tcW w:w="873" w:type="dxa"/>
            <w:tcMar>
              <w:left w:w="28" w:type="dxa"/>
              <w:right w:w="28" w:type="dxa"/>
            </w:tcMar>
            <w:vAlign w:val="center"/>
          </w:tcPr>
          <w:p w14:paraId="35B664BD"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0,88</w:t>
            </w:r>
          </w:p>
        </w:tc>
        <w:tc>
          <w:tcPr>
            <w:tcW w:w="1003" w:type="dxa"/>
            <w:tcMar>
              <w:left w:w="28" w:type="dxa"/>
              <w:right w:w="28" w:type="dxa"/>
            </w:tcMar>
            <w:vAlign w:val="center"/>
          </w:tcPr>
          <w:p w14:paraId="3846984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59,8</w:t>
            </w:r>
          </w:p>
        </w:tc>
        <w:tc>
          <w:tcPr>
            <w:tcW w:w="900" w:type="dxa"/>
            <w:tcMar>
              <w:left w:w="28" w:type="dxa"/>
              <w:right w:w="28" w:type="dxa"/>
            </w:tcMar>
            <w:vAlign w:val="center"/>
          </w:tcPr>
          <w:p w14:paraId="4E0352F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16,4</w:t>
            </w:r>
          </w:p>
        </w:tc>
      </w:tr>
      <w:tr w:rsidR="00A261E7" w:rsidRPr="009715A6" w14:paraId="52B3D726" w14:textId="77777777" w:rsidTr="007E1183">
        <w:trPr>
          <w:trHeight w:val="454"/>
        </w:trPr>
        <w:tc>
          <w:tcPr>
            <w:tcW w:w="2160" w:type="dxa"/>
            <w:tcMar>
              <w:left w:w="28" w:type="dxa"/>
              <w:right w:w="28" w:type="dxa"/>
            </w:tcMar>
            <w:vAlign w:val="center"/>
          </w:tcPr>
          <w:p w14:paraId="0143DB85"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денежные средства</w:t>
            </w:r>
          </w:p>
        </w:tc>
        <w:tc>
          <w:tcPr>
            <w:tcW w:w="959" w:type="dxa"/>
            <w:tcMar>
              <w:left w:w="28" w:type="dxa"/>
              <w:right w:w="28" w:type="dxa"/>
            </w:tcMar>
            <w:vAlign w:val="center"/>
          </w:tcPr>
          <w:p w14:paraId="56E9A04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528</w:t>
            </w:r>
          </w:p>
        </w:tc>
        <w:tc>
          <w:tcPr>
            <w:tcW w:w="921" w:type="dxa"/>
            <w:tcMar>
              <w:left w:w="28" w:type="dxa"/>
              <w:right w:w="28" w:type="dxa"/>
            </w:tcMar>
            <w:vAlign w:val="center"/>
          </w:tcPr>
          <w:p w14:paraId="71C02E44"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2,97</w:t>
            </w:r>
          </w:p>
        </w:tc>
        <w:tc>
          <w:tcPr>
            <w:tcW w:w="915" w:type="dxa"/>
            <w:tcMar>
              <w:left w:w="28" w:type="dxa"/>
              <w:right w:w="28" w:type="dxa"/>
            </w:tcMar>
            <w:vAlign w:val="center"/>
          </w:tcPr>
          <w:p w14:paraId="4D29F78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882</w:t>
            </w:r>
          </w:p>
        </w:tc>
        <w:tc>
          <w:tcPr>
            <w:tcW w:w="805" w:type="dxa"/>
            <w:tcMar>
              <w:left w:w="28" w:type="dxa"/>
              <w:right w:w="28" w:type="dxa"/>
            </w:tcMar>
            <w:vAlign w:val="center"/>
          </w:tcPr>
          <w:p w14:paraId="555D5800"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4,43</w:t>
            </w:r>
          </w:p>
        </w:tc>
        <w:tc>
          <w:tcPr>
            <w:tcW w:w="900" w:type="dxa"/>
            <w:tcMar>
              <w:left w:w="28" w:type="dxa"/>
              <w:right w:w="28" w:type="dxa"/>
            </w:tcMar>
            <w:vAlign w:val="center"/>
          </w:tcPr>
          <w:p w14:paraId="06E0A15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458</w:t>
            </w:r>
          </w:p>
        </w:tc>
        <w:tc>
          <w:tcPr>
            <w:tcW w:w="873" w:type="dxa"/>
            <w:tcMar>
              <w:left w:w="28" w:type="dxa"/>
              <w:right w:w="28" w:type="dxa"/>
            </w:tcMar>
            <w:vAlign w:val="center"/>
          </w:tcPr>
          <w:p w14:paraId="1EC6DC9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1,98</w:t>
            </w:r>
          </w:p>
        </w:tc>
        <w:tc>
          <w:tcPr>
            <w:tcW w:w="1003" w:type="dxa"/>
            <w:tcMar>
              <w:left w:w="28" w:type="dxa"/>
              <w:right w:w="28" w:type="dxa"/>
            </w:tcMar>
            <w:vAlign w:val="center"/>
          </w:tcPr>
          <w:p w14:paraId="209D2400"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167,0</w:t>
            </w:r>
          </w:p>
        </w:tc>
        <w:tc>
          <w:tcPr>
            <w:tcW w:w="900" w:type="dxa"/>
            <w:tcMar>
              <w:left w:w="28" w:type="dxa"/>
              <w:right w:w="28" w:type="dxa"/>
            </w:tcMar>
            <w:vAlign w:val="center"/>
          </w:tcPr>
          <w:p w14:paraId="18A9C52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51,9</w:t>
            </w:r>
          </w:p>
        </w:tc>
      </w:tr>
      <w:tr w:rsidR="00A261E7" w:rsidRPr="009715A6" w14:paraId="6D41BCA4" w14:textId="77777777" w:rsidTr="007E1183">
        <w:trPr>
          <w:trHeight w:val="454"/>
        </w:trPr>
        <w:tc>
          <w:tcPr>
            <w:tcW w:w="2160" w:type="dxa"/>
            <w:tcMar>
              <w:left w:w="28" w:type="dxa"/>
              <w:right w:w="28" w:type="dxa"/>
            </w:tcMar>
            <w:vAlign w:val="center"/>
          </w:tcPr>
          <w:p w14:paraId="3111EE50"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Баланс</w:t>
            </w:r>
          </w:p>
        </w:tc>
        <w:tc>
          <w:tcPr>
            <w:tcW w:w="959" w:type="dxa"/>
            <w:tcMar>
              <w:left w:w="28" w:type="dxa"/>
              <w:right w:w="28" w:type="dxa"/>
            </w:tcMar>
            <w:vAlign w:val="center"/>
          </w:tcPr>
          <w:p w14:paraId="14242B7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17772</w:t>
            </w:r>
          </w:p>
        </w:tc>
        <w:tc>
          <w:tcPr>
            <w:tcW w:w="921" w:type="dxa"/>
            <w:tcMar>
              <w:left w:w="28" w:type="dxa"/>
              <w:right w:w="28" w:type="dxa"/>
            </w:tcMar>
            <w:vAlign w:val="center"/>
          </w:tcPr>
          <w:p w14:paraId="381228A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915" w:type="dxa"/>
            <w:tcMar>
              <w:left w:w="28" w:type="dxa"/>
              <w:right w:w="28" w:type="dxa"/>
            </w:tcMar>
            <w:vAlign w:val="center"/>
          </w:tcPr>
          <w:p w14:paraId="75A2412E"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19932</w:t>
            </w:r>
          </w:p>
        </w:tc>
        <w:tc>
          <w:tcPr>
            <w:tcW w:w="805" w:type="dxa"/>
            <w:tcMar>
              <w:left w:w="28" w:type="dxa"/>
              <w:right w:w="28" w:type="dxa"/>
            </w:tcMar>
            <w:vAlign w:val="center"/>
          </w:tcPr>
          <w:p w14:paraId="5FEF83C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900" w:type="dxa"/>
            <w:tcMar>
              <w:left w:w="28" w:type="dxa"/>
              <w:right w:w="28" w:type="dxa"/>
            </w:tcMar>
            <w:vAlign w:val="center"/>
          </w:tcPr>
          <w:p w14:paraId="2DC21B95"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lang w:val="en-US"/>
              </w:rPr>
            </w:pPr>
            <w:r w:rsidRPr="009715A6">
              <w:rPr>
                <w:rFonts w:ascii="Times New Roman" w:hAnsi="Times New Roman" w:cs="Times New Roman"/>
                <w:color w:val="000000"/>
                <w:kern w:val="32"/>
                <w:sz w:val="24"/>
                <w:szCs w:val="24"/>
                <w:lang w:val="en-US"/>
              </w:rPr>
              <w:t>23185</w:t>
            </w:r>
          </w:p>
        </w:tc>
        <w:tc>
          <w:tcPr>
            <w:tcW w:w="873" w:type="dxa"/>
            <w:tcMar>
              <w:left w:w="28" w:type="dxa"/>
              <w:right w:w="28" w:type="dxa"/>
            </w:tcMar>
            <w:vAlign w:val="center"/>
          </w:tcPr>
          <w:p w14:paraId="5BBD2A3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1003" w:type="dxa"/>
            <w:tcMar>
              <w:left w:w="28" w:type="dxa"/>
              <w:right w:w="28" w:type="dxa"/>
            </w:tcMar>
            <w:vAlign w:val="center"/>
          </w:tcPr>
          <w:p w14:paraId="4641EE00"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112,2</w:t>
            </w:r>
          </w:p>
        </w:tc>
        <w:tc>
          <w:tcPr>
            <w:tcW w:w="900" w:type="dxa"/>
            <w:tcMar>
              <w:left w:w="28" w:type="dxa"/>
              <w:right w:w="28" w:type="dxa"/>
            </w:tcMar>
            <w:vAlign w:val="center"/>
          </w:tcPr>
          <w:p w14:paraId="4C0A69AD"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116,3</w:t>
            </w:r>
          </w:p>
        </w:tc>
      </w:tr>
    </w:tbl>
    <w:p w14:paraId="3C7576EC" w14:textId="77777777" w:rsidR="00A261E7" w:rsidRPr="009715A6" w:rsidRDefault="00A261E7" w:rsidP="00A261E7">
      <w:pPr>
        <w:ind w:firstLine="720"/>
        <w:jc w:val="both"/>
        <w:rPr>
          <w:rFonts w:ascii="Times New Roman" w:hAnsi="Times New Roman" w:cs="Times New Roman"/>
          <w:sz w:val="24"/>
          <w:szCs w:val="24"/>
        </w:rPr>
      </w:pPr>
    </w:p>
    <w:p w14:paraId="1A1C574B" w14:textId="77777777" w:rsidR="00A261E7" w:rsidRPr="009715A6" w:rsidRDefault="00A261E7" w:rsidP="009715A6">
      <w:pPr>
        <w:widowControl w:val="0"/>
        <w:spacing w:line="240" w:lineRule="auto"/>
        <w:ind w:firstLine="540"/>
        <w:jc w:val="both"/>
        <w:rPr>
          <w:rFonts w:ascii="Times New Roman" w:hAnsi="Times New Roman" w:cs="Times New Roman"/>
          <w:sz w:val="24"/>
          <w:szCs w:val="24"/>
        </w:rPr>
      </w:pPr>
      <w:r w:rsidRPr="009715A6">
        <w:rPr>
          <w:rFonts w:ascii="Times New Roman" w:hAnsi="Times New Roman" w:cs="Times New Roman"/>
          <w:sz w:val="24"/>
          <w:szCs w:val="24"/>
        </w:rPr>
        <w:t xml:space="preserve">Анализ источников средств ООО «Скайпарк» (таблица 2) показал благоприятную тенденцию, что связано с ростом собственного капитала, но среди отрицательных моментов следует отметить рост кредиторской задолженности, что увеличивает зависимость организации от внешнего кредитования и снижет его финансовую устойчивость. Динамика структуры пассива баланса показывает рост доли собственного капитала в 2017 г. за счет снижения доли краткосрочных обязательств. </w:t>
      </w:r>
    </w:p>
    <w:p w14:paraId="023B4C0E" w14:textId="77777777" w:rsidR="00A261E7" w:rsidRPr="009715A6" w:rsidRDefault="00A261E7" w:rsidP="00A261E7">
      <w:pPr>
        <w:widowControl w:val="0"/>
        <w:spacing w:before="120"/>
        <w:rPr>
          <w:rFonts w:ascii="Times New Roman" w:hAnsi="Times New Roman" w:cs="Times New Roman"/>
          <w:kern w:val="32"/>
          <w:sz w:val="24"/>
          <w:szCs w:val="24"/>
        </w:rPr>
      </w:pPr>
      <w:r w:rsidRPr="009715A6">
        <w:rPr>
          <w:rFonts w:ascii="Times New Roman" w:hAnsi="Times New Roman" w:cs="Times New Roman"/>
          <w:kern w:val="32"/>
          <w:sz w:val="24"/>
          <w:szCs w:val="24"/>
        </w:rPr>
        <w:t xml:space="preserve">Таблица 2 - Динамики и структура пассивной части баланса </w:t>
      </w:r>
      <w:r w:rsidRPr="009715A6">
        <w:rPr>
          <w:rFonts w:ascii="Times New Roman" w:hAnsi="Times New Roman" w:cs="Times New Roman"/>
          <w:sz w:val="24"/>
          <w:szCs w:val="24"/>
        </w:rPr>
        <w:t>ООО «Скайпарк»</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954"/>
        <w:gridCol w:w="846"/>
        <w:gridCol w:w="954"/>
        <w:gridCol w:w="848"/>
        <w:gridCol w:w="954"/>
        <w:gridCol w:w="887"/>
        <w:gridCol w:w="887"/>
        <w:gridCol w:w="870"/>
      </w:tblGrid>
      <w:tr w:rsidR="00A261E7" w:rsidRPr="009715A6" w14:paraId="10742B0D" w14:textId="77777777" w:rsidTr="007E1183">
        <w:trPr>
          <w:trHeight w:val="454"/>
        </w:trPr>
        <w:tc>
          <w:tcPr>
            <w:tcW w:w="2160" w:type="dxa"/>
            <w:vMerge w:val="restart"/>
            <w:vAlign w:val="center"/>
          </w:tcPr>
          <w:p w14:paraId="0A6B8796" w14:textId="77777777" w:rsidR="00A261E7" w:rsidRPr="009715A6" w:rsidRDefault="00A261E7" w:rsidP="007E1183">
            <w:pPr>
              <w:widowControl w:val="0"/>
              <w:jc w:val="center"/>
              <w:rPr>
                <w:rFonts w:ascii="Times New Roman" w:hAnsi="Times New Roman" w:cs="Times New Roman"/>
                <w:kern w:val="32"/>
                <w:sz w:val="24"/>
                <w:szCs w:val="24"/>
              </w:rPr>
            </w:pPr>
            <w:r w:rsidRPr="009715A6">
              <w:rPr>
                <w:rFonts w:ascii="Times New Roman" w:hAnsi="Times New Roman" w:cs="Times New Roman"/>
                <w:kern w:val="32"/>
                <w:sz w:val="24"/>
                <w:szCs w:val="24"/>
              </w:rPr>
              <w:t xml:space="preserve">Источники </w:t>
            </w:r>
          </w:p>
          <w:p w14:paraId="22E859BE" w14:textId="77777777" w:rsidR="00A261E7" w:rsidRPr="009715A6" w:rsidRDefault="00A261E7" w:rsidP="007E1183">
            <w:pPr>
              <w:widowControl w:val="0"/>
              <w:jc w:val="center"/>
              <w:rPr>
                <w:rFonts w:ascii="Times New Roman" w:hAnsi="Times New Roman" w:cs="Times New Roman"/>
                <w:kern w:val="32"/>
                <w:sz w:val="24"/>
                <w:szCs w:val="24"/>
              </w:rPr>
            </w:pPr>
            <w:r w:rsidRPr="009715A6">
              <w:rPr>
                <w:rFonts w:ascii="Times New Roman" w:hAnsi="Times New Roman" w:cs="Times New Roman"/>
                <w:kern w:val="32"/>
                <w:sz w:val="24"/>
                <w:szCs w:val="24"/>
              </w:rPr>
              <w:t xml:space="preserve">средств </w:t>
            </w:r>
          </w:p>
          <w:p w14:paraId="3F4CA260" w14:textId="77777777" w:rsidR="00A261E7" w:rsidRPr="009715A6" w:rsidRDefault="00A261E7" w:rsidP="007E1183">
            <w:pPr>
              <w:widowControl w:val="0"/>
              <w:jc w:val="center"/>
              <w:rPr>
                <w:rFonts w:ascii="Times New Roman" w:hAnsi="Times New Roman" w:cs="Times New Roman"/>
                <w:kern w:val="32"/>
                <w:sz w:val="24"/>
                <w:szCs w:val="24"/>
              </w:rPr>
            </w:pPr>
            <w:r w:rsidRPr="009715A6">
              <w:rPr>
                <w:rFonts w:ascii="Times New Roman" w:hAnsi="Times New Roman" w:cs="Times New Roman"/>
                <w:kern w:val="32"/>
                <w:sz w:val="24"/>
                <w:szCs w:val="24"/>
              </w:rPr>
              <w:t>организации</w:t>
            </w:r>
          </w:p>
        </w:tc>
        <w:tc>
          <w:tcPr>
            <w:tcW w:w="1800" w:type="dxa"/>
            <w:gridSpan w:val="2"/>
            <w:vAlign w:val="center"/>
          </w:tcPr>
          <w:p w14:paraId="18EC45B9"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2015 г.</w:t>
            </w:r>
          </w:p>
        </w:tc>
        <w:tc>
          <w:tcPr>
            <w:tcW w:w="1802" w:type="dxa"/>
            <w:gridSpan w:val="2"/>
            <w:vAlign w:val="center"/>
          </w:tcPr>
          <w:p w14:paraId="6FF7A784"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2016 г.</w:t>
            </w:r>
          </w:p>
        </w:tc>
        <w:tc>
          <w:tcPr>
            <w:tcW w:w="1841" w:type="dxa"/>
            <w:gridSpan w:val="2"/>
            <w:vAlign w:val="center"/>
          </w:tcPr>
          <w:p w14:paraId="6E77731D"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2017 г.</w:t>
            </w:r>
          </w:p>
        </w:tc>
        <w:tc>
          <w:tcPr>
            <w:tcW w:w="1757" w:type="dxa"/>
            <w:gridSpan w:val="2"/>
            <w:vAlign w:val="center"/>
          </w:tcPr>
          <w:p w14:paraId="1F27EE1D"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Темп роста. %</w:t>
            </w:r>
          </w:p>
        </w:tc>
      </w:tr>
      <w:tr w:rsidR="00A261E7" w:rsidRPr="009715A6" w14:paraId="1195F1D9" w14:textId="77777777" w:rsidTr="007E1183">
        <w:trPr>
          <w:trHeight w:val="454"/>
        </w:trPr>
        <w:tc>
          <w:tcPr>
            <w:tcW w:w="2160" w:type="dxa"/>
            <w:vMerge/>
            <w:vAlign w:val="center"/>
          </w:tcPr>
          <w:p w14:paraId="6000547E"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p>
        </w:tc>
        <w:tc>
          <w:tcPr>
            <w:tcW w:w="954" w:type="dxa"/>
            <w:tcMar>
              <w:left w:w="57" w:type="dxa"/>
              <w:right w:w="57" w:type="dxa"/>
            </w:tcMar>
            <w:vAlign w:val="center"/>
          </w:tcPr>
          <w:p w14:paraId="06D6E29E"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тыс. руб.</w:t>
            </w:r>
          </w:p>
        </w:tc>
        <w:tc>
          <w:tcPr>
            <w:tcW w:w="846" w:type="dxa"/>
            <w:tcMar>
              <w:left w:w="57" w:type="dxa"/>
              <w:right w:w="57" w:type="dxa"/>
            </w:tcMar>
            <w:vAlign w:val="center"/>
          </w:tcPr>
          <w:p w14:paraId="2CB2DA16"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уд. вес, %</w:t>
            </w:r>
          </w:p>
        </w:tc>
        <w:tc>
          <w:tcPr>
            <w:tcW w:w="954" w:type="dxa"/>
            <w:tcMar>
              <w:left w:w="57" w:type="dxa"/>
              <w:right w:w="57" w:type="dxa"/>
            </w:tcMar>
            <w:vAlign w:val="center"/>
          </w:tcPr>
          <w:p w14:paraId="5A008DDE"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тыс. руб.</w:t>
            </w:r>
          </w:p>
        </w:tc>
        <w:tc>
          <w:tcPr>
            <w:tcW w:w="848" w:type="dxa"/>
            <w:tcMar>
              <w:left w:w="57" w:type="dxa"/>
              <w:right w:w="57" w:type="dxa"/>
            </w:tcMar>
            <w:vAlign w:val="center"/>
          </w:tcPr>
          <w:p w14:paraId="32487770"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уд. вес, %</w:t>
            </w:r>
          </w:p>
        </w:tc>
        <w:tc>
          <w:tcPr>
            <w:tcW w:w="954" w:type="dxa"/>
            <w:tcMar>
              <w:left w:w="57" w:type="dxa"/>
              <w:right w:w="57" w:type="dxa"/>
            </w:tcMar>
            <w:vAlign w:val="center"/>
          </w:tcPr>
          <w:p w14:paraId="2FCC8E8B"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тыс. руб.</w:t>
            </w:r>
          </w:p>
        </w:tc>
        <w:tc>
          <w:tcPr>
            <w:tcW w:w="887" w:type="dxa"/>
            <w:tcMar>
              <w:left w:w="57" w:type="dxa"/>
              <w:right w:w="57" w:type="dxa"/>
            </w:tcMar>
            <w:vAlign w:val="center"/>
          </w:tcPr>
          <w:p w14:paraId="44ADCECE"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уд. вес, %</w:t>
            </w:r>
          </w:p>
        </w:tc>
        <w:tc>
          <w:tcPr>
            <w:tcW w:w="887" w:type="dxa"/>
            <w:vAlign w:val="center"/>
          </w:tcPr>
          <w:p w14:paraId="18787BC6"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2016г/ 2015г</w:t>
            </w:r>
          </w:p>
        </w:tc>
        <w:tc>
          <w:tcPr>
            <w:tcW w:w="870" w:type="dxa"/>
            <w:vAlign w:val="center"/>
          </w:tcPr>
          <w:p w14:paraId="7B53A6EF" w14:textId="77777777" w:rsidR="00A261E7" w:rsidRPr="009715A6" w:rsidRDefault="00A261E7" w:rsidP="007E1183">
            <w:pPr>
              <w:widowControl w:val="0"/>
              <w:spacing w:before="100" w:beforeAutospacing="1" w:after="100" w:afterAutospacing="1"/>
              <w:jc w:val="center"/>
              <w:rPr>
                <w:rFonts w:ascii="Times New Roman" w:hAnsi="Times New Roman" w:cs="Times New Roman"/>
                <w:kern w:val="32"/>
                <w:sz w:val="24"/>
                <w:szCs w:val="24"/>
              </w:rPr>
            </w:pPr>
            <w:r w:rsidRPr="009715A6">
              <w:rPr>
                <w:rFonts w:ascii="Times New Roman" w:hAnsi="Times New Roman" w:cs="Times New Roman"/>
                <w:kern w:val="32"/>
                <w:sz w:val="24"/>
                <w:szCs w:val="24"/>
              </w:rPr>
              <w:t>2017г /2016г</w:t>
            </w:r>
          </w:p>
        </w:tc>
      </w:tr>
      <w:tr w:rsidR="00A261E7" w:rsidRPr="009715A6" w14:paraId="6B2E0069" w14:textId="77777777" w:rsidTr="007E1183">
        <w:trPr>
          <w:trHeight w:val="454"/>
        </w:trPr>
        <w:tc>
          <w:tcPr>
            <w:tcW w:w="2160" w:type="dxa"/>
            <w:tcMar>
              <w:left w:w="28" w:type="dxa"/>
              <w:right w:w="28" w:type="dxa"/>
            </w:tcMar>
            <w:vAlign w:val="center"/>
          </w:tcPr>
          <w:p w14:paraId="49BA82D2"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Капитал и резервы:</w:t>
            </w:r>
          </w:p>
        </w:tc>
        <w:tc>
          <w:tcPr>
            <w:tcW w:w="954" w:type="dxa"/>
            <w:tcMar>
              <w:left w:w="57" w:type="dxa"/>
              <w:right w:w="57" w:type="dxa"/>
            </w:tcMar>
            <w:vAlign w:val="center"/>
          </w:tcPr>
          <w:p w14:paraId="4A14491F"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9723</w:t>
            </w:r>
          </w:p>
        </w:tc>
        <w:tc>
          <w:tcPr>
            <w:tcW w:w="846" w:type="dxa"/>
            <w:tcMar>
              <w:left w:w="57" w:type="dxa"/>
              <w:right w:w="57" w:type="dxa"/>
            </w:tcMar>
            <w:vAlign w:val="center"/>
          </w:tcPr>
          <w:p w14:paraId="7F986CF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54,71</w:t>
            </w:r>
          </w:p>
        </w:tc>
        <w:tc>
          <w:tcPr>
            <w:tcW w:w="954" w:type="dxa"/>
            <w:tcMar>
              <w:left w:w="57" w:type="dxa"/>
              <w:right w:w="57" w:type="dxa"/>
            </w:tcMar>
            <w:vAlign w:val="center"/>
          </w:tcPr>
          <w:p w14:paraId="3B5A5A55"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10372</w:t>
            </w:r>
          </w:p>
        </w:tc>
        <w:tc>
          <w:tcPr>
            <w:tcW w:w="848" w:type="dxa"/>
            <w:tcMar>
              <w:left w:w="57" w:type="dxa"/>
              <w:right w:w="57" w:type="dxa"/>
            </w:tcMar>
            <w:vAlign w:val="center"/>
          </w:tcPr>
          <w:p w14:paraId="0299B7B5"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52,04</w:t>
            </w:r>
          </w:p>
        </w:tc>
        <w:tc>
          <w:tcPr>
            <w:tcW w:w="954" w:type="dxa"/>
            <w:tcMar>
              <w:left w:w="57" w:type="dxa"/>
              <w:right w:w="57" w:type="dxa"/>
            </w:tcMar>
            <w:vAlign w:val="center"/>
          </w:tcPr>
          <w:p w14:paraId="5F1232B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12887</w:t>
            </w:r>
          </w:p>
        </w:tc>
        <w:tc>
          <w:tcPr>
            <w:tcW w:w="887" w:type="dxa"/>
            <w:tcMar>
              <w:left w:w="57" w:type="dxa"/>
              <w:right w:w="57" w:type="dxa"/>
            </w:tcMar>
            <w:vAlign w:val="center"/>
          </w:tcPr>
          <w:p w14:paraId="5B0DA8B3"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55,58</w:t>
            </w:r>
          </w:p>
        </w:tc>
        <w:tc>
          <w:tcPr>
            <w:tcW w:w="887" w:type="dxa"/>
            <w:vAlign w:val="center"/>
          </w:tcPr>
          <w:p w14:paraId="107D9E2D"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106,7</w:t>
            </w:r>
          </w:p>
        </w:tc>
        <w:tc>
          <w:tcPr>
            <w:tcW w:w="870" w:type="dxa"/>
            <w:vAlign w:val="center"/>
          </w:tcPr>
          <w:p w14:paraId="1ABB105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124,2</w:t>
            </w:r>
          </w:p>
        </w:tc>
      </w:tr>
      <w:tr w:rsidR="00A261E7" w:rsidRPr="009715A6" w14:paraId="01064069" w14:textId="77777777" w:rsidTr="007E1183">
        <w:trPr>
          <w:trHeight w:val="454"/>
        </w:trPr>
        <w:tc>
          <w:tcPr>
            <w:tcW w:w="2160" w:type="dxa"/>
            <w:tcMar>
              <w:left w:w="28" w:type="dxa"/>
              <w:right w:w="28" w:type="dxa"/>
            </w:tcMar>
            <w:vAlign w:val="center"/>
          </w:tcPr>
          <w:p w14:paraId="2D5331DF"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уставный капитал</w:t>
            </w:r>
          </w:p>
        </w:tc>
        <w:tc>
          <w:tcPr>
            <w:tcW w:w="954" w:type="dxa"/>
            <w:tcMar>
              <w:left w:w="57" w:type="dxa"/>
              <w:right w:w="57" w:type="dxa"/>
            </w:tcMar>
            <w:vAlign w:val="center"/>
          </w:tcPr>
          <w:p w14:paraId="4F7111AF"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70</w:t>
            </w:r>
          </w:p>
        </w:tc>
        <w:tc>
          <w:tcPr>
            <w:tcW w:w="846" w:type="dxa"/>
            <w:tcMar>
              <w:left w:w="57" w:type="dxa"/>
              <w:right w:w="57" w:type="dxa"/>
            </w:tcMar>
            <w:vAlign w:val="center"/>
          </w:tcPr>
          <w:p w14:paraId="53FD6D3E"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0,39</w:t>
            </w:r>
          </w:p>
        </w:tc>
        <w:tc>
          <w:tcPr>
            <w:tcW w:w="954" w:type="dxa"/>
            <w:tcMar>
              <w:left w:w="57" w:type="dxa"/>
              <w:right w:w="57" w:type="dxa"/>
            </w:tcMar>
            <w:vAlign w:val="center"/>
          </w:tcPr>
          <w:p w14:paraId="18F95E31"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70</w:t>
            </w:r>
          </w:p>
        </w:tc>
        <w:tc>
          <w:tcPr>
            <w:tcW w:w="848" w:type="dxa"/>
            <w:tcMar>
              <w:left w:w="57" w:type="dxa"/>
              <w:right w:w="57" w:type="dxa"/>
            </w:tcMar>
            <w:vAlign w:val="center"/>
          </w:tcPr>
          <w:p w14:paraId="4B5FE01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0,35</w:t>
            </w:r>
          </w:p>
        </w:tc>
        <w:tc>
          <w:tcPr>
            <w:tcW w:w="954" w:type="dxa"/>
            <w:tcMar>
              <w:left w:w="57" w:type="dxa"/>
              <w:right w:w="57" w:type="dxa"/>
            </w:tcMar>
            <w:vAlign w:val="center"/>
          </w:tcPr>
          <w:p w14:paraId="5FE4919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70</w:t>
            </w:r>
          </w:p>
        </w:tc>
        <w:tc>
          <w:tcPr>
            <w:tcW w:w="887" w:type="dxa"/>
            <w:tcMar>
              <w:left w:w="57" w:type="dxa"/>
              <w:right w:w="57" w:type="dxa"/>
            </w:tcMar>
            <w:vAlign w:val="center"/>
          </w:tcPr>
          <w:p w14:paraId="3CE56A85"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0,30</w:t>
            </w:r>
          </w:p>
        </w:tc>
        <w:tc>
          <w:tcPr>
            <w:tcW w:w="887" w:type="dxa"/>
            <w:vAlign w:val="center"/>
          </w:tcPr>
          <w:p w14:paraId="3ADC456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870" w:type="dxa"/>
            <w:vAlign w:val="center"/>
          </w:tcPr>
          <w:p w14:paraId="66083FC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r>
      <w:tr w:rsidR="00A261E7" w:rsidRPr="009715A6" w14:paraId="062C548D" w14:textId="77777777" w:rsidTr="007E1183">
        <w:trPr>
          <w:trHeight w:val="454"/>
        </w:trPr>
        <w:tc>
          <w:tcPr>
            <w:tcW w:w="2160" w:type="dxa"/>
            <w:tcMar>
              <w:left w:w="28" w:type="dxa"/>
              <w:right w:w="28" w:type="dxa"/>
            </w:tcMar>
            <w:vAlign w:val="center"/>
          </w:tcPr>
          <w:p w14:paraId="18B65F5E"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нераспределенная прибыль</w:t>
            </w:r>
          </w:p>
        </w:tc>
        <w:tc>
          <w:tcPr>
            <w:tcW w:w="954" w:type="dxa"/>
            <w:tcMar>
              <w:left w:w="57" w:type="dxa"/>
              <w:right w:w="57" w:type="dxa"/>
            </w:tcMar>
            <w:vAlign w:val="center"/>
          </w:tcPr>
          <w:p w14:paraId="095C3B4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9653</w:t>
            </w:r>
          </w:p>
        </w:tc>
        <w:tc>
          <w:tcPr>
            <w:tcW w:w="846" w:type="dxa"/>
            <w:tcMar>
              <w:left w:w="57" w:type="dxa"/>
              <w:right w:w="57" w:type="dxa"/>
            </w:tcMar>
            <w:vAlign w:val="center"/>
          </w:tcPr>
          <w:p w14:paraId="402ED2B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54,32</w:t>
            </w:r>
          </w:p>
        </w:tc>
        <w:tc>
          <w:tcPr>
            <w:tcW w:w="954" w:type="dxa"/>
            <w:tcMar>
              <w:left w:w="57" w:type="dxa"/>
              <w:right w:w="57" w:type="dxa"/>
            </w:tcMar>
            <w:vAlign w:val="center"/>
          </w:tcPr>
          <w:p w14:paraId="1817475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10302</w:t>
            </w:r>
          </w:p>
        </w:tc>
        <w:tc>
          <w:tcPr>
            <w:tcW w:w="848" w:type="dxa"/>
            <w:tcMar>
              <w:left w:w="57" w:type="dxa"/>
              <w:right w:w="57" w:type="dxa"/>
            </w:tcMar>
            <w:vAlign w:val="center"/>
          </w:tcPr>
          <w:p w14:paraId="3EFD0E11"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51,69</w:t>
            </w:r>
          </w:p>
        </w:tc>
        <w:tc>
          <w:tcPr>
            <w:tcW w:w="954" w:type="dxa"/>
            <w:tcMar>
              <w:left w:w="57" w:type="dxa"/>
              <w:right w:w="57" w:type="dxa"/>
            </w:tcMar>
            <w:vAlign w:val="center"/>
          </w:tcPr>
          <w:p w14:paraId="0A08DC6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12817</w:t>
            </w:r>
          </w:p>
        </w:tc>
        <w:tc>
          <w:tcPr>
            <w:tcW w:w="887" w:type="dxa"/>
            <w:tcMar>
              <w:left w:w="57" w:type="dxa"/>
              <w:right w:w="57" w:type="dxa"/>
            </w:tcMar>
            <w:vAlign w:val="center"/>
          </w:tcPr>
          <w:p w14:paraId="567D725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55,28</w:t>
            </w:r>
          </w:p>
        </w:tc>
        <w:tc>
          <w:tcPr>
            <w:tcW w:w="887" w:type="dxa"/>
            <w:vAlign w:val="center"/>
          </w:tcPr>
          <w:p w14:paraId="1A203845"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106,7</w:t>
            </w:r>
          </w:p>
        </w:tc>
        <w:tc>
          <w:tcPr>
            <w:tcW w:w="870" w:type="dxa"/>
            <w:vAlign w:val="center"/>
          </w:tcPr>
          <w:p w14:paraId="6A8640B1"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124,4</w:t>
            </w:r>
          </w:p>
        </w:tc>
      </w:tr>
      <w:tr w:rsidR="00A261E7" w:rsidRPr="009715A6" w14:paraId="308E103B" w14:textId="77777777" w:rsidTr="007E1183">
        <w:trPr>
          <w:trHeight w:val="454"/>
        </w:trPr>
        <w:tc>
          <w:tcPr>
            <w:tcW w:w="2160" w:type="dxa"/>
            <w:tcMar>
              <w:left w:w="28" w:type="dxa"/>
              <w:right w:w="28" w:type="dxa"/>
            </w:tcMar>
            <w:vAlign w:val="center"/>
          </w:tcPr>
          <w:p w14:paraId="711FFAF1"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Краткосрочные обязательства</w:t>
            </w:r>
          </w:p>
        </w:tc>
        <w:tc>
          <w:tcPr>
            <w:tcW w:w="954" w:type="dxa"/>
            <w:tcMar>
              <w:left w:w="57" w:type="dxa"/>
              <w:right w:w="57" w:type="dxa"/>
            </w:tcMar>
            <w:vAlign w:val="center"/>
          </w:tcPr>
          <w:p w14:paraId="1884C38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8049</w:t>
            </w:r>
          </w:p>
        </w:tc>
        <w:tc>
          <w:tcPr>
            <w:tcW w:w="846" w:type="dxa"/>
            <w:tcMar>
              <w:left w:w="57" w:type="dxa"/>
              <w:right w:w="57" w:type="dxa"/>
            </w:tcMar>
            <w:vAlign w:val="center"/>
          </w:tcPr>
          <w:p w14:paraId="617289E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45,29</w:t>
            </w:r>
          </w:p>
        </w:tc>
        <w:tc>
          <w:tcPr>
            <w:tcW w:w="954" w:type="dxa"/>
            <w:tcMar>
              <w:left w:w="57" w:type="dxa"/>
              <w:right w:w="57" w:type="dxa"/>
            </w:tcMar>
            <w:vAlign w:val="center"/>
          </w:tcPr>
          <w:p w14:paraId="66AF93D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9560</w:t>
            </w:r>
          </w:p>
        </w:tc>
        <w:tc>
          <w:tcPr>
            <w:tcW w:w="848" w:type="dxa"/>
            <w:tcMar>
              <w:left w:w="57" w:type="dxa"/>
              <w:right w:w="57" w:type="dxa"/>
            </w:tcMar>
            <w:vAlign w:val="center"/>
          </w:tcPr>
          <w:p w14:paraId="21C8D65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47,96</w:t>
            </w:r>
          </w:p>
        </w:tc>
        <w:tc>
          <w:tcPr>
            <w:tcW w:w="954" w:type="dxa"/>
            <w:tcMar>
              <w:left w:w="57" w:type="dxa"/>
              <w:right w:w="57" w:type="dxa"/>
            </w:tcMar>
            <w:vAlign w:val="center"/>
          </w:tcPr>
          <w:p w14:paraId="1FAA1B43"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10298</w:t>
            </w:r>
          </w:p>
        </w:tc>
        <w:tc>
          <w:tcPr>
            <w:tcW w:w="887" w:type="dxa"/>
            <w:tcMar>
              <w:left w:w="57" w:type="dxa"/>
              <w:right w:w="57" w:type="dxa"/>
            </w:tcMar>
            <w:vAlign w:val="center"/>
          </w:tcPr>
          <w:p w14:paraId="019A2268"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44,42</w:t>
            </w:r>
          </w:p>
        </w:tc>
        <w:tc>
          <w:tcPr>
            <w:tcW w:w="887" w:type="dxa"/>
            <w:vAlign w:val="center"/>
          </w:tcPr>
          <w:p w14:paraId="313A156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118,8</w:t>
            </w:r>
          </w:p>
        </w:tc>
        <w:tc>
          <w:tcPr>
            <w:tcW w:w="870" w:type="dxa"/>
            <w:vAlign w:val="center"/>
          </w:tcPr>
          <w:p w14:paraId="306BB41F"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107,7</w:t>
            </w:r>
          </w:p>
        </w:tc>
      </w:tr>
      <w:tr w:rsidR="00A261E7" w:rsidRPr="009715A6" w14:paraId="3EF8E01A" w14:textId="77777777" w:rsidTr="007E1183">
        <w:trPr>
          <w:trHeight w:val="454"/>
        </w:trPr>
        <w:tc>
          <w:tcPr>
            <w:tcW w:w="2160" w:type="dxa"/>
            <w:tcMar>
              <w:left w:w="28" w:type="dxa"/>
              <w:right w:w="28" w:type="dxa"/>
            </w:tcMar>
            <w:vAlign w:val="center"/>
          </w:tcPr>
          <w:p w14:paraId="4A76908F"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заемные средства</w:t>
            </w:r>
          </w:p>
        </w:tc>
        <w:tc>
          <w:tcPr>
            <w:tcW w:w="954" w:type="dxa"/>
            <w:tcMar>
              <w:left w:w="57" w:type="dxa"/>
              <w:right w:w="57" w:type="dxa"/>
            </w:tcMar>
            <w:vAlign w:val="center"/>
          </w:tcPr>
          <w:p w14:paraId="6D8A2F4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1702</w:t>
            </w:r>
          </w:p>
        </w:tc>
        <w:tc>
          <w:tcPr>
            <w:tcW w:w="846" w:type="dxa"/>
            <w:tcMar>
              <w:left w:w="57" w:type="dxa"/>
              <w:right w:w="57" w:type="dxa"/>
            </w:tcMar>
            <w:vAlign w:val="center"/>
          </w:tcPr>
          <w:p w14:paraId="57770D9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9,58</w:t>
            </w:r>
          </w:p>
        </w:tc>
        <w:tc>
          <w:tcPr>
            <w:tcW w:w="954" w:type="dxa"/>
            <w:tcMar>
              <w:left w:w="57" w:type="dxa"/>
              <w:right w:w="57" w:type="dxa"/>
            </w:tcMar>
            <w:vAlign w:val="center"/>
          </w:tcPr>
          <w:p w14:paraId="3A681360"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2118</w:t>
            </w:r>
          </w:p>
        </w:tc>
        <w:tc>
          <w:tcPr>
            <w:tcW w:w="848" w:type="dxa"/>
            <w:tcMar>
              <w:left w:w="57" w:type="dxa"/>
              <w:right w:w="57" w:type="dxa"/>
            </w:tcMar>
            <w:vAlign w:val="center"/>
          </w:tcPr>
          <w:p w14:paraId="5F24F5CC"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10,63</w:t>
            </w:r>
          </w:p>
        </w:tc>
        <w:tc>
          <w:tcPr>
            <w:tcW w:w="954" w:type="dxa"/>
            <w:tcMar>
              <w:left w:w="57" w:type="dxa"/>
              <w:right w:w="57" w:type="dxa"/>
            </w:tcMar>
            <w:vAlign w:val="center"/>
          </w:tcPr>
          <w:p w14:paraId="5D8FD0E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2318</w:t>
            </w:r>
          </w:p>
        </w:tc>
        <w:tc>
          <w:tcPr>
            <w:tcW w:w="887" w:type="dxa"/>
            <w:tcMar>
              <w:left w:w="57" w:type="dxa"/>
              <w:right w:w="57" w:type="dxa"/>
            </w:tcMar>
            <w:vAlign w:val="center"/>
          </w:tcPr>
          <w:p w14:paraId="58C82DC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887" w:type="dxa"/>
            <w:vAlign w:val="center"/>
          </w:tcPr>
          <w:p w14:paraId="2AB3874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124,4</w:t>
            </w:r>
          </w:p>
        </w:tc>
        <w:tc>
          <w:tcPr>
            <w:tcW w:w="870" w:type="dxa"/>
            <w:vAlign w:val="center"/>
          </w:tcPr>
          <w:p w14:paraId="12F405B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109,4</w:t>
            </w:r>
          </w:p>
        </w:tc>
      </w:tr>
      <w:tr w:rsidR="00A261E7" w:rsidRPr="009715A6" w14:paraId="38AE993B" w14:textId="77777777" w:rsidTr="007E1183">
        <w:trPr>
          <w:trHeight w:val="454"/>
        </w:trPr>
        <w:tc>
          <w:tcPr>
            <w:tcW w:w="2160" w:type="dxa"/>
            <w:tcMar>
              <w:left w:w="28" w:type="dxa"/>
              <w:right w:w="28" w:type="dxa"/>
            </w:tcMar>
            <w:vAlign w:val="center"/>
          </w:tcPr>
          <w:p w14:paraId="0C823668" w14:textId="77777777" w:rsidR="00A261E7" w:rsidRPr="009715A6" w:rsidRDefault="00A261E7" w:rsidP="007E1183">
            <w:pPr>
              <w:widowControl w:val="0"/>
              <w:rPr>
                <w:rFonts w:ascii="Times New Roman" w:hAnsi="Times New Roman" w:cs="Times New Roman"/>
                <w:kern w:val="32"/>
                <w:sz w:val="24"/>
                <w:szCs w:val="24"/>
              </w:rPr>
            </w:pPr>
            <w:r w:rsidRPr="009715A6">
              <w:rPr>
                <w:rFonts w:ascii="Times New Roman" w:hAnsi="Times New Roman" w:cs="Times New Roman"/>
                <w:kern w:val="32"/>
                <w:sz w:val="24"/>
                <w:szCs w:val="24"/>
              </w:rPr>
              <w:lastRenderedPageBreak/>
              <w:t xml:space="preserve">кредиторская </w:t>
            </w:r>
          </w:p>
          <w:p w14:paraId="2C47C172" w14:textId="77777777" w:rsidR="00A261E7" w:rsidRPr="009715A6" w:rsidRDefault="00A261E7" w:rsidP="007E1183">
            <w:pPr>
              <w:widowControl w:val="0"/>
              <w:rPr>
                <w:rFonts w:ascii="Times New Roman" w:hAnsi="Times New Roman" w:cs="Times New Roman"/>
                <w:kern w:val="32"/>
                <w:sz w:val="24"/>
                <w:szCs w:val="24"/>
              </w:rPr>
            </w:pPr>
            <w:r w:rsidRPr="009715A6">
              <w:rPr>
                <w:rFonts w:ascii="Times New Roman" w:hAnsi="Times New Roman" w:cs="Times New Roman"/>
                <w:kern w:val="32"/>
                <w:sz w:val="24"/>
                <w:szCs w:val="24"/>
              </w:rPr>
              <w:t>задолженность</w:t>
            </w:r>
          </w:p>
        </w:tc>
        <w:tc>
          <w:tcPr>
            <w:tcW w:w="954" w:type="dxa"/>
            <w:tcMar>
              <w:left w:w="57" w:type="dxa"/>
              <w:right w:w="57" w:type="dxa"/>
            </w:tcMar>
            <w:vAlign w:val="center"/>
          </w:tcPr>
          <w:p w14:paraId="28E0A27F"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6347</w:t>
            </w:r>
          </w:p>
        </w:tc>
        <w:tc>
          <w:tcPr>
            <w:tcW w:w="846" w:type="dxa"/>
            <w:tcMar>
              <w:left w:w="57" w:type="dxa"/>
              <w:right w:w="57" w:type="dxa"/>
            </w:tcMar>
            <w:vAlign w:val="center"/>
          </w:tcPr>
          <w:p w14:paraId="3300F7B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35,71</w:t>
            </w:r>
          </w:p>
        </w:tc>
        <w:tc>
          <w:tcPr>
            <w:tcW w:w="954" w:type="dxa"/>
            <w:tcMar>
              <w:left w:w="57" w:type="dxa"/>
              <w:right w:w="57" w:type="dxa"/>
            </w:tcMar>
            <w:vAlign w:val="center"/>
          </w:tcPr>
          <w:p w14:paraId="51ACF87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7442</w:t>
            </w:r>
          </w:p>
        </w:tc>
        <w:tc>
          <w:tcPr>
            <w:tcW w:w="848" w:type="dxa"/>
            <w:tcMar>
              <w:left w:w="57" w:type="dxa"/>
              <w:right w:w="57" w:type="dxa"/>
            </w:tcMar>
            <w:vAlign w:val="center"/>
          </w:tcPr>
          <w:p w14:paraId="7FB70B3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37,34</w:t>
            </w:r>
          </w:p>
        </w:tc>
        <w:tc>
          <w:tcPr>
            <w:tcW w:w="954" w:type="dxa"/>
            <w:tcMar>
              <w:left w:w="57" w:type="dxa"/>
              <w:right w:w="57" w:type="dxa"/>
            </w:tcMar>
            <w:vAlign w:val="center"/>
          </w:tcPr>
          <w:p w14:paraId="4845EA4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7980</w:t>
            </w:r>
          </w:p>
        </w:tc>
        <w:tc>
          <w:tcPr>
            <w:tcW w:w="887" w:type="dxa"/>
            <w:tcMar>
              <w:left w:w="57" w:type="dxa"/>
              <w:right w:w="57" w:type="dxa"/>
            </w:tcMar>
            <w:vAlign w:val="center"/>
          </w:tcPr>
          <w:p w14:paraId="3BC2199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34,42</w:t>
            </w:r>
          </w:p>
        </w:tc>
        <w:tc>
          <w:tcPr>
            <w:tcW w:w="887" w:type="dxa"/>
            <w:vAlign w:val="center"/>
          </w:tcPr>
          <w:p w14:paraId="73B1557A"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117,3</w:t>
            </w:r>
          </w:p>
        </w:tc>
        <w:tc>
          <w:tcPr>
            <w:tcW w:w="870" w:type="dxa"/>
            <w:vAlign w:val="center"/>
          </w:tcPr>
          <w:p w14:paraId="389B1F27"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107,2</w:t>
            </w:r>
          </w:p>
        </w:tc>
      </w:tr>
      <w:tr w:rsidR="00A261E7" w:rsidRPr="009715A6" w14:paraId="03E9DF37" w14:textId="77777777" w:rsidTr="007E1183">
        <w:trPr>
          <w:trHeight w:val="454"/>
        </w:trPr>
        <w:tc>
          <w:tcPr>
            <w:tcW w:w="2160" w:type="dxa"/>
            <w:tcMar>
              <w:left w:w="28" w:type="dxa"/>
              <w:right w:w="28" w:type="dxa"/>
            </w:tcMar>
            <w:vAlign w:val="center"/>
          </w:tcPr>
          <w:p w14:paraId="13D40E45" w14:textId="77777777" w:rsidR="00A261E7" w:rsidRPr="009715A6" w:rsidRDefault="00A261E7" w:rsidP="007E1183">
            <w:pPr>
              <w:widowControl w:val="0"/>
              <w:spacing w:before="100" w:beforeAutospacing="1" w:after="100" w:afterAutospacing="1"/>
              <w:rPr>
                <w:rFonts w:ascii="Times New Roman" w:hAnsi="Times New Roman" w:cs="Times New Roman"/>
                <w:kern w:val="32"/>
                <w:sz w:val="24"/>
                <w:szCs w:val="24"/>
              </w:rPr>
            </w:pPr>
            <w:r w:rsidRPr="009715A6">
              <w:rPr>
                <w:rFonts w:ascii="Times New Roman" w:hAnsi="Times New Roman" w:cs="Times New Roman"/>
                <w:kern w:val="32"/>
                <w:sz w:val="24"/>
                <w:szCs w:val="24"/>
              </w:rPr>
              <w:t>Баланс</w:t>
            </w:r>
          </w:p>
        </w:tc>
        <w:tc>
          <w:tcPr>
            <w:tcW w:w="954" w:type="dxa"/>
            <w:tcMar>
              <w:left w:w="57" w:type="dxa"/>
              <w:right w:w="57" w:type="dxa"/>
            </w:tcMar>
            <w:vAlign w:val="center"/>
          </w:tcPr>
          <w:p w14:paraId="30B38480"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17772</w:t>
            </w:r>
          </w:p>
        </w:tc>
        <w:tc>
          <w:tcPr>
            <w:tcW w:w="846" w:type="dxa"/>
            <w:tcMar>
              <w:left w:w="57" w:type="dxa"/>
              <w:right w:w="57" w:type="dxa"/>
            </w:tcMar>
            <w:vAlign w:val="center"/>
          </w:tcPr>
          <w:p w14:paraId="79448066"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954" w:type="dxa"/>
            <w:tcMar>
              <w:left w:w="57" w:type="dxa"/>
              <w:right w:w="57" w:type="dxa"/>
            </w:tcMar>
            <w:vAlign w:val="center"/>
          </w:tcPr>
          <w:p w14:paraId="7F15FB09"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19932</w:t>
            </w:r>
          </w:p>
        </w:tc>
        <w:tc>
          <w:tcPr>
            <w:tcW w:w="848" w:type="dxa"/>
            <w:tcMar>
              <w:left w:w="57" w:type="dxa"/>
              <w:right w:w="57" w:type="dxa"/>
            </w:tcMar>
            <w:vAlign w:val="center"/>
          </w:tcPr>
          <w:p w14:paraId="6E13AD12"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954" w:type="dxa"/>
            <w:tcMar>
              <w:left w:w="57" w:type="dxa"/>
              <w:right w:w="57" w:type="dxa"/>
            </w:tcMar>
            <w:vAlign w:val="center"/>
          </w:tcPr>
          <w:p w14:paraId="1A2F53BD"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23185</w:t>
            </w:r>
          </w:p>
        </w:tc>
        <w:tc>
          <w:tcPr>
            <w:tcW w:w="887" w:type="dxa"/>
            <w:tcMar>
              <w:left w:w="57" w:type="dxa"/>
              <w:right w:w="57" w:type="dxa"/>
            </w:tcMar>
            <w:vAlign w:val="center"/>
          </w:tcPr>
          <w:p w14:paraId="48D0291B"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100,0</w:t>
            </w:r>
          </w:p>
        </w:tc>
        <w:tc>
          <w:tcPr>
            <w:tcW w:w="887" w:type="dxa"/>
            <w:vAlign w:val="center"/>
          </w:tcPr>
          <w:p w14:paraId="36856BAF"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112,2</w:t>
            </w:r>
          </w:p>
        </w:tc>
        <w:tc>
          <w:tcPr>
            <w:tcW w:w="870" w:type="dxa"/>
            <w:vAlign w:val="center"/>
          </w:tcPr>
          <w:p w14:paraId="46EBEB6D" w14:textId="77777777" w:rsidR="00A261E7" w:rsidRPr="009715A6" w:rsidRDefault="00A261E7" w:rsidP="007E1183">
            <w:pPr>
              <w:widowControl w:val="0"/>
              <w:spacing w:before="100" w:beforeAutospacing="1" w:after="100" w:afterAutospacing="1"/>
              <w:jc w:val="center"/>
              <w:rPr>
                <w:rFonts w:ascii="Times New Roman" w:hAnsi="Times New Roman" w:cs="Times New Roman"/>
                <w:color w:val="000000"/>
                <w:kern w:val="32"/>
                <w:sz w:val="24"/>
                <w:szCs w:val="24"/>
              </w:rPr>
            </w:pPr>
            <w:r w:rsidRPr="009715A6">
              <w:rPr>
                <w:rFonts w:ascii="Times New Roman" w:hAnsi="Times New Roman" w:cs="Times New Roman"/>
                <w:color w:val="000000"/>
                <w:kern w:val="32"/>
                <w:sz w:val="24"/>
                <w:szCs w:val="24"/>
              </w:rPr>
              <w:t>116,3</w:t>
            </w:r>
          </w:p>
        </w:tc>
      </w:tr>
    </w:tbl>
    <w:p w14:paraId="2797FAFD" w14:textId="77777777" w:rsidR="00A261E7" w:rsidRPr="009715A6" w:rsidRDefault="00A261E7" w:rsidP="009715A6">
      <w:pPr>
        <w:widowControl w:val="0"/>
        <w:spacing w:before="12"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Таким образом, в 2017 г. организация стала меньше испытывать потребность во внешнем финансировании, что говорит о росте финансовой устойчивости и платежеспособности. </w:t>
      </w:r>
    </w:p>
    <w:p w14:paraId="63D39B87" w14:textId="77777777" w:rsidR="00A261E7" w:rsidRPr="009715A6" w:rsidRDefault="00A261E7" w:rsidP="009715A6">
      <w:pPr>
        <w:widowControl w:val="0"/>
        <w:tabs>
          <w:tab w:val="left" w:pos="1701"/>
        </w:tabs>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Оценку эффективности использования имущества позволяют определить показатели деловой активности организации (таблица 3).</w:t>
      </w:r>
    </w:p>
    <w:p w14:paraId="06E33300" w14:textId="77777777" w:rsidR="00A261E7" w:rsidRPr="009715A6" w:rsidRDefault="00A261E7" w:rsidP="00A261E7">
      <w:pPr>
        <w:spacing w:before="120"/>
        <w:rPr>
          <w:rFonts w:ascii="Times New Roman" w:hAnsi="Times New Roman" w:cs="Times New Roman"/>
          <w:sz w:val="24"/>
          <w:szCs w:val="24"/>
        </w:rPr>
      </w:pPr>
      <w:r w:rsidRPr="009715A6">
        <w:rPr>
          <w:rFonts w:ascii="Times New Roman" w:hAnsi="Times New Roman" w:cs="Times New Roman"/>
          <w:sz w:val="24"/>
          <w:szCs w:val="24"/>
        </w:rPr>
        <w:t>Таблица 3 - Оценка деловой активности ООО «Скайпарк» за 2015-2017 гг.</w:t>
      </w:r>
    </w:p>
    <w:tbl>
      <w:tblPr>
        <w:tblW w:w="49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8"/>
        <w:gridCol w:w="900"/>
        <w:gridCol w:w="853"/>
        <w:gridCol w:w="871"/>
        <w:gridCol w:w="1061"/>
        <w:gridCol w:w="993"/>
      </w:tblGrid>
      <w:tr w:rsidR="00A261E7" w:rsidRPr="009715A6" w14:paraId="3320ADF7" w14:textId="77777777" w:rsidTr="007E1183">
        <w:trPr>
          <w:trHeight w:val="454"/>
        </w:trPr>
        <w:tc>
          <w:tcPr>
            <w:tcW w:w="2592" w:type="pct"/>
            <w:vMerge w:val="restart"/>
            <w:tcBorders>
              <w:top w:val="single" w:sz="4" w:space="0" w:color="auto"/>
              <w:left w:val="single" w:sz="4" w:space="0" w:color="auto"/>
              <w:bottom w:val="single" w:sz="4" w:space="0" w:color="auto"/>
              <w:right w:val="single" w:sz="4" w:space="0" w:color="auto"/>
            </w:tcBorders>
            <w:vAlign w:val="center"/>
          </w:tcPr>
          <w:p w14:paraId="08550E79"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Наименование показателя</w:t>
            </w:r>
          </w:p>
        </w:tc>
        <w:tc>
          <w:tcPr>
            <w:tcW w:w="463" w:type="pct"/>
            <w:vMerge w:val="restart"/>
            <w:tcBorders>
              <w:top w:val="single" w:sz="4" w:space="0" w:color="auto"/>
              <w:left w:val="single" w:sz="4" w:space="0" w:color="auto"/>
              <w:bottom w:val="single" w:sz="4" w:space="0" w:color="auto"/>
              <w:right w:val="single" w:sz="4" w:space="0" w:color="auto"/>
            </w:tcBorders>
            <w:noWrap/>
            <w:vAlign w:val="center"/>
          </w:tcPr>
          <w:p w14:paraId="6E676B64" w14:textId="77777777" w:rsidR="00A261E7" w:rsidRPr="009715A6" w:rsidRDefault="00A261E7" w:rsidP="007E1183">
            <w:pPr>
              <w:ind w:left="-109" w:right="-102"/>
              <w:jc w:val="center"/>
              <w:rPr>
                <w:rFonts w:ascii="Times New Roman" w:hAnsi="Times New Roman" w:cs="Times New Roman"/>
                <w:sz w:val="24"/>
                <w:szCs w:val="24"/>
              </w:rPr>
            </w:pPr>
            <w:r w:rsidRPr="009715A6">
              <w:rPr>
                <w:rFonts w:ascii="Times New Roman" w:hAnsi="Times New Roman" w:cs="Times New Roman"/>
                <w:sz w:val="24"/>
                <w:szCs w:val="24"/>
              </w:rPr>
              <w:t>2015г</w:t>
            </w:r>
          </w:p>
        </w:tc>
        <w:tc>
          <w:tcPr>
            <w:tcW w:w="439" w:type="pct"/>
            <w:vMerge w:val="restart"/>
            <w:tcBorders>
              <w:top w:val="single" w:sz="4" w:space="0" w:color="auto"/>
              <w:left w:val="single" w:sz="4" w:space="0" w:color="auto"/>
              <w:bottom w:val="single" w:sz="4" w:space="0" w:color="auto"/>
              <w:right w:val="single" w:sz="4" w:space="0" w:color="auto"/>
            </w:tcBorders>
            <w:noWrap/>
            <w:vAlign w:val="center"/>
          </w:tcPr>
          <w:p w14:paraId="3CFC8353"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2016г</w:t>
            </w:r>
          </w:p>
        </w:tc>
        <w:tc>
          <w:tcPr>
            <w:tcW w:w="448" w:type="pct"/>
            <w:vMerge w:val="restart"/>
            <w:tcBorders>
              <w:top w:val="single" w:sz="4" w:space="0" w:color="auto"/>
              <w:left w:val="single" w:sz="4" w:space="0" w:color="auto"/>
              <w:bottom w:val="single" w:sz="4" w:space="0" w:color="auto"/>
              <w:right w:val="single" w:sz="4" w:space="0" w:color="auto"/>
            </w:tcBorders>
            <w:noWrap/>
            <w:vAlign w:val="center"/>
          </w:tcPr>
          <w:p w14:paraId="0BD689E5"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2017г</w:t>
            </w:r>
          </w:p>
        </w:tc>
        <w:tc>
          <w:tcPr>
            <w:tcW w:w="1057" w:type="pct"/>
            <w:gridSpan w:val="2"/>
            <w:tcBorders>
              <w:top w:val="single" w:sz="4" w:space="0" w:color="auto"/>
              <w:left w:val="single" w:sz="4" w:space="0" w:color="auto"/>
              <w:bottom w:val="single" w:sz="4" w:space="0" w:color="auto"/>
              <w:right w:val="single" w:sz="4" w:space="0" w:color="auto"/>
            </w:tcBorders>
            <w:noWrap/>
            <w:vAlign w:val="center"/>
          </w:tcPr>
          <w:p w14:paraId="55E2459F"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Отклонение (+,-)</w:t>
            </w:r>
          </w:p>
        </w:tc>
      </w:tr>
      <w:tr w:rsidR="00A261E7" w:rsidRPr="009715A6" w14:paraId="6DBE2291" w14:textId="77777777" w:rsidTr="007E1183">
        <w:trPr>
          <w:trHeight w:val="454"/>
        </w:trPr>
        <w:tc>
          <w:tcPr>
            <w:tcW w:w="2592" w:type="pct"/>
            <w:vMerge/>
            <w:tcBorders>
              <w:top w:val="single" w:sz="4" w:space="0" w:color="auto"/>
              <w:left w:val="single" w:sz="4" w:space="0" w:color="auto"/>
              <w:bottom w:val="single" w:sz="4" w:space="0" w:color="auto"/>
              <w:right w:val="single" w:sz="4" w:space="0" w:color="auto"/>
            </w:tcBorders>
            <w:vAlign w:val="center"/>
          </w:tcPr>
          <w:p w14:paraId="71F798A8" w14:textId="77777777" w:rsidR="00A261E7" w:rsidRPr="009715A6" w:rsidRDefault="00A261E7" w:rsidP="007E1183">
            <w:pPr>
              <w:rPr>
                <w:rFonts w:ascii="Times New Roman" w:hAnsi="Times New Roman" w:cs="Times New Roman"/>
                <w:sz w:val="24"/>
                <w:szCs w:val="24"/>
              </w:rPr>
            </w:pPr>
          </w:p>
        </w:tc>
        <w:tc>
          <w:tcPr>
            <w:tcW w:w="463" w:type="pct"/>
            <w:vMerge/>
            <w:tcBorders>
              <w:top w:val="single" w:sz="4" w:space="0" w:color="auto"/>
              <w:left w:val="single" w:sz="4" w:space="0" w:color="auto"/>
              <w:bottom w:val="single" w:sz="4" w:space="0" w:color="auto"/>
              <w:right w:val="single" w:sz="4" w:space="0" w:color="auto"/>
            </w:tcBorders>
            <w:vAlign w:val="center"/>
          </w:tcPr>
          <w:p w14:paraId="5BC294DE" w14:textId="77777777" w:rsidR="00A261E7" w:rsidRPr="009715A6" w:rsidRDefault="00A261E7" w:rsidP="007E1183">
            <w:pPr>
              <w:rPr>
                <w:rFonts w:ascii="Times New Roman" w:hAnsi="Times New Roman" w:cs="Times New Roman"/>
                <w:sz w:val="24"/>
                <w:szCs w:val="24"/>
              </w:rPr>
            </w:pPr>
          </w:p>
        </w:tc>
        <w:tc>
          <w:tcPr>
            <w:tcW w:w="829" w:type="dxa"/>
            <w:vMerge/>
            <w:tcBorders>
              <w:top w:val="single" w:sz="4" w:space="0" w:color="auto"/>
              <w:left w:val="single" w:sz="4" w:space="0" w:color="auto"/>
              <w:bottom w:val="single" w:sz="4" w:space="0" w:color="auto"/>
              <w:right w:val="single" w:sz="4" w:space="0" w:color="auto"/>
            </w:tcBorders>
            <w:vAlign w:val="center"/>
          </w:tcPr>
          <w:p w14:paraId="7D36B6E2" w14:textId="77777777" w:rsidR="00A261E7" w:rsidRPr="009715A6" w:rsidRDefault="00A261E7" w:rsidP="007E1183">
            <w:pPr>
              <w:rPr>
                <w:rFonts w:ascii="Times New Roman" w:hAnsi="Times New Roman" w:cs="Times New Roman"/>
                <w:sz w:val="24"/>
                <w:szCs w:val="24"/>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43A65479" w14:textId="77777777" w:rsidR="00A261E7" w:rsidRPr="009715A6" w:rsidRDefault="00A261E7" w:rsidP="007E1183">
            <w:pPr>
              <w:rPr>
                <w:rFonts w:ascii="Times New Roman" w:hAnsi="Times New Roman" w:cs="Times New Roman"/>
                <w:sz w:val="24"/>
                <w:szCs w:val="24"/>
              </w:rPr>
            </w:pPr>
          </w:p>
        </w:tc>
        <w:tc>
          <w:tcPr>
            <w:tcW w:w="546" w:type="pct"/>
            <w:tcBorders>
              <w:top w:val="single" w:sz="4" w:space="0" w:color="auto"/>
              <w:left w:val="single" w:sz="4" w:space="0" w:color="auto"/>
              <w:bottom w:val="single" w:sz="4" w:space="0" w:color="auto"/>
              <w:right w:val="single" w:sz="4" w:space="0" w:color="auto"/>
            </w:tcBorders>
            <w:vAlign w:val="center"/>
          </w:tcPr>
          <w:p w14:paraId="648C716E"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2016г / 2015г</w:t>
            </w:r>
          </w:p>
        </w:tc>
        <w:tc>
          <w:tcPr>
            <w:tcW w:w="511" w:type="pct"/>
            <w:tcBorders>
              <w:top w:val="single" w:sz="4" w:space="0" w:color="auto"/>
              <w:left w:val="single" w:sz="4" w:space="0" w:color="auto"/>
              <w:bottom w:val="single" w:sz="4" w:space="0" w:color="auto"/>
              <w:right w:val="single" w:sz="4" w:space="0" w:color="auto"/>
            </w:tcBorders>
            <w:vAlign w:val="center"/>
          </w:tcPr>
          <w:p w14:paraId="466BC77E"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2017г / 2016г</w:t>
            </w:r>
          </w:p>
        </w:tc>
      </w:tr>
      <w:tr w:rsidR="00A261E7" w:rsidRPr="009715A6" w14:paraId="3A740856"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31F73339" w14:textId="77777777" w:rsidR="00A261E7" w:rsidRPr="009715A6" w:rsidRDefault="00A261E7" w:rsidP="007E1183">
            <w:pPr>
              <w:autoSpaceDE w:val="0"/>
              <w:autoSpaceDN w:val="0"/>
              <w:rPr>
                <w:rFonts w:ascii="Times New Roman" w:hAnsi="Times New Roman" w:cs="Times New Roman"/>
                <w:sz w:val="24"/>
                <w:szCs w:val="24"/>
              </w:rPr>
            </w:pPr>
            <w:r w:rsidRPr="009715A6">
              <w:rPr>
                <w:rFonts w:ascii="Times New Roman" w:hAnsi="Times New Roman" w:cs="Times New Roman"/>
                <w:sz w:val="24"/>
                <w:szCs w:val="24"/>
              </w:rPr>
              <w:t>Коэффициент оборачиваемости активов</w:t>
            </w:r>
          </w:p>
        </w:tc>
        <w:tc>
          <w:tcPr>
            <w:tcW w:w="463" w:type="pct"/>
            <w:tcBorders>
              <w:top w:val="single" w:sz="4" w:space="0" w:color="auto"/>
              <w:left w:val="single" w:sz="4" w:space="0" w:color="auto"/>
              <w:bottom w:val="single" w:sz="4" w:space="0" w:color="auto"/>
              <w:right w:val="single" w:sz="4" w:space="0" w:color="auto"/>
            </w:tcBorders>
            <w:noWrap/>
            <w:vAlign w:val="center"/>
          </w:tcPr>
          <w:p w14:paraId="23F53924"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4,13</w:t>
            </w:r>
          </w:p>
        </w:tc>
        <w:tc>
          <w:tcPr>
            <w:tcW w:w="439" w:type="pct"/>
            <w:tcBorders>
              <w:top w:val="single" w:sz="4" w:space="0" w:color="auto"/>
              <w:left w:val="single" w:sz="4" w:space="0" w:color="auto"/>
              <w:bottom w:val="single" w:sz="4" w:space="0" w:color="auto"/>
              <w:right w:val="single" w:sz="4" w:space="0" w:color="auto"/>
            </w:tcBorders>
            <w:noWrap/>
            <w:vAlign w:val="center"/>
          </w:tcPr>
          <w:p w14:paraId="1850379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4,39</w:t>
            </w:r>
          </w:p>
        </w:tc>
        <w:tc>
          <w:tcPr>
            <w:tcW w:w="448" w:type="pct"/>
            <w:tcBorders>
              <w:top w:val="single" w:sz="4" w:space="0" w:color="auto"/>
              <w:left w:val="single" w:sz="4" w:space="0" w:color="auto"/>
              <w:bottom w:val="single" w:sz="4" w:space="0" w:color="auto"/>
              <w:right w:val="single" w:sz="4" w:space="0" w:color="auto"/>
            </w:tcBorders>
            <w:noWrap/>
            <w:vAlign w:val="center"/>
          </w:tcPr>
          <w:p w14:paraId="3137E2D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4,17</w:t>
            </w:r>
          </w:p>
        </w:tc>
        <w:tc>
          <w:tcPr>
            <w:tcW w:w="546" w:type="pct"/>
            <w:tcBorders>
              <w:top w:val="single" w:sz="4" w:space="0" w:color="auto"/>
              <w:left w:val="single" w:sz="4" w:space="0" w:color="auto"/>
              <w:bottom w:val="single" w:sz="4" w:space="0" w:color="auto"/>
              <w:right w:val="single" w:sz="4" w:space="0" w:color="auto"/>
            </w:tcBorders>
            <w:noWrap/>
            <w:vAlign w:val="center"/>
          </w:tcPr>
          <w:p w14:paraId="243F3D50"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0,26</w:t>
            </w:r>
          </w:p>
        </w:tc>
        <w:tc>
          <w:tcPr>
            <w:tcW w:w="511" w:type="pct"/>
            <w:tcBorders>
              <w:top w:val="single" w:sz="4" w:space="0" w:color="auto"/>
              <w:left w:val="single" w:sz="4" w:space="0" w:color="auto"/>
              <w:bottom w:val="single" w:sz="4" w:space="0" w:color="auto"/>
              <w:right w:val="single" w:sz="4" w:space="0" w:color="auto"/>
            </w:tcBorders>
            <w:noWrap/>
            <w:vAlign w:val="center"/>
          </w:tcPr>
          <w:p w14:paraId="52B861F0"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-0,22</w:t>
            </w:r>
          </w:p>
        </w:tc>
      </w:tr>
      <w:tr w:rsidR="00A261E7" w:rsidRPr="009715A6" w14:paraId="790740BB"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5EF2CCE1" w14:textId="77777777" w:rsidR="00A261E7" w:rsidRPr="009715A6" w:rsidRDefault="00A261E7" w:rsidP="007E1183">
            <w:pPr>
              <w:autoSpaceDE w:val="0"/>
              <w:autoSpaceDN w:val="0"/>
              <w:rPr>
                <w:rFonts w:ascii="Times New Roman" w:hAnsi="Times New Roman" w:cs="Times New Roman"/>
                <w:sz w:val="24"/>
                <w:szCs w:val="24"/>
              </w:rPr>
            </w:pPr>
            <w:r w:rsidRPr="009715A6">
              <w:rPr>
                <w:rFonts w:ascii="Times New Roman" w:hAnsi="Times New Roman" w:cs="Times New Roman"/>
                <w:sz w:val="24"/>
                <w:szCs w:val="24"/>
              </w:rPr>
              <w:t xml:space="preserve">Коэффициент оборачиваемости оборотных активов </w:t>
            </w:r>
          </w:p>
        </w:tc>
        <w:tc>
          <w:tcPr>
            <w:tcW w:w="463" w:type="pct"/>
            <w:tcBorders>
              <w:top w:val="single" w:sz="4" w:space="0" w:color="auto"/>
              <w:left w:val="single" w:sz="4" w:space="0" w:color="auto"/>
              <w:bottom w:val="single" w:sz="4" w:space="0" w:color="auto"/>
              <w:right w:val="single" w:sz="4" w:space="0" w:color="auto"/>
            </w:tcBorders>
            <w:noWrap/>
            <w:vAlign w:val="center"/>
          </w:tcPr>
          <w:p w14:paraId="728C5FBE"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4,46</w:t>
            </w:r>
          </w:p>
        </w:tc>
        <w:tc>
          <w:tcPr>
            <w:tcW w:w="439" w:type="pct"/>
            <w:tcBorders>
              <w:top w:val="single" w:sz="4" w:space="0" w:color="auto"/>
              <w:left w:val="single" w:sz="4" w:space="0" w:color="auto"/>
              <w:bottom w:val="single" w:sz="4" w:space="0" w:color="auto"/>
              <w:right w:val="single" w:sz="4" w:space="0" w:color="auto"/>
            </w:tcBorders>
            <w:noWrap/>
            <w:vAlign w:val="center"/>
          </w:tcPr>
          <w:p w14:paraId="6F62D1F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4,78</w:t>
            </w:r>
          </w:p>
        </w:tc>
        <w:tc>
          <w:tcPr>
            <w:tcW w:w="448" w:type="pct"/>
            <w:tcBorders>
              <w:top w:val="single" w:sz="4" w:space="0" w:color="auto"/>
              <w:left w:val="single" w:sz="4" w:space="0" w:color="auto"/>
              <w:bottom w:val="single" w:sz="4" w:space="0" w:color="auto"/>
              <w:right w:val="single" w:sz="4" w:space="0" w:color="auto"/>
            </w:tcBorders>
            <w:noWrap/>
            <w:vAlign w:val="center"/>
          </w:tcPr>
          <w:p w14:paraId="476A927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4,55</w:t>
            </w:r>
          </w:p>
        </w:tc>
        <w:tc>
          <w:tcPr>
            <w:tcW w:w="546" w:type="pct"/>
            <w:tcBorders>
              <w:top w:val="single" w:sz="4" w:space="0" w:color="auto"/>
              <w:left w:val="single" w:sz="4" w:space="0" w:color="auto"/>
              <w:bottom w:val="single" w:sz="4" w:space="0" w:color="auto"/>
              <w:right w:val="single" w:sz="4" w:space="0" w:color="auto"/>
            </w:tcBorders>
            <w:noWrap/>
            <w:vAlign w:val="center"/>
          </w:tcPr>
          <w:p w14:paraId="0F8F8423"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0,32</w:t>
            </w:r>
          </w:p>
        </w:tc>
        <w:tc>
          <w:tcPr>
            <w:tcW w:w="511" w:type="pct"/>
            <w:tcBorders>
              <w:top w:val="single" w:sz="4" w:space="0" w:color="auto"/>
              <w:left w:val="single" w:sz="4" w:space="0" w:color="auto"/>
              <w:bottom w:val="single" w:sz="4" w:space="0" w:color="auto"/>
              <w:right w:val="single" w:sz="4" w:space="0" w:color="auto"/>
            </w:tcBorders>
            <w:noWrap/>
            <w:vAlign w:val="center"/>
          </w:tcPr>
          <w:p w14:paraId="774898A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-0,23</w:t>
            </w:r>
          </w:p>
        </w:tc>
      </w:tr>
      <w:tr w:rsidR="00A261E7" w:rsidRPr="009715A6" w14:paraId="1744309E"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576B8AB2" w14:textId="77777777" w:rsidR="00A261E7" w:rsidRPr="009715A6" w:rsidRDefault="00A261E7" w:rsidP="007E1183">
            <w:pPr>
              <w:autoSpaceDE w:val="0"/>
              <w:autoSpaceDN w:val="0"/>
              <w:rPr>
                <w:rFonts w:ascii="Times New Roman" w:hAnsi="Times New Roman" w:cs="Times New Roman"/>
                <w:sz w:val="24"/>
                <w:szCs w:val="24"/>
              </w:rPr>
            </w:pPr>
            <w:r w:rsidRPr="009715A6">
              <w:rPr>
                <w:rFonts w:ascii="Times New Roman" w:hAnsi="Times New Roman" w:cs="Times New Roman"/>
                <w:sz w:val="24"/>
                <w:szCs w:val="24"/>
              </w:rPr>
              <w:t xml:space="preserve">Коэффициент оборачиваемости запасов </w:t>
            </w:r>
          </w:p>
        </w:tc>
        <w:tc>
          <w:tcPr>
            <w:tcW w:w="463" w:type="pct"/>
            <w:tcBorders>
              <w:top w:val="single" w:sz="4" w:space="0" w:color="auto"/>
              <w:left w:val="single" w:sz="4" w:space="0" w:color="auto"/>
              <w:bottom w:val="single" w:sz="4" w:space="0" w:color="auto"/>
              <w:right w:val="single" w:sz="4" w:space="0" w:color="auto"/>
            </w:tcBorders>
            <w:noWrap/>
            <w:vAlign w:val="center"/>
          </w:tcPr>
          <w:p w14:paraId="62285968"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5,30</w:t>
            </w:r>
          </w:p>
        </w:tc>
        <w:tc>
          <w:tcPr>
            <w:tcW w:w="439" w:type="pct"/>
            <w:tcBorders>
              <w:top w:val="single" w:sz="4" w:space="0" w:color="auto"/>
              <w:left w:val="single" w:sz="4" w:space="0" w:color="auto"/>
              <w:bottom w:val="single" w:sz="4" w:space="0" w:color="auto"/>
              <w:right w:val="single" w:sz="4" w:space="0" w:color="auto"/>
            </w:tcBorders>
            <w:noWrap/>
            <w:vAlign w:val="center"/>
          </w:tcPr>
          <w:p w14:paraId="3AF60BE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5,40</w:t>
            </w:r>
          </w:p>
        </w:tc>
        <w:tc>
          <w:tcPr>
            <w:tcW w:w="448" w:type="pct"/>
            <w:tcBorders>
              <w:top w:val="single" w:sz="4" w:space="0" w:color="auto"/>
              <w:left w:val="single" w:sz="4" w:space="0" w:color="auto"/>
              <w:bottom w:val="single" w:sz="4" w:space="0" w:color="auto"/>
              <w:right w:val="single" w:sz="4" w:space="0" w:color="auto"/>
            </w:tcBorders>
            <w:noWrap/>
            <w:vAlign w:val="center"/>
          </w:tcPr>
          <w:p w14:paraId="76A911F0"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4,70</w:t>
            </w:r>
          </w:p>
        </w:tc>
        <w:tc>
          <w:tcPr>
            <w:tcW w:w="546" w:type="pct"/>
            <w:tcBorders>
              <w:top w:val="single" w:sz="4" w:space="0" w:color="auto"/>
              <w:left w:val="single" w:sz="4" w:space="0" w:color="auto"/>
              <w:bottom w:val="single" w:sz="4" w:space="0" w:color="auto"/>
              <w:right w:val="single" w:sz="4" w:space="0" w:color="auto"/>
            </w:tcBorders>
            <w:noWrap/>
            <w:vAlign w:val="center"/>
          </w:tcPr>
          <w:p w14:paraId="3A41E40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0,1</w:t>
            </w:r>
          </w:p>
        </w:tc>
        <w:tc>
          <w:tcPr>
            <w:tcW w:w="511" w:type="pct"/>
            <w:tcBorders>
              <w:top w:val="single" w:sz="4" w:space="0" w:color="auto"/>
              <w:left w:val="single" w:sz="4" w:space="0" w:color="auto"/>
              <w:bottom w:val="single" w:sz="4" w:space="0" w:color="auto"/>
              <w:right w:val="single" w:sz="4" w:space="0" w:color="auto"/>
            </w:tcBorders>
            <w:noWrap/>
            <w:vAlign w:val="center"/>
          </w:tcPr>
          <w:p w14:paraId="74840F92"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-0,7</w:t>
            </w:r>
          </w:p>
        </w:tc>
      </w:tr>
      <w:tr w:rsidR="00A261E7" w:rsidRPr="009715A6" w14:paraId="1A8AEAC3"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40EE3868" w14:textId="77777777" w:rsidR="00A261E7" w:rsidRPr="009715A6" w:rsidRDefault="00A261E7" w:rsidP="007E1183">
            <w:pPr>
              <w:autoSpaceDE w:val="0"/>
              <w:autoSpaceDN w:val="0"/>
              <w:rPr>
                <w:rFonts w:ascii="Times New Roman" w:hAnsi="Times New Roman" w:cs="Times New Roman"/>
                <w:sz w:val="24"/>
                <w:szCs w:val="24"/>
              </w:rPr>
            </w:pPr>
            <w:r w:rsidRPr="009715A6">
              <w:rPr>
                <w:rFonts w:ascii="Times New Roman" w:hAnsi="Times New Roman" w:cs="Times New Roman"/>
                <w:sz w:val="24"/>
                <w:szCs w:val="24"/>
              </w:rPr>
              <w:t xml:space="preserve">Коэффициент оборачиваемости дебиторской задолженности </w:t>
            </w:r>
          </w:p>
        </w:tc>
        <w:tc>
          <w:tcPr>
            <w:tcW w:w="463" w:type="pct"/>
            <w:tcBorders>
              <w:top w:val="single" w:sz="4" w:space="0" w:color="auto"/>
              <w:left w:val="single" w:sz="4" w:space="0" w:color="auto"/>
              <w:bottom w:val="single" w:sz="4" w:space="0" w:color="auto"/>
              <w:right w:val="single" w:sz="4" w:space="0" w:color="auto"/>
            </w:tcBorders>
            <w:noWrap/>
            <w:vAlign w:val="center"/>
          </w:tcPr>
          <w:p w14:paraId="75012E28"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35,42</w:t>
            </w:r>
          </w:p>
        </w:tc>
        <w:tc>
          <w:tcPr>
            <w:tcW w:w="439" w:type="pct"/>
            <w:tcBorders>
              <w:top w:val="single" w:sz="4" w:space="0" w:color="auto"/>
              <w:left w:val="single" w:sz="4" w:space="0" w:color="auto"/>
              <w:bottom w:val="single" w:sz="4" w:space="0" w:color="auto"/>
              <w:right w:val="single" w:sz="4" w:space="0" w:color="auto"/>
            </w:tcBorders>
            <w:noWrap/>
            <w:vAlign w:val="center"/>
          </w:tcPr>
          <w:p w14:paraId="706AE5A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70,66</w:t>
            </w:r>
          </w:p>
        </w:tc>
        <w:tc>
          <w:tcPr>
            <w:tcW w:w="448" w:type="pct"/>
            <w:tcBorders>
              <w:top w:val="single" w:sz="4" w:space="0" w:color="auto"/>
              <w:left w:val="single" w:sz="4" w:space="0" w:color="auto"/>
              <w:bottom w:val="single" w:sz="4" w:space="0" w:color="auto"/>
              <w:right w:val="single" w:sz="4" w:space="0" w:color="auto"/>
            </w:tcBorders>
            <w:noWrap/>
            <w:vAlign w:val="center"/>
          </w:tcPr>
          <w:p w14:paraId="122E5333"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476,0</w:t>
            </w:r>
          </w:p>
        </w:tc>
        <w:tc>
          <w:tcPr>
            <w:tcW w:w="546" w:type="pct"/>
            <w:tcBorders>
              <w:top w:val="single" w:sz="4" w:space="0" w:color="auto"/>
              <w:left w:val="single" w:sz="4" w:space="0" w:color="auto"/>
              <w:bottom w:val="single" w:sz="4" w:space="0" w:color="auto"/>
              <w:right w:val="single" w:sz="4" w:space="0" w:color="auto"/>
            </w:tcBorders>
            <w:noWrap/>
            <w:vAlign w:val="center"/>
          </w:tcPr>
          <w:p w14:paraId="1FC65EC3"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35,24</w:t>
            </w:r>
          </w:p>
        </w:tc>
        <w:tc>
          <w:tcPr>
            <w:tcW w:w="511" w:type="pct"/>
            <w:tcBorders>
              <w:top w:val="single" w:sz="4" w:space="0" w:color="auto"/>
              <w:left w:val="single" w:sz="4" w:space="0" w:color="auto"/>
              <w:bottom w:val="single" w:sz="4" w:space="0" w:color="auto"/>
              <w:right w:val="single" w:sz="4" w:space="0" w:color="auto"/>
            </w:tcBorders>
            <w:noWrap/>
            <w:vAlign w:val="center"/>
          </w:tcPr>
          <w:p w14:paraId="08DF9FEF"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405,3</w:t>
            </w:r>
          </w:p>
        </w:tc>
      </w:tr>
      <w:tr w:rsidR="00A261E7" w:rsidRPr="009715A6" w14:paraId="7493A1D7"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2E64FDDB" w14:textId="77777777" w:rsidR="00A261E7" w:rsidRPr="009715A6" w:rsidRDefault="00A261E7" w:rsidP="007E1183">
            <w:pPr>
              <w:autoSpaceDE w:val="0"/>
              <w:autoSpaceDN w:val="0"/>
              <w:rPr>
                <w:rFonts w:ascii="Times New Roman" w:hAnsi="Times New Roman" w:cs="Times New Roman"/>
                <w:sz w:val="24"/>
                <w:szCs w:val="24"/>
              </w:rPr>
            </w:pPr>
            <w:r w:rsidRPr="009715A6">
              <w:rPr>
                <w:rFonts w:ascii="Times New Roman" w:hAnsi="Times New Roman" w:cs="Times New Roman"/>
                <w:sz w:val="24"/>
                <w:szCs w:val="24"/>
              </w:rPr>
              <w:t xml:space="preserve">Коэффициент оборачиваемости кредиторской задолженности </w:t>
            </w:r>
          </w:p>
        </w:tc>
        <w:tc>
          <w:tcPr>
            <w:tcW w:w="463" w:type="pct"/>
            <w:tcBorders>
              <w:top w:val="single" w:sz="4" w:space="0" w:color="auto"/>
              <w:left w:val="single" w:sz="4" w:space="0" w:color="auto"/>
              <w:bottom w:val="single" w:sz="4" w:space="0" w:color="auto"/>
              <w:right w:val="single" w:sz="4" w:space="0" w:color="auto"/>
            </w:tcBorders>
            <w:noWrap/>
            <w:vAlign w:val="center"/>
          </w:tcPr>
          <w:p w14:paraId="5258EE2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11,57</w:t>
            </w:r>
          </w:p>
        </w:tc>
        <w:tc>
          <w:tcPr>
            <w:tcW w:w="439" w:type="pct"/>
            <w:tcBorders>
              <w:top w:val="single" w:sz="4" w:space="0" w:color="auto"/>
              <w:left w:val="single" w:sz="4" w:space="0" w:color="auto"/>
              <w:bottom w:val="single" w:sz="4" w:space="0" w:color="auto"/>
              <w:right w:val="single" w:sz="4" w:space="0" w:color="auto"/>
            </w:tcBorders>
            <w:noWrap/>
            <w:vAlign w:val="center"/>
          </w:tcPr>
          <w:p w14:paraId="3CB50904"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11,76</w:t>
            </w:r>
          </w:p>
        </w:tc>
        <w:tc>
          <w:tcPr>
            <w:tcW w:w="448" w:type="pct"/>
            <w:tcBorders>
              <w:top w:val="single" w:sz="4" w:space="0" w:color="auto"/>
              <w:left w:val="single" w:sz="4" w:space="0" w:color="auto"/>
              <w:bottom w:val="single" w:sz="4" w:space="0" w:color="auto"/>
              <w:right w:val="single" w:sz="4" w:space="0" w:color="auto"/>
            </w:tcBorders>
            <w:noWrap/>
            <w:vAlign w:val="center"/>
          </w:tcPr>
          <w:p w14:paraId="207FAA80"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12,11</w:t>
            </w:r>
          </w:p>
        </w:tc>
        <w:tc>
          <w:tcPr>
            <w:tcW w:w="546" w:type="pct"/>
            <w:tcBorders>
              <w:top w:val="single" w:sz="4" w:space="0" w:color="auto"/>
              <w:left w:val="single" w:sz="4" w:space="0" w:color="auto"/>
              <w:bottom w:val="single" w:sz="4" w:space="0" w:color="auto"/>
              <w:right w:val="single" w:sz="4" w:space="0" w:color="auto"/>
            </w:tcBorders>
            <w:noWrap/>
            <w:vAlign w:val="center"/>
          </w:tcPr>
          <w:p w14:paraId="521EBA4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0,19</w:t>
            </w:r>
          </w:p>
        </w:tc>
        <w:tc>
          <w:tcPr>
            <w:tcW w:w="511" w:type="pct"/>
            <w:tcBorders>
              <w:top w:val="single" w:sz="4" w:space="0" w:color="auto"/>
              <w:left w:val="single" w:sz="4" w:space="0" w:color="auto"/>
              <w:bottom w:val="single" w:sz="4" w:space="0" w:color="auto"/>
              <w:right w:val="single" w:sz="4" w:space="0" w:color="auto"/>
            </w:tcBorders>
            <w:noWrap/>
            <w:vAlign w:val="center"/>
          </w:tcPr>
          <w:p w14:paraId="575628E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0,35</w:t>
            </w:r>
          </w:p>
        </w:tc>
      </w:tr>
      <w:tr w:rsidR="00A261E7" w:rsidRPr="009715A6" w14:paraId="5AC8CB0F"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61A6D761"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 xml:space="preserve">Продолжительность одного оборота оборотных активов в днях </w:t>
            </w:r>
          </w:p>
        </w:tc>
        <w:tc>
          <w:tcPr>
            <w:tcW w:w="463" w:type="pct"/>
            <w:tcBorders>
              <w:top w:val="single" w:sz="4" w:space="0" w:color="auto"/>
              <w:left w:val="single" w:sz="4" w:space="0" w:color="auto"/>
              <w:bottom w:val="single" w:sz="4" w:space="0" w:color="auto"/>
              <w:right w:val="single" w:sz="4" w:space="0" w:color="auto"/>
            </w:tcBorders>
            <w:noWrap/>
            <w:vAlign w:val="center"/>
          </w:tcPr>
          <w:p w14:paraId="1944BFB1"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81</w:t>
            </w:r>
          </w:p>
        </w:tc>
        <w:tc>
          <w:tcPr>
            <w:tcW w:w="439" w:type="pct"/>
            <w:tcBorders>
              <w:top w:val="single" w:sz="4" w:space="0" w:color="auto"/>
              <w:left w:val="single" w:sz="4" w:space="0" w:color="auto"/>
              <w:bottom w:val="single" w:sz="4" w:space="0" w:color="auto"/>
              <w:right w:val="single" w:sz="4" w:space="0" w:color="auto"/>
            </w:tcBorders>
            <w:noWrap/>
            <w:vAlign w:val="center"/>
          </w:tcPr>
          <w:p w14:paraId="58A771A2"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75</w:t>
            </w:r>
          </w:p>
        </w:tc>
        <w:tc>
          <w:tcPr>
            <w:tcW w:w="448" w:type="pct"/>
            <w:tcBorders>
              <w:top w:val="single" w:sz="4" w:space="0" w:color="auto"/>
              <w:left w:val="single" w:sz="4" w:space="0" w:color="auto"/>
              <w:bottom w:val="single" w:sz="4" w:space="0" w:color="auto"/>
              <w:right w:val="single" w:sz="4" w:space="0" w:color="auto"/>
            </w:tcBorders>
            <w:noWrap/>
            <w:vAlign w:val="center"/>
          </w:tcPr>
          <w:p w14:paraId="43F0280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79</w:t>
            </w:r>
          </w:p>
        </w:tc>
        <w:tc>
          <w:tcPr>
            <w:tcW w:w="546" w:type="pct"/>
            <w:tcBorders>
              <w:top w:val="single" w:sz="4" w:space="0" w:color="auto"/>
              <w:left w:val="single" w:sz="4" w:space="0" w:color="auto"/>
              <w:bottom w:val="single" w:sz="4" w:space="0" w:color="auto"/>
              <w:right w:val="single" w:sz="4" w:space="0" w:color="auto"/>
            </w:tcBorders>
            <w:noWrap/>
            <w:vAlign w:val="center"/>
          </w:tcPr>
          <w:p w14:paraId="047DBBCF"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-6</w:t>
            </w:r>
          </w:p>
        </w:tc>
        <w:tc>
          <w:tcPr>
            <w:tcW w:w="511" w:type="pct"/>
            <w:tcBorders>
              <w:top w:val="single" w:sz="4" w:space="0" w:color="auto"/>
              <w:left w:val="single" w:sz="4" w:space="0" w:color="auto"/>
              <w:bottom w:val="single" w:sz="4" w:space="0" w:color="auto"/>
              <w:right w:val="single" w:sz="4" w:space="0" w:color="auto"/>
            </w:tcBorders>
            <w:noWrap/>
            <w:vAlign w:val="center"/>
          </w:tcPr>
          <w:p w14:paraId="5055DCC4"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w:t>
            </w:r>
          </w:p>
        </w:tc>
      </w:tr>
      <w:tr w:rsidR="00A261E7" w:rsidRPr="009715A6" w14:paraId="6456431C"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56136DF3"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 xml:space="preserve">Продолжительность одного оборота дебиторской задолженности в днях </w:t>
            </w:r>
          </w:p>
        </w:tc>
        <w:tc>
          <w:tcPr>
            <w:tcW w:w="463" w:type="pct"/>
            <w:tcBorders>
              <w:top w:val="single" w:sz="4" w:space="0" w:color="auto"/>
              <w:left w:val="single" w:sz="4" w:space="0" w:color="auto"/>
              <w:bottom w:val="single" w:sz="4" w:space="0" w:color="auto"/>
              <w:right w:val="single" w:sz="4" w:space="0" w:color="auto"/>
            </w:tcBorders>
            <w:noWrap/>
            <w:vAlign w:val="center"/>
          </w:tcPr>
          <w:p w14:paraId="446DE71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w:t>
            </w:r>
          </w:p>
        </w:tc>
        <w:tc>
          <w:tcPr>
            <w:tcW w:w="439" w:type="pct"/>
            <w:tcBorders>
              <w:top w:val="single" w:sz="4" w:space="0" w:color="auto"/>
              <w:left w:val="single" w:sz="4" w:space="0" w:color="auto"/>
              <w:bottom w:val="single" w:sz="4" w:space="0" w:color="auto"/>
              <w:right w:val="single" w:sz="4" w:space="0" w:color="auto"/>
            </w:tcBorders>
            <w:noWrap/>
            <w:vAlign w:val="center"/>
          </w:tcPr>
          <w:p w14:paraId="76DB90EB"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w:t>
            </w:r>
          </w:p>
        </w:tc>
        <w:tc>
          <w:tcPr>
            <w:tcW w:w="448" w:type="pct"/>
            <w:tcBorders>
              <w:top w:val="single" w:sz="4" w:space="0" w:color="auto"/>
              <w:left w:val="single" w:sz="4" w:space="0" w:color="auto"/>
              <w:bottom w:val="single" w:sz="4" w:space="0" w:color="auto"/>
              <w:right w:val="single" w:sz="4" w:space="0" w:color="auto"/>
            </w:tcBorders>
            <w:noWrap/>
            <w:vAlign w:val="center"/>
          </w:tcPr>
          <w:p w14:paraId="71CBABF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w:t>
            </w:r>
          </w:p>
        </w:tc>
        <w:tc>
          <w:tcPr>
            <w:tcW w:w="546" w:type="pct"/>
            <w:tcBorders>
              <w:top w:val="single" w:sz="4" w:space="0" w:color="auto"/>
              <w:left w:val="single" w:sz="4" w:space="0" w:color="auto"/>
              <w:bottom w:val="single" w:sz="4" w:space="0" w:color="auto"/>
              <w:right w:val="single" w:sz="4" w:space="0" w:color="auto"/>
            </w:tcBorders>
            <w:noWrap/>
            <w:vAlign w:val="center"/>
          </w:tcPr>
          <w:p w14:paraId="5B71159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w:t>
            </w:r>
          </w:p>
        </w:tc>
        <w:tc>
          <w:tcPr>
            <w:tcW w:w="511" w:type="pct"/>
            <w:tcBorders>
              <w:top w:val="single" w:sz="4" w:space="0" w:color="auto"/>
              <w:left w:val="single" w:sz="4" w:space="0" w:color="auto"/>
              <w:bottom w:val="single" w:sz="4" w:space="0" w:color="auto"/>
              <w:right w:val="single" w:sz="4" w:space="0" w:color="auto"/>
            </w:tcBorders>
            <w:noWrap/>
            <w:vAlign w:val="center"/>
          </w:tcPr>
          <w:p w14:paraId="15E6DFE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-4</w:t>
            </w:r>
          </w:p>
        </w:tc>
      </w:tr>
      <w:tr w:rsidR="00A261E7" w:rsidRPr="009715A6" w14:paraId="6651F946"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7A3884FB"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Продолжительность одного оборота кредиторской задолженности в днях</w:t>
            </w:r>
          </w:p>
        </w:tc>
        <w:tc>
          <w:tcPr>
            <w:tcW w:w="463" w:type="pct"/>
            <w:tcBorders>
              <w:top w:val="single" w:sz="4" w:space="0" w:color="auto"/>
              <w:left w:val="single" w:sz="4" w:space="0" w:color="auto"/>
              <w:bottom w:val="single" w:sz="4" w:space="0" w:color="auto"/>
              <w:right w:val="single" w:sz="4" w:space="0" w:color="auto"/>
            </w:tcBorders>
            <w:noWrap/>
            <w:vAlign w:val="center"/>
          </w:tcPr>
          <w:p w14:paraId="6A677E84"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31</w:t>
            </w:r>
          </w:p>
        </w:tc>
        <w:tc>
          <w:tcPr>
            <w:tcW w:w="439" w:type="pct"/>
            <w:tcBorders>
              <w:top w:val="single" w:sz="4" w:space="0" w:color="auto"/>
              <w:left w:val="single" w:sz="4" w:space="0" w:color="auto"/>
              <w:bottom w:val="single" w:sz="4" w:space="0" w:color="auto"/>
              <w:right w:val="single" w:sz="4" w:space="0" w:color="auto"/>
            </w:tcBorders>
            <w:noWrap/>
            <w:vAlign w:val="center"/>
          </w:tcPr>
          <w:p w14:paraId="4F9BD7C5"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31</w:t>
            </w:r>
          </w:p>
        </w:tc>
        <w:tc>
          <w:tcPr>
            <w:tcW w:w="448" w:type="pct"/>
            <w:tcBorders>
              <w:top w:val="single" w:sz="4" w:space="0" w:color="auto"/>
              <w:left w:val="single" w:sz="4" w:space="0" w:color="auto"/>
              <w:bottom w:val="single" w:sz="4" w:space="0" w:color="auto"/>
              <w:right w:val="single" w:sz="4" w:space="0" w:color="auto"/>
            </w:tcBorders>
            <w:noWrap/>
            <w:vAlign w:val="center"/>
          </w:tcPr>
          <w:p w14:paraId="60DA321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30</w:t>
            </w:r>
          </w:p>
        </w:tc>
        <w:tc>
          <w:tcPr>
            <w:tcW w:w="546" w:type="pct"/>
            <w:tcBorders>
              <w:top w:val="single" w:sz="4" w:space="0" w:color="auto"/>
              <w:left w:val="single" w:sz="4" w:space="0" w:color="auto"/>
              <w:bottom w:val="single" w:sz="4" w:space="0" w:color="auto"/>
              <w:right w:val="single" w:sz="4" w:space="0" w:color="auto"/>
            </w:tcBorders>
            <w:noWrap/>
            <w:vAlign w:val="center"/>
          </w:tcPr>
          <w:p w14:paraId="4B584315"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w:t>
            </w:r>
          </w:p>
        </w:tc>
        <w:tc>
          <w:tcPr>
            <w:tcW w:w="511" w:type="pct"/>
            <w:tcBorders>
              <w:top w:val="single" w:sz="4" w:space="0" w:color="auto"/>
              <w:left w:val="single" w:sz="4" w:space="0" w:color="auto"/>
              <w:bottom w:val="single" w:sz="4" w:space="0" w:color="auto"/>
              <w:right w:val="single" w:sz="4" w:space="0" w:color="auto"/>
            </w:tcBorders>
            <w:noWrap/>
            <w:vAlign w:val="center"/>
          </w:tcPr>
          <w:p w14:paraId="156B7C8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w:t>
            </w:r>
          </w:p>
        </w:tc>
      </w:tr>
      <w:tr w:rsidR="00A261E7" w:rsidRPr="009715A6" w14:paraId="66E65709" w14:textId="77777777" w:rsidTr="007E1183">
        <w:trPr>
          <w:trHeight w:val="454"/>
        </w:trPr>
        <w:tc>
          <w:tcPr>
            <w:tcW w:w="2592" w:type="pct"/>
            <w:tcBorders>
              <w:top w:val="single" w:sz="4" w:space="0" w:color="auto"/>
              <w:left w:val="single" w:sz="4" w:space="0" w:color="auto"/>
              <w:bottom w:val="single" w:sz="4" w:space="0" w:color="auto"/>
              <w:right w:val="single" w:sz="4" w:space="0" w:color="auto"/>
            </w:tcBorders>
            <w:vAlign w:val="center"/>
          </w:tcPr>
          <w:p w14:paraId="13E72B9B"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Продолжительность оборачиваемости запасов в днях</w:t>
            </w:r>
          </w:p>
        </w:tc>
        <w:tc>
          <w:tcPr>
            <w:tcW w:w="463" w:type="pct"/>
            <w:tcBorders>
              <w:top w:val="single" w:sz="4" w:space="0" w:color="auto"/>
              <w:left w:val="single" w:sz="4" w:space="0" w:color="auto"/>
              <w:bottom w:val="single" w:sz="4" w:space="0" w:color="auto"/>
              <w:right w:val="single" w:sz="4" w:space="0" w:color="auto"/>
            </w:tcBorders>
            <w:noWrap/>
            <w:vAlign w:val="center"/>
          </w:tcPr>
          <w:p w14:paraId="5D2FAF43"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68</w:t>
            </w:r>
          </w:p>
        </w:tc>
        <w:tc>
          <w:tcPr>
            <w:tcW w:w="439" w:type="pct"/>
            <w:tcBorders>
              <w:top w:val="single" w:sz="4" w:space="0" w:color="auto"/>
              <w:left w:val="single" w:sz="4" w:space="0" w:color="auto"/>
              <w:bottom w:val="single" w:sz="4" w:space="0" w:color="auto"/>
              <w:right w:val="single" w:sz="4" w:space="0" w:color="auto"/>
            </w:tcBorders>
            <w:noWrap/>
            <w:vAlign w:val="center"/>
          </w:tcPr>
          <w:p w14:paraId="1CB76B51"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67</w:t>
            </w:r>
          </w:p>
        </w:tc>
        <w:tc>
          <w:tcPr>
            <w:tcW w:w="448" w:type="pct"/>
            <w:tcBorders>
              <w:top w:val="single" w:sz="4" w:space="0" w:color="auto"/>
              <w:left w:val="single" w:sz="4" w:space="0" w:color="auto"/>
              <w:bottom w:val="single" w:sz="4" w:space="0" w:color="auto"/>
              <w:right w:val="single" w:sz="4" w:space="0" w:color="auto"/>
            </w:tcBorders>
            <w:noWrap/>
            <w:vAlign w:val="center"/>
          </w:tcPr>
          <w:p w14:paraId="23E2A08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77</w:t>
            </w:r>
          </w:p>
        </w:tc>
        <w:tc>
          <w:tcPr>
            <w:tcW w:w="546" w:type="pct"/>
            <w:tcBorders>
              <w:top w:val="single" w:sz="4" w:space="0" w:color="auto"/>
              <w:left w:val="single" w:sz="4" w:space="0" w:color="auto"/>
              <w:bottom w:val="single" w:sz="4" w:space="0" w:color="auto"/>
              <w:right w:val="single" w:sz="4" w:space="0" w:color="auto"/>
            </w:tcBorders>
            <w:noWrap/>
            <w:vAlign w:val="center"/>
          </w:tcPr>
          <w:p w14:paraId="0418EB09"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w:t>
            </w:r>
          </w:p>
        </w:tc>
        <w:tc>
          <w:tcPr>
            <w:tcW w:w="511" w:type="pct"/>
            <w:tcBorders>
              <w:top w:val="single" w:sz="4" w:space="0" w:color="auto"/>
              <w:left w:val="single" w:sz="4" w:space="0" w:color="auto"/>
              <w:bottom w:val="single" w:sz="4" w:space="0" w:color="auto"/>
              <w:right w:val="single" w:sz="4" w:space="0" w:color="auto"/>
            </w:tcBorders>
            <w:noWrap/>
            <w:vAlign w:val="center"/>
          </w:tcPr>
          <w:p w14:paraId="3E1FE5D4"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w:t>
            </w:r>
          </w:p>
        </w:tc>
      </w:tr>
    </w:tbl>
    <w:p w14:paraId="6A61C5B9" w14:textId="77777777" w:rsidR="00A261E7" w:rsidRPr="009715A6" w:rsidRDefault="00A261E7" w:rsidP="002F08F2">
      <w:pPr>
        <w:widowControl w:val="0"/>
        <w:tabs>
          <w:tab w:val="left" w:pos="1701"/>
        </w:tabs>
        <w:spacing w:before="12"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Так, эффективность использования имущества ООО «Скайпарк» показывает снижение. По многим показателям деловой активности наблюдается ухудшение показателей. При этом на предприятии наблюдается снижение денежных средств, рост доли запасов и большой удельный вес кредиторской задолженности.</w:t>
      </w:r>
    </w:p>
    <w:p w14:paraId="5FD71D27" w14:textId="77777777" w:rsidR="00A261E7" w:rsidRPr="009715A6" w:rsidRDefault="00A261E7" w:rsidP="002F08F2">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iCs/>
          <w:sz w:val="24"/>
          <w:szCs w:val="24"/>
        </w:rPr>
        <w:t>Для выявления степени защищенности</w:t>
      </w:r>
      <w:r w:rsidRPr="009715A6">
        <w:rPr>
          <w:rFonts w:ascii="Times New Roman" w:hAnsi="Times New Roman" w:cs="Times New Roman"/>
          <w:sz w:val="24"/>
          <w:szCs w:val="24"/>
        </w:rPr>
        <w:t xml:space="preserve"> интересов кредиторов и инвесторов проведем анализ финансовой устойчивости ООО «</w:t>
      </w:r>
      <w:r w:rsidRPr="009715A6">
        <w:rPr>
          <w:rFonts w:ascii="Times New Roman" w:hAnsi="Times New Roman" w:cs="Times New Roman"/>
          <w:sz w:val="24"/>
          <w:szCs w:val="24"/>
          <w:shd w:val="clear" w:color="auto" w:fill="FFFFFF"/>
        </w:rPr>
        <w:t>Скайпарк</w:t>
      </w:r>
      <w:r w:rsidRPr="009715A6">
        <w:rPr>
          <w:rFonts w:ascii="Times New Roman" w:hAnsi="Times New Roman" w:cs="Times New Roman"/>
          <w:sz w:val="24"/>
          <w:szCs w:val="24"/>
        </w:rPr>
        <w:t>» по ее типу (таблица 4).</w:t>
      </w:r>
    </w:p>
    <w:p w14:paraId="22EC304A" w14:textId="77777777" w:rsidR="00A261E7" w:rsidRPr="009715A6" w:rsidRDefault="00A261E7" w:rsidP="00A261E7">
      <w:pPr>
        <w:spacing w:before="120"/>
        <w:rPr>
          <w:rFonts w:ascii="Times New Roman" w:hAnsi="Times New Roman" w:cs="Times New Roman"/>
          <w:sz w:val="24"/>
          <w:szCs w:val="24"/>
        </w:rPr>
      </w:pPr>
      <w:r w:rsidRPr="009715A6">
        <w:rPr>
          <w:rFonts w:ascii="Times New Roman" w:hAnsi="Times New Roman" w:cs="Times New Roman"/>
          <w:sz w:val="24"/>
          <w:szCs w:val="24"/>
        </w:rPr>
        <w:t>Таблица 4 - Показатели типа финансовой устойчивости ООО «</w:t>
      </w:r>
      <w:r w:rsidRPr="009715A6">
        <w:rPr>
          <w:rFonts w:ascii="Times New Roman" w:hAnsi="Times New Roman" w:cs="Times New Roman"/>
          <w:sz w:val="24"/>
          <w:szCs w:val="24"/>
          <w:shd w:val="clear" w:color="auto" w:fill="FFFFFF"/>
        </w:rPr>
        <w:t>Скайпарк</w:t>
      </w:r>
      <w:r w:rsidRPr="009715A6">
        <w:rPr>
          <w:rFonts w:ascii="Times New Roman" w:hAnsi="Times New Roman" w:cs="Times New Roman"/>
          <w:sz w:val="24"/>
          <w:szCs w:val="24"/>
        </w:rPr>
        <w:t>» за 2015-2017 гг.</w:t>
      </w:r>
    </w:p>
    <w:p w14:paraId="151351B8" w14:textId="77777777" w:rsidR="00A261E7" w:rsidRPr="009715A6" w:rsidRDefault="00A261E7" w:rsidP="00A261E7">
      <w:pPr>
        <w:jc w:val="right"/>
        <w:rPr>
          <w:rFonts w:ascii="Times New Roman" w:hAnsi="Times New Roman" w:cs="Times New Roman"/>
          <w:sz w:val="24"/>
          <w:szCs w:val="24"/>
        </w:rPr>
      </w:pPr>
      <w:r w:rsidRPr="009715A6">
        <w:rPr>
          <w:rFonts w:ascii="Times New Roman" w:hAnsi="Times New Roman" w:cs="Times New Roman"/>
          <w:sz w:val="24"/>
          <w:szCs w:val="24"/>
        </w:rPr>
        <w:t>В тысячах рублей</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080"/>
        <w:gridCol w:w="1080"/>
        <w:gridCol w:w="1080"/>
      </w:tblGrid>
      <w:tr w:rsidR="00A261E7" w:rsidRPr="009715A6" w14:paraId="2D910FED" w14:textId="77777777" w:rsidTr="007E1183">
        <w:trPr>
          <w:trHeight w:val="454"/>
        </w:trPr>
        <w:tc>
          <w:tcPr>
            <w:tcW w:w="6120" w:type="dxa"/>
            <w:tcBorders>
              <w:bottom w:val="single" w:sz="4" w:space="0" w:color="auto"/>
            </w:tcBorders>
            <w:shd w:val="clear" w:color="auto" w:fill="auto"/>
            <w:vAlign w:val="center"/>
          </w:tcPr>
          <w:p w14:paraId="228D0A7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lastRenderedPageBreak/>
              <w:t>Показатель</w:t>
            </w:r>
          </w:p>
        </w:tc>
        <w:tc>
          <w:tcPr>
            <w:tcW w:w="1080" w:type="dxa"/>
            <w:tcBorders>
              <w:bottom w:val="single" w:sz="4" w:space="0" w:color="auto"/>
            </w:tcBorders>
            <w:shd w:val="clear" w:color="auto" w:fill="auto"/>
            <w:vAlign w:val="center"/>
          </w:tcPr>
          <w:p w14:paraId="75B805AB"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2015г.</w:t>
            </w:r>
          </w:p>
        </w:tc>
        <w:tc>
          <w:tcPr>
            <w:tcW w:w="1080" w:type="dxa"/>
            <w:tcBorders>
              <w:bottom w:val="single" w:sz="4" w:space="0" w:color="auto"/>
            </w:tcBorders>
            <w:shd w:val="clear" w:color="auto" w:fill="auto"/>
            <w:vAlign w:val="center"/>
          </w:tcPr>
          <w:p w14:paraId="6289D38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2016г.</w:t>
            </w:r>
          </w:p>
        </w:tc>
        <w:tc>
          <w:tcPr>
            <w:tcW w:w="1080" w:type="dxa"/>
            <w:tcBorders>
              <w:bottom w:val="single" w:sz="4" w:space="0" w:color="auto"/>
            </w:tcBorders>
            <w:shd w:val="clear" w:color="auto" w:fill="auto"/>
            <w:vAlign w:val="center"/>
          </w:tcPr>
          <w:p w14:paraId="52673AA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2017г.</w:t>
            </w:r>
          </w:p>
        </w:tc>
      </w:tr>
      <w:tr w:rsidR="00A261E7" w:rsidRPr="009715A6" w14:paraId="3618D5B6" w14:textId="77777777" w:rsidTr="007E1183">
        <w:trPr>
          <w:trHeight w:val="454"/>
        </w:trPr>
        <w:tc>
          <w:tcPr>
            <w:tcW w:w="6120" w:type="dxa"/>
            <w:tcBorders>
              <w:top w:val="single" w:sz="4" w:space="0" w:color="auto"/>
            </w:tcBorders>
            <w:shd w:val="clear" w:color="auto" w:fill="auto"/>
            <w:vAlign w:val="center"/>
          </w:tcPr>
          <w:p w14:paraId="21250CA9"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Источники собственных средств</w:t>
            </w:r>
          </w:p>
        </w:tc>
        <w:tc>
          <w:tcPr>
            <w:tcW w:w="1080" w:type="dxa"/>
            <w:tcBorders>
              <w:top w:val="single" w:sz="4" w:space="0" w:color="auto"/>
            </w:tcBorders>
            <w:shd w:val="clear" w:color="auto" w:fill="auto"/>
            <w:vAlign w:val="center"/>
          </w:tcPr>
          <w:p w14:paraId="796B5DE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9723</w:t>
            </w:r>
          </w:p>
        </w:tc>
        <w:tc>
          <w:tcPr>
            <w:tcW w:w="1080" w:type="dxa"/>
            <w:tcBorders>
              <w:top w:val="single" w:sz="4" w:space="0" w:color="auto"/>
            </w:tcBorders>
            <w:shd w:val="clear" w:color="auto" w:fill="auto"/>
            <w:vAlign w:val="center"/>
          </w:tcPr>
          <w:p w14:paraId="052F1D15"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10372</w:t>
            </w:r>
          </w:p>
        </w:tc>
        <w:tc>
          <w:tcPr>
            <w:tcW w:w="1080" w:type="dxa"/>
            <w:tcBorders>
              <w:top w:val="single" w:sz="4" w:space="0" w:color="auto"/>
            </w:tcBorders>
            <w:shd w:val="clear" w:color="auto" w:fill="auto"/>
            <w:vAlign w:val="center"/>
          </w:tcPr>
          <w:p w14:paraId="54C068D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12887</w:t>
            </w:r>
          </w:p>
        </w:tc>
      </w:tr>
      <w:tr w:rsidR="00A261E7" w:rsidRPr="009715A6" w14:paraId="16AC654D" w14:textId="77777777" w:rsidTr="007E1183">
        <w:trPr>
          <w:trHeight w:val="454"/>
        </w:trPr>
        <w:tc>
          <w:tcPr>
            <w:tcW w:w="6120" w:type="dxa"/>
            <w:shd w:val="clear" w:color="auto" w:fill="auto"/>
            <w:vAlign w:val="center"/>
          </w:tcPr>
          <w:p w14:paraId="4904FDED"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Внеоборотные активы</w:t>
            </w:r>
          </w:p>
        </w:tc>
        <w:tc>
          <w:tcPr>
            <w:tcW w:w="1080" w:type="dxa"/>
            <w:shd w:val="clear" w:color="auto" w:fill="auto"/>
            <w:vAlign w:val="center"/>
          </w:tcPr>
          <w:p w14:paraId="4EF4E02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1318</w:t>
            </w:r>
          </w:p>
        </w:tc>
        <w:tc>
          <w:tcPr>
            <w:tcW w:w="1080" w:type="dxa"/>
            <w:shd w:val="clear" w:color="auto" w:fill="auto"/>
            <w:vAlign w:val="center"/>
          </w:tcPr>
          <w:p w14:paraId="78EB2D0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1603</w:t>
            </w:r>
          </w:p>
        </w:tc>
        <w:tc>
          <w:tcPr>
            <w:tcW w:w="1080" w:type="dxa"/>
            <w:shd w:val="clear" w:color="auto" w:fill="auto"/>
            <w:vAlign w:val="center"/>
          </w:tcPr>
          <w:p w14:paraId="6156006F"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1953</w:t>
            </w:r>
          </w:p>
        </w:tc>
      </w:tr>
      <w:tr w:rsidR="00A261E7" w:rsidRPr="009715A6" w14:paraId="30E52652" w14:textId="77777777" w:rsidTr="007E1183">
        <w:trPr>
          <w:trHeight w:val="454"/>
        </w:trPr>
        <w:tc>
          <w:tcPr>
            <w:tcW w:w="6120" w:type="dxa"/>
            <w:shd w:val="clear" w:color="auto" w:fill="auto"/>
            <w:vAlign w:val="center"/>
          </w:tcPr>
          <w:p w14:paraId="1FD182E0"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Наличие собственных оборотных средств (1-2)</w:t>
            </w:r>
          </w:p>
        </w:tc>
        <w:tc>
          <w:tcPr>
            <w:tcW w:w="1080" w:type="dxa"/>
            <w:shd w:val="clear" w:color="auto" w:fill="auto"/>
            <w:vAlign w:val="center"/>
          </w:tcPr>
          <w:p w14:paraId="61EC1C1F"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8405</w:t>
            </w:r>
          </w:p>
        </w:tc>
        <w:tc>
          <w:tcPr>
            <w:tcW w:w="1080" w:type="dxa"/>
            <w:shd w:val="clear" w:color="auto" w:fill="auto"/>
            <w:vAlign w:val="center"/>
          </w:tcPr>
          <w:p w14:paraId="604B76B9"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8769</w:t>
            </w:r>
          </w:p>
        </w:tc>
        <w:tc>
          <w:tcPr>
            <w:tcW w:w="1080" w:type="dxa"/>
            <w:shd w:val="clear" w:color="auto" w:fill="auto"/>
            <w:vAlign w:val="center"/>
          </w:tcPr>
          <w:p w14:paraId="49FC6652"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10934</w:t>
            </w:r>
          </w:p>
        </w:tc>
      </w:tr>
      <w:tr w:rsidR="00A261E7" w:rsidRPr="009715A6" w14:paraId="0B051AF9" w14:textId="77777777" w:rsidTr="007E1183">
        <w:trPr>
          <w:trHeight w:val="454"/>
        </w:trPr>
        <w:tc>
          <w:tcPr>
            <w:tcW w:w="6120" w:type="dxa"/>
            <w:tcBorders>
              <w:bottom w:val="single" w:sz="4" w:space="0" w:color="auto"/>
            </w:tcBorders>
            <w:shd w:val="clear" w:color="auto" w:fill="auto"/>
            <w:vAlign w:val="center"/>
          </w:tcPr>
          <w:p w14:paraId="5A06C2A8"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Долгосрочные займы и кредиты</w:t>
            </w:r>
          </w:p>
        </w:tc>
        <w:tc>
          <w:tcPr>
            <w:tcW w:w="1080" w:type="dxa"/>
            <w:tcBorders>
              <w:bottom w:val="single" w:sz="4" w:space="0" w:color="auto"/>
            </w:tcBorders>
            <w:shd w:val="clear" w:color="auto" w:fill="auto"/>
            <w:vAlign w:val="center"/>
          </w:tcPr>
          <w:p w14:paraId="1BBD13F9"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w:t>
            </w:r>
          </w:p>
        </w:tc>
        <w:tc>
          <w:tcPr>
            <w:tcW w:w="1080" w:type="dxa"/>
            <w:tcBorders>
              <w:bottom w:val="single" w:sz="4" w:space="0" w:color="auto"/>
            </w:tcBorders>
            <w:shd w:val="clear" w:color="auto" w:fill="auto"/>
            <w:vAlign w:val="center"/>
          </w:tcPr>
          <w:p w14:paraId="0BE14808"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w:t>
            </w:r>
          </w:p>
        </w:tc>
        <w:tc>
          <w:tcPr>
            <w:tcW w:w="1080" w:type="dxa"/>
            <w:tcBorders>
              <w:bottom w:val="single" w:sz="4" w:space="0" w:color="auto"/>
            </w:tcBorders>
            <w:shd w:val="clear" w:color="auto" w:fill="auto"/>
            <w:vAlign w:val="center"/>
          </w:tcPr>
          <w:p w14:paraId="09FA2A7E"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w:t>
            </w:r>
          </w:p>
        </w:tc>
      </w:tr>
      <w:tr w:rsidR="00A261E7" w:rsidRPr="009715A6" w14:paraId="09F0B606" w14:textId="77777777" w:rsidTr="007E1183">
        <w:trPr>
          <w:trHeight w:val="454"/>
        </w:trPr>
        <w:tc>
          <w:tcPr>
            <w:tcW w:w="6120" w:type="dxa"/>
            <w:shd w:val="clear" w:color="auto" w:fill="auto"/>
            <w:vAlign w:val="center"/>
          </w:tcPr>
          <w:p w14:paraId="03D37516"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Наличие собственных и долгосрочных заемных средств для формирования запасов (3+4)</w:t>
            </w:r>
          </w:p>
        </w:tc>
        <w:tc>
          <w:tcPr>
            <w:tcW w:w="1080" w:type="dxa"/>
            <w:shd w:val="clear" w:color="auto" w:fill="auto"/>
            <w:vAlign w:val="center"/>
          </w:tcPr>
          <w:p w14:paraId="1A4B6D0C"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8405</w:t>
            </w:r>
          </w:p>
        </w:tc>
        <w:tc>
          <w:tcPr>
            <w:tcW w:w="1080" w:type="dxa"/>
            <w:shd w:val="clear" w:color="auto" w:fill="auto"/>
            <w:vAlign w:val="center"/>
          </w:tcPr>
          <w:p w14:paraId="5265EF0F"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8769</w:t>
            </w:r>
          </w:p>
        </w:tc>
        <w:tc>
          <w:tcPr>
            <w:tcW w:w="1080" w:type="dxa"/>
            <w:shd w:val="clear" w:color="auto" w:fill="auto"/>
            <w:vAlign w:val="center"/>
          </w:tcPr>
          <w:p w14:paraId="05EADA8F"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10934</w:t>
            </w:r>
          </w:p>
        </w:tc>
      </w:tr>
      <w:tr w:rsidR="00A261E7" w:rsidRPr="009715A6" w14:paraId="4E60A6B2" w14:textId="77777777" w:rsidTr="007E1183">
        <w:trPr>
          <w:trHeight w:val="454"/>
        </w:trPr>
        <w:tc>
          <w:tcPr>
            <w:tcW w:w="6120" w:type="dxa"/>
            <w:shd w:val="clear" w:color="auto" w:fill="auto"/>
            <w:vAlign w:val="center"/>
          </w:tcPr>
          <w:p w14:paraId="40314D2E"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Краткосрочные кредиты и займы</w:t>
            </w:r>
          </w:p>
        </w:tc>
        <w:tc>
          <w:tcPr>
            <w:tcW w:w="1080" w:type="dxa"/>
            <w:shd w:val="clear" w:color="auto" w:fill="auto"/>
            <w:vAlign w:val="center"/>
          </w:tcPr>
          <w:p w14:paraId="6FA15BC0"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1702</w:t>
            </w:r>
          </w:p>
        </w:tc>
        <w:tc>
          <w:tcPr>
            <w:tcW w:w="1080" w:type="dxa"/>
            <w:shd w:val="clear" w:color="auto" w:fill="auto"/>
            <w:vAlign w:val="center"/>
          </w:tcPr>
          <w:p w14:paraId="1F97A303"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2118</w:t>
            </w:r>
          </w:p>
        </w:tc>
        <w:tc>
          <w:tcPr>
            <w:tcW w:w="1080" w:type="dxa"/>
            <w:shd w:val="clear" w:color="auto" w:fill="auto"/>
            <w:vAlign w:val="center"/>
          </w:tcPr>
          <w:p w14:paraId="5EE8B682"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2318</w:t>
            </w:r>
          </w:p>
        </w:tc>
      </w:tr>
      <w:tr w:rsidR="00A261E7" w:rsidRPr="009715A6" w14:paraId="57E8DAE6" w14:textId="77777777" w:rsidTr="007E1183">
        <w:trPr>
          <w:trHeight w:val="454"/>
        </w:trPr>
        <w:tc>
          <w:tcPr>
            <w:tcW w:w="6120" w:type="dxa"/>
            <w:shd w:val="clear" w:color="auto" w:fill="auto"/>
            <w:vAlign w:val="center"/>
          </w:tcPr>
          <w:p w14:paraId="2DBECC65"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Общая величина основных источников средств на покрытие запасов и затрат (5+6)</w:t>
            </w:r>
          </w:p>
        </w:tc>
        <w:tc>
          <w:tcPr>
            <w:tcW w:w="1080" w:type="dxa"/>
            <w:shd w:val="clear" w:color="auto" w:fill="auto"/>
            <w:vAlign w:val="center"/>
          </w:tcPr>
          <w:p w14:paraId="1340469E"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10107</w:t>
            </w:r>
          </w:p>
        </w:tc>
        <w:tc>
          <w:tcPr>
            <w:tcW w:w="1080" w:type="dxa"/>
            <w:shd w:val="clear" w:color="auto" w:fill="auto"/>
            <w:vAlign w:val="center"/>
          </w:tcPr>
          <w:p w14:paraId="40CAD438"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10887</w:t>
            </w:r>
          </w:p>
        </w:tc>
        <w:tc>
          <w:tcPr>
            <w:tcW w:w="1080" w:type="dxa"/>
            <w:shd w:val="clear" w:color="auto" w:fill="auto"/>
            <w:vAlign w:val="center"/>
          </w:tcPr>
          <w:p w14:paraId="785D4FAE" w14:textId="77777777" w:rsidR="00A261E7" w:rsidRPr="009715A6" w:rsidRDefault="00A261E7" w:rsidP="007E1183">
            <w:pPr>
              <w:pStyle w:val="aff"/>
              <w:tabs>
                <w:tab w:val="left" w:pos="0"/>
              </w:tabs>
              <w:spacing w:after="0"/>
              <w:ind w:left="0"/>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13252</w:t>
            </w:r>
          </w:p>
        </w:tc>
      </w:tr>
      <w:tr w:rsidR="00A261E7" w:rsidRPr="009715A6" w14:paraId="1B7F3AC7" w14:textId="77777777" w:rsidTr="007E1183">
        <w:trPr>
          <w:trHeight w:val="454"/>
        </w:trPr>
        <w:tc>
          <w:tcPr>
            <w:tcW w:w="6120" w:type="dxa"/>
            <w:shd w:val="clear" w:color="auto" w:fill="auto"/>
            <w:vAlign w:val="center"/>
          </w:tcPr>
          <w:p w14:paraId="7EF0222C"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Запасы и затраты</w:t>
            </w:r>
          </w:p>
        </w:tc>
        <w:tc>
          <w:tcPr>
            <w:tcW w:w="1080" w:type="dxa"/>
            <w:shd w:val="clear" w:color="auto" w:fill="auto"/>
            <w:vAlign w:val="center"/>
          </w:tcPr>
          <w:p w14:paraId="7BE1F089"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13853</w:t>
            </w:r>
          </w:p>
        </w:tc>
        <w:tc>
          <w:tcPr>
            <w:tcW w:w="1080" w:type="dxa"/>
            <w:shd w:val="clear" w:color="auto" w:fill="auto"/>
            <w:vAlign w:val="center"/>
          </w:tcPr>
          <w:p w14:paraId="7616B97F"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16208</w:t>
            </w:r>
          </w:p>
        </w:tc>
        <w:tc>
          <w:tcPr>
            <w:tcW w:w="1080" w:type="dxa"/>
            <w:shd w:val="clear" w:color="auto" w:fill="auto"/>
            <w:vAlign w:val="center"/>
          </w:tcPr>
          <w:p w14:paraId="63602206"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20571</w:t>
            </w:r>
          </w:p>
        </w:tc>
      </w:tr>
      <w:tr w:rsidR="00A261E7" w:rsidRPr="009715A6" w14:paraId="2C960D9D" w14:textId="77777777" w:rsidTr="007E1183">
        <w:trPr>
          <w:trHeight w:val="454"/>
        </w:trPr>
        <w:tc>
          <w:tcPr>
            <w:tcW w:w="6120" w:type="dxa"/>
            <w:shd w:val="clear" w:color="auto" w:fill="auto"/>
            <w:vAlign w:val="center"/>
          </w:tcPr>
          <w:p w14:paraId="794D7481"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Излишек (+), недостаток (-) собственных оборотных средств на покрытие запасов и затрат</w:t>
            </w:r>
          </w:p>
        </w:tc>
        <w:tc>
          <w:tcPr>
            <w:tcW w:w="1080" w:type="dxa"/>
            <w:shd w:val="clear" w:color="auto" w:fill="auto"/>
            <w:vAlign w:val="center"/>
          </w:tcPr>
          <w:p w14:paraId="427E1C9F"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-5448</w:t>
            </w:r>
          </w:p>
        </w:tc>
        <w:tc>
          <w:tcPr>
            <w:tcW w:w="1080" w:type="dxa"/>
            <w:shd w:val="clear" w:color="auto" w:fill="auto"/>
            <w:vAlign w:val="center"/>
          </w:tcPr>
          <w:p w14:paraId="6B2069D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-7439</w:t>
            </w:r>
          </w:p>
        </w:tc>
        <w:tc>
          <w:tcPr>
            <w:tcW w:w="1080" w:type="dxa"/>
            <w:shd w:val="clear" w:color="auto" w:fill="auto"/>
            <w:vAlign w:val="center"/>
          </w:tcPr>
          <w:p w14:paraId="09CB9CE2"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-9637</w:t>
            </w:r>
          </w:p>
        </w:tc>
      </w:tr>
      <w:tr w:rsidR="00A261E7" w:rsidRPr="009715A6" w14:paraId="37F99DC5" w14:textId="77777777" w:rsidTr="007E1183">
        <w:trPr>
          <w:trHeight w:val="454"/>
        </w:trPr>
        <w:tc>
          <w:tcPr>
            <w:tcW w:w="6120" w:type="dxa"/>
            <w:shd w:val="clear" w:color="auto" w:fill="auto"/>
          </w:tcPr>
          <w:p w14:paraId="3EFA3AD6"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Излишек (+), недостаток (-) собственных оборотных средств и долгосрочных заемных средств на покрытие запасов и затрат</w:t>
            </w:r>
          </w:p>
        </w:tc>
        <w:tc>
          <w:tcPr>
            <w:tcW w:w="1080" w:type="dxa"/>
            <w:shd w:val="clear" w:color="auto" w:fill="auto"/>
            <w:vAlign w:val="center"/>
          </w:tcPr>
          <w:p w14:paraId="23165C5F"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-5448</w:t>
            </w:r>
          </w:p>
        </w:tc>
        <w:tc>
          <w:tcPr>
            <w:tcW w:w="1080" w:type="dxa"/>
            <w:shd w:val="clear" w:color="auto" w:fill="auto"/>
            <w:vAlign w:val="center"/>
          </w:tcPr>
          <w:p w14:paraId="59E6DC1A"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-7439</w:t>
            </w:r>
          </w:p>
        </w:tc>
        <w:tc>
          <w:tcPr>
            <w:tcW w:w="1080" w:type="dxa"/>
            <w:shd w:val="clear" w:color="auto" w:fill="auto"/>
            <w:vAlign w:val="center"/>
          </w:tcPr>
          <w:p w14:paraId="10F794F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-9637</w:t>
            </w:r>
          </w:p>
        </w:tc>
      </w:tr>
      <w:tr w:rsidR="00A261E7" w:rsidRPr="009715A6" w14:paraId="0E4D6FD2" w14:textId="77777777" w:rsidTr="007E1183">
        <w:trPr>
          <w:trHeight w:val="454"/>
        </w:trPr>
        <w:tc>
          <w:tcPr>
            <w:tcW w:w="6120" w:type="dxa"/>
            <w:shd w:val="clear" w:color="auto" w:fill="auto"/>
          </w:tcPr>
          <w:p w14:paraId="08665D09"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Излишек (+), недостаток (-) общей величины источников средств на покрытие запасов и затрат</w:t>
            </w:r>
          </w:p>
        </w:tc>
        <w:tc>
          <w:tcPr>
            <w:tcW w:w="1080" w:type="dxa"/>
            <w:shd w:val="clear" w:color="auto" w:fill="auto"/>
            <w:vAlign w:val="center"/>
          </w:tcPr>
          <w:p w14:paraId="5FEE691C"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-3746</w:t>
            </w:r>
          </w:p>
        </w:tc>
        <w:tc>
          <w:tcPr>
            <w:tcW w:w="1080" w:type="dxa"/>
            <w:shd w:val="clear" w:color="auto" w:fill="auto"/>
            <w:vAlign w:val="center"/>
          </w:tcPr>
          <w:p w14:paraId="2FAFE0A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-5321</w:t>
            </w:r>
          </w:p>
        </w:tc>
        <w:tc>
          <w:tcPr>
            <w:tcW w:w="1080" w:type="dxa"/>
            <w:shd w:val="clear" w:color="auto" w:fill="auto"/>
            <w:vAlign w:val="center"/>
          </w:tcPr>
          <w:p w14:paraId="552F4795"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-7319</w:t>
            </w:r>
          </w:p>
        </w:tc>
      </w:tr>
      <w:tr w:rsidR="00A261E7" w:rsidRPr="009715A6" w14:paraId="0EB8AC6C" w14:textId="77777777" w:rsidTr="007E1183">
        <w:trPr>
          <w:trHeight w:val="454"/>
        </w:trPr>
        <w:tc>
          <w:tcPr>
            <w:tcW w:w="6120" w:type="dxa"/>
            <w:shd w:val="clear" w:color="auto" w:fill="auto"/>
          </w:tcPr>
          <w:p w14:paraId="3BEC2443"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Трехкомпонентный показатель типа финансовой устойчивости</w:t>
            </w:r>
          </w:p>
        </w:tc>
        <w:tc>
          <w:tcPr>
            <w:tcW w:w="1080" w:type="dxa"/>
            <w:shd w:val="clear" w:color="auto" w:fill="auto"/>
            <w:vAlign w:val="center"/>
          </w:tcPr>
          <w:p w14:paraId="4C580D67"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(0;0;0)</w:t>
            </w:r>
          </w:p>
        </w:tc>
        <w:tc>
          <w:tcPr>
            <w:tcW w:w="1080" w:type="dxa"/>
            <w:shd w:val="clear" w:color="auto" w:fill="auto"/>
            <w:vAlign w:val="center"/>
          </w:tcPr>
          <w:p w14:paraId="4267FA18"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w:t>
            </w:r>
            <w:r w:rsidRPr="009715A6">
              <w:rPr>
                <w:rFonts w:ascii="Times New Roman" w:hAnsi="Times New Roman" w:cs="Times New Roman"/>
                <w:color w:val="000000"/>
                <w:sz w:val="24"/>
                <w:szCs w:val="24"/>
                <w:lang w:val="en-US"/>
              </w:rPr>
              <w:t>0</w:t>
            </w:r>
            <w:r w:rsidRPr="009715A6">
              <w:rPr>
                <w:rFonts w:ascii="Times New Roman" w:hAnsi="Times New Roman" w:cs="Times New Roman"/>
                <w:color w:val="000000"/>
                <w:sz w:val="24"/>
                <w:szCs w:val="24"/>
              </w:rPr>
              <w:t>;</w:t>
            </w:r>
            <w:r w:rsidRPr="009715A6">
              <w:rPr>
                <w:rFonts w:ascii="Times New Roman" w:hAnsi="Times New Roman" w:cs="Times New Roman"/>
                <w:color w:val="000000"/>
                <w:sz w:val="24"/>
                <w:szCs w:val="24"/>
                <w:lang w:val="en-US"/>
              </w:rPr>
              <w:t>0</w:t>
            </w:r>
            <w:r w:rsidRPr="009715A6">
              <w:rPr>
                <w:rFonts w:ascii="Times New Roman" w:hAnsi="Times New Roman" w:cs="Times New Roman"/>
                <w:color w:val="000000"/>
                <w:sz w:val="24"/>
                <w:szCs w:val="24"/>
              </w:rPr>
              <w:t>)</w:t>
            </w:r>
          </w:p>
        </w:tc>
        <w:tc>
          <w:tcPr>
            <w:tcW w:w="1080" w:type="dxa"/>
            <w:shd w:val="clear" w:color="auto" w:fill="auto"/>
            <w:vAlign w:val="center"/>
          </w:tcPr>
          <w:p w14:paraId="1B7B188D" w14:textId="77777777" w:rsidR="00A261E7" w:rsidRPr="009715A6" w:rsidRDefault="00A261E7" w:rsidP="007E1183">
            <w:pPr>
              <w:jc w:val="center"/>
              <w:rPr>
                <w:rFonts w:ascii="Times New Roman" w:hAnsi="Times New Roman" w:cs="Times New Roman"/>
                <w:color w:val="000000"/>
                <w:sz w:val="24"/>
                <w:szCs w:val="24"/>
              </w:rPr>
            </w:pPr>
            <w:r w:rsidRPr="009715A6">
              <w:rPr>
                <w:rFonts w:ascii="Times New Roman" w:hAnsi="Times New Roman" w:cs="Times New Roman"/>
                <w:color w:val="000000"/>
                <w:sz w:val="24"/>
                <w:szCs w:val="24"/>
              </w:rPr>
              <w:t>(0;0;0)</w:t>
            </w:r>
          </w:p>
        </w:tc>
      </w:tr>
    </w:tbl>
    <w:p w14:paraId="1CF19EF3" w14:textId="77777777" w:rsidR="00A261E7" w:rsidRPr="009715A6" w:rsidRDefault="00A261E7" w:rsidP="002F08F2">
      <w:pPr>
        <w:pStyle w:val="aff"/>
        <w:tabs>
          <w:tab w:val="left" w:pos="0"/>
        </w:tabs>
        <w:spacing w:before="12" w:after="0" w:line="240" w:lineRule="auto"/>
        <w:ind w:left="0" w:firstLine="709"/>
        <w:jc w:val="both"/>
        <w:rPr>
          <w:rFonts w:ascii="Times New Roman" w:hAnsi="Times New Roman" w:cs="Times New Roman"/>
          <w:sz w:val="24"/>
          <w:szCs w:val="24"/>
        </w:rPr>
      </w:pPr>
      <w:r w:rsidRPr="009715A6">
        <w:rPr>
          <w:rFonts w:ascii="Times New Roman" w:hAnsi="Times New Roman" w:cs="Times New Roman"/>
          <w:sz w:val="24"/>
          <w:szCs w:val="24"/>
        </w:rPr>
        <w:t>Как видно, организация относится к четвертому типу финансовой устойчивости, то есть имеет кризисное финансовое состояние.</w:t>
      </w:r>
    </w:p>
    <w:p w14:paraId="0C045B1E" w14:textId="77777777" w:rsidR="00A261E7" w:rsidRPr="009715A6" w:rsidRDefault="00A261E7" w:rsidP="002F08F2">
      <w:pPr>
        <w:pStyle w:val="aff"/>
        <w:tabs>
          <w:tab w:val="left" w:pos="0"/>
        </w:tabs>
        <w:spacing w:after="0" w:line="240" w:lineRule="auto"/>
        <w:ind w:left="0" w:firstLine="720"/>
        <w:jc w:val="both"/>
        <w:rPr>
          <w:rFonts w:ascii="Times New Roman" w:hAnsi="Times New Roman" w:cs="Times New Roman"/>
          <w:sz w:val="24"/>
          <w:szCs w:val="24"/>
        </w:rPr>
      </w:pPr>
      <w:r w:rsidRPr="009715A6">
        <w:rPr>
          <w:rFonts w:ascii="Times New Roman" w:hAnsi="Times New Roman" w:cs="Times New Roman"/>
          <w:sz w:val="24"/>
          <w:szCs w:val="24"/>
        </w:rPr>
        <w:t>Для определения ликвидности ООО «</w:t>
      </w:r>
      <w:r w:rsidRPr="009715A6">
        <w:rPr>
          <w:rFonts w:ascii="Times New Roman" w:hAnsi="Times New Roman" w:cs="Times New Roman"/>
          <w:sz w:val="24"/>
          <w:szCs w:val="24"/>
          <w:shd w:val="clear" w:color="auto" w:fill="FFFFFF"/>
        </w:rPr>
        <w:t>Скайпарк</w:t>
      </w:r>
      <w:r w:rsidRPr="009715A6">
        <w:rPr>
          <w:rFonts w:ascii="Times New Roman" w:hAnsi="Times New Roman" w:cs="Times New Roman"/>
          <w:sz w:val="24"/>
          <w:szCs w:val="24"/>
        </w:rPr>
        <w:t>» проведем анализ ликвидности баланса и рассчитаем коэффициенты платежеспособности. В таблице 5 представлена группировка активов и пассивов организации по степени ликвидности.</w:t>
      </w:r>
    </w:p>
    <w:p w14:paraId="13DCAFB0" w14:textId="77777777" w:rsidR="00A261E7" w:rsidRPr="009715A6" w:rsidRDefault="00A261E7" w:rsidP="00A261E7">
      <w:pPr>
        <w:shd w:val="clear" w:color="auto" w:fill="FFFFFF"/>
        <w:spacing w:before="120"/>
        <w:jc w:val="both"/>
        <w:rPr>
          <w:rFonts w:ascii="Times New Roman" w:hAnsi="Times New Roman" w:cs="Times New Roman"/>
          <w:sz w:val="24"/>
          <w:szCs w:val="24"/>
        </w:rPr>
      </w:pPr>
      <w:r w:rsidRPr="009715A6">
        <w:rPr>
          <w:rFonts w:ascii="Times New Roman" w:hAnsi="Times New Roman" w:cs="Times New Roman"/>
          <w:sz w:val="24"/>
          <w:szCs w:val="24"/>
        </w:rPr>
        <w:t>Таблица 5 - Группировка активов и пассивов бухгалтерского баланса ООО «</w:t>
      </w:r>
      <w:r w:rsidRPr="009715A6">
        <w:rPr>
          <w:rFonts w:ascii="Times New Roman" w:hAnsi="Times New Roman" w:cs="Times New Roman"/>
          <w:sz w:val="24"/>
          <w:szCs w:val="24"/>
          <w:shd w:val="clear" w:color="auto" w:fill="FFFFFF"/>
        </w:rPr>
        <w:t>Скайпарк</w:t>
      </w:r>
      <w:r w:rsidRPr="009715A6">
        <w:rPr>
          <w:rFonts w:ascii="Times New Roman" w:hAnsi="Times New Roman" w:cs="Times New Roman"/>
          <w:sz w:val="24"/>
          <w:szCs w:val="24"/>
        </w:rPr>
        <w:t>» за 2015-2017 гг.</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386"/>
        <w:gridCol w:w="1134"/>
        <w:gridCol w:w="1133"/>
        <w:gridCol w:w="1133"/>
        <w:gridCol w:w="1172"/>
        <w:gridCol w:w="1133"/>
        <w:gridCol w:w="1027"/>
      </w:tblGrid>
      <w:tr w:rsidR="00A261E7" w:rsidRPr="009715A6" w14:paraId="5D90A4C3" w14:textId="77777777" w:rsidTr="007E1183">
        <w:trPr>
          <w:trHeight w:val="454"/>
        </w:trPr>
        <w:tc>
          <w:tcPr>
            <w:tcW w:w="4895" w:type="dxa"/>
            <w:gridSpan w:val="4"/>
            <w:tcBorders>
              <w:top w:val="single" w:sz="4" w:space="0" w:color="auto"/>
              <w:left w:val="single" w:sz="4" w:space="0" w:color="auto"/>
              <w:bottom w:val="single" w:sz="4" w:space="0" w:color="auto"/>
              <w:right w:val="single" w:sz="4" w:space="0" w:color="auto"/>
            </w:tcBorders>
            <w:vAlign w:val="center"/>
          </w:tcPr>
          <w:p w14:paraId="44D843C8"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Актив</w:t>
            </w:r>
          </w:p>
        </w:tc>
        <w:tc>
          <w:tcPr>
            <w:tcW w:w="4465" w:type="dxa"/>
            <w:gridSpan w:val="4"/>
            <w:tcBorders>
              <w:top w:val="single" w:sz="4" w:space="0" w:color="auto"/>
              <w:left w:val="single" w:sz="4" w:space="0" w:color="auto"/>
              <w:bottom w:val="single" w:sz="4" w:space="0" w:color="auto"/>
              <w:right w:val="single" w:sz="4" w:space="0" w:color="auto"/>
            </w:tcBorders>
            <w:vAlign w:val="center"/>
          </w:tcPr>
          <w:p w14:paraId="16F439F7"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Пассив</w:t>
            </w:r>
          </w:p>
        </w:tc>
      </w:tr>
      <w:tr w:rsidR="00A261E7" w:rsidRPr="009715A6" w14:paraId="51CEB5C5" w14:textId="77777777" w:rsidTr="007E1183">
        <w:trPr>
          <w:trHeight w:val="454"/>
        </w:trPr>
        <w:tc>
          <w:tcPr>
            <w:tcW w:w="1242" w:type="dxa"/>
            <w:vMerge w:val="restart"/>
            <w:tcBorders>
              <w:top w:val="single" w:sz="4" w:space="0" w:color="auto"/>
              <w:left w:val="single" w:sz="4" w:space="0" w:color="auto"/>
              <w:bottom w:val="single" w:sz="4" w:space="0" w:color="auto"/>
              <w:right w:val="single" w:sz="4" w:space="0" w:color="auto"/>
            </w:tcBorders>
            <w:vAlign w:val="center"/>
          </w:tcPr>
          <w:p w14:paraId="2F495D72"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Название</w:t>
            </w:r>
          </w:p>
        </w:tc>
        <w:tc>
          <w:tcPr>
            <w:tcW w:w="3653" w:type="dxa"/>
            <w:gridSpan w:val="3"/>
            <w:tcBorders>
              <w:top w:val="single" w:sz="4" w:space="0" w:color="auto"/>
              <w:left w:val="single" w:sz="4" w:space="0" w:color="auto"/>
              <w:bottom w:val="single" w:sz="4" w:space="0" w:color="auto"/>
              <w:right w:val="single" w:sz="4" w:space="0" w:color="auto"/>
            </w:tcBorders>
            <w:vAlign w:val="center"/>
          </w:tcPr>
          <w:p w14:paraId="5D21519B"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Сумма, тыс. руб.</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14:paraId="19490582" w14:textId="77777777" w:rsidR="00A261E7" w:rsidRPr="009715A6" w:rsidRDefault="00A261E7" w:rsidP="007E1183">
            <w:pPr>
              <w:ind w:right="-108" w:hanging="108"/>
              <w:jc w:val="center"/>
              <w:rPr>
                <w:rFonts w:ascii="Times New Roman" w:hAnsi="Times New Roman" w:cs="Times New Roman"/>
                <w:sz w:val="24"/>
                <w:szCs w:val="24"/>
              </w:rPr>
            </w:pPr>
            <w:r w:rsidRPr="009715A6">
              <w:rPr>
                <w:rFonts w:ascii="Times New Roman" w:hAnsi="Times New Roman" w:cs="Times New Roman"/>
                <w:sz w:val="24"/>
                <w:szCs w:val="24"/>
              </w:rPr>
              <w:t>Название</w:t>
            </w:r>
          </w:p>
        </w:tc>
        <w:tc>
          <w:tcPr>
            <w:tcW w:w="3332" w:type="dxa"/>
            <w:gridSpan w:val="3"/>
            <w:tcBorders>
              <w:top w:val="single" w:sz="4" w:space="0" w:color="auto"/>
              <w:left w:val="single" w:sz="4" w:space="0" w:color="auto"/>
              <w:bottom w:val="single" w:sz="4" w:space="0" w:color="auto"/>
              <w:right w:val="single" w:sz="4" w:space="0" w:color="auto"/>
            </w:tcBorders>
            <w:vAlign w:val="center"/>
          </w:tcPr>
          <w:p w14:paraId="05B553C1"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Сумма, тыс. руб.</w:t>
            </w:r>
          </w:p>
        </w:tc>
      </w:tr>
      <w:tr w:rsidR="00A261E7" w:rsidRPr="009715A6" w14:paraId="6C6A6D30" w14:textId="77777777" w:rsidTr="007E1183">
        <w:trPr>
          <w:trHeight w:val="454"/>
        </w:trPr>
        <w:tc>
          <w:tcPr>
            <w:tcW w:w="1242" w:type="dxa"/>
            <w:vMerge/>
            <w:tcBorders>
              <w:top w:val="single" w:sz="4" w:space="0" w:color="auto"/>
              <w:left w:val="single" w:sz="4" w:space="0" w:color="auto"/>
              <w:bottom w:val="single" w:sz="4" w:space="0" w:color="auto"/>
              <w:right w:val="single" w:sz="4" w:space="0" w:color="auto"/>
            </w:tcBorders>
            <w:vAlign w:val="center"/>
          </w:tcPr>
          <w:p w14:paraId="70648378" w14:textId="77777777" w:rsidR="00A261E7" w:rsidRPr="009715A6" w:rsidRDefault="00A261E7" w:rsidP="007E1183">
            <w:pPr>
              <w:rPr>
                <w:rFonts w:ascii="Times New Roman" w:hAnsi="Times New Roman" w:cs="Times New Roman"/>
                <w:sz w:val="24"/>
                <w:szCs w:val="24"/>
              </w:rPr>
            </w:pPr>
          </w:p>
        </w:tc>
        <w:tc>
          <w:tcPr>
            <w:tcW w:w="1386" w:type="dxa"/>
            <w:tcBorders>
              <w:top w:val="single" w:sz="4" w:space="0" w:color="auto"/>
              <w:left w:val="single" w:sz="4" w:space="0" w:color="auto"/>
              <w:bottom w:val="single" w:sz="4" w:space="0" w:color="auto"/>
              <w:right w:val="single" w:sz="4" w:space="0" w:color="auto"/>
            </w:tcBorders>
            <w:vAlign w:val="center"/>
          </w:tcPr>
          <w:p w14:paraId="70A60EB8"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2015г.</w:t>
            </w:r>
          </w:p>
        </w:tc>
        <w:tc>
          <w:tcPr>
            <w:tcW w:w="1134" w:type="dxa"/>
            <w:tcBorders>
              <w:top w:val="single" w:sz="4" w:space="0" w:color="auto"/>
              <w:left w:val="single" w:sz="4" w:space="0" w:color="auto"/>
              <w:bottom w:val="single" w:sz="4" w:space="0" w:color="auto"/>
              <w:right w:val="single" w:sz="4" w:space="0" w:color="auto"/>
            </w:tcBorders>
            <w:vAlign w:val="center"/>
          </w:tcPr>
          <w:p w14:paraId="19F0989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2016г.</w:t>
            </w:r>
          </w:p>
        </w:tc>
        <w:tc>
          <w:tcPr>
            <w:tcW w:w="1133" w:type="dxa"/>
            <w:tcBorders>
              <w:top w:val="single" w:sz="4" w:space="0" w:color="auto"/>
              <w:left w:val="single" w:sz="4" w:space="0" w:color="auto"/>
              <w:bottom w:val="single" w:sz="4" w:space="0" w:color="auto"/>
              <w:right w:val="single" w:sz="4" w:space="0" w:color="auto"/>
            </w:tcBorders>
            <w:vAlign w:val="center"/>
          </w:tcPr>
          <w:p w14:paraId="0214C9A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2017г.</w:t>
            </w:r>
          </w:p>
        </w:tc>
        <w:tc>
          <w:tcPr>
            <w:tcW w:w="1133" w:type="dxa"/>
            <w:vMerge/>
            <w:tcBorders>
              <w:top w:val="single" w:sz="4" w:space="0" w:color="auto"/>
              <w:left w:val="single" w:sz="4" w:space="0" w:color="auto"/>
              <w:bottom w:val="single" w:sz="4" w:space="0" w:color="auto"/>
              <w:right w:val="single" w:sz="4" w:space="0" w:color="auto"/>
            </w:tcBorders>
            <w:vAlign w:val="center"/>
          </w:tcPr>
          <w:p w14:paraId="50040504" w14:textId="77777777" w:rsidR="00A261E7" w:rsidRPr="009715A6" w:rsidRDefault="00A261E7" w:rsidP="007E1183">
            <w:pPr>
              <w:rPr>
                <w:rFonts w:ascii="Times New Roman" w:hAnsi="Times New Roman" w:cs="Times New Roman"/>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584E6942"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2015г.</w:t>
            </w:r>
          </w:p>
        </w:tc>
        <w:tc>
          <w:tcPr>
            <w:tcW w:w="1133" w:type="dxa"/>
            <w:tcBorders>
              <w:top w:val="single" w:sz="4" w:space="0" w:color="auto"/>
              <w:left w:val="single" w:sz="4" w:space="0" w:color="auto"/>
              <w:bottom w:val="single" w:sz="4" w:space="0" w:color="auto"/>
              <w:right w:val="single" w:sz="4" w:space="0" w:color="auto"/>
            </w:tcBorders>
            <w:vAlign w:val="center"/>
          </w:tcPr>
          <w:p w14:paraId="1D8C1E9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2016г.</w:t>
            </w:r>
          </w:p>
        </w:tc>
        <w:tc>
          <w:tcPr>
            <w:tcW w:w="1027" w:type="dxa"/>
            <w:tcBorders>
              <w:top w:val="single" w:sz="4" w:space="0" w:color="auto"/>
              <w:left w:val="single" w:sz="4" w:space="0" w:color="auto"/>
              <w:bottom w:val="single" w:sz="4" w:space="0" w:color="auto"/>
              <w:right w:val="single" w:sz="4" w:space="0" w:color="auto"/>
            </w:tcBorders>
            <w:vAlign w:val="center"/>
          </w:tcPr>
          <w:p w14:paraId="1DCA28B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2017г.</w:t>
            </w:r>
          </w:p>
        </w:tc>
      </w:tr>
      <w:tr w:rsidR="00A261E7" w:rsidRPr="009715A6" w14:paraId="3CDC4C27" w14:textId="77777777" w:rsidTr="007E1183">
        <w:trPr>
          <w:trHeight w:val="454"/>
        </w:trPr>
        <w:tc>
          <w:tcPr>
            <w:tcW w:w="1242" w:type="dxa"/>
            <w:tcBorders>
              <w:top w:val="single" w:sz="4" w:space="0" w:color="auto"/>
              <w:left w:val="single" w:sz="4" w:space="0" w:color="auto"/>
              <w:bottom w:val="single" w:sz="4" w:space="0" w:color="auto"/>
              <w:right w:val="single" w:sz="4" w:space="0" w:color="auto"/>
            </w:tcBorders>
            <w:vAlign w:val="center"/>
          </w:tcPr>
          <w:p w14:paraId="144AE4B5"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(А1)</w:t>
            </w:r>
          </w:p>
        </w:tc>
        <w:tc>
          <w:tcPr>
            <w:tcW w:w="1386" w:type="dxa"/>
            <w:tcBorders>
              <w:top w:val="single" w:sz="4" w:space="0" w:color="auto"/>
              <w:left w:val="single" w:sz="4" w:space="0" w:color="auto"/>
              <w:bottom w:val="single" w:sz="4" w:space="0" w:color="auto"/>
              <w:right w:val="single" w:sz="4" w:space="0" w:color="auto"/>
            </w:tcBorders>
            <w:vAlign w:val="center"/>
          </w:tcPr>
          <w:p w14:paraId="4504E1CC"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528</w:t>
            </w:r>
          </w:p>
        </w:tc>
        <w:tc>
          <w:tcPr>
            <w:tcW w:w="1134" w:type="dxa"/>
            <w:tcBorders>
              <w:top w:val="single" w:sz="4" w:space="0" w:color="auto"/>
              <w:left w:val="single" w:sz="4" w:space="0" w:color="auto"/>
              <w:bottom w:val="single" w:sz="4" w:space="0" w:color="auto"/>
              <w:right w:val="single" w:sz="4" w:space="0" w:color="auto"/>
            </w:tcBorders>
            <w:vAlign w:val="center"/>
          </w:tcPr>
          <w:p w14:paraId="56E9FBA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882</w:t>
            </w:r>
          </w:p>
        </w:tc>
        <w:tc>
          <w:tcPr>
            <w:tcW w:w="1133" w:type="dxa"/>
            <w:tcBorders>
              <w:top w:val="single" w:sz="4" w:space="0" w:color="auto"/>
              <w:left w:val="single" w:sz="4" w:space="0" w:color="auto"/>
              <w:bottom w:val="single" w:sz="4" w:space="0" w:color="auto"/>
              <w:right w:val="single" w:sz="4" w:space="0" w:color="auto"/>
            </w:tcBorders>
            <w:vAlign w:val="center"/>
          </w:tcPr>
          <w:p w14:paraId="28F09B7B"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458</w:t>
            </w:r>
          </w:p>
        </w:tc>
        <w:tc>
          <w:tcPr>
            <w:tcW w:w="1133" w:type="dxa"/>
            <w:tcBorders>
              <w:top w:val="single" w:sz="4" w:space="0" w:color="auto"/>
              <w:left w:val="single" w:sz="4" w:space="0" w:color="auto"/>
              <w:bottom w:val="single" w:sz="4" w:space="0" w:color="auto"/>
              <w:right w:val="single" w:sz="4" w:space="0" w:color="auto"/>
            </w:tcBorders>
            <w:vAlign w:val="center"/>
          </w:tcPr>
          <w:p w14:paraId="7EEFADA7"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(П1)</w:t>
            </w:r>
          </w:p>
        </w:tc>
        <w:tc>
          <w:tcPr>
            <w:tcW w:w="1172" w:type="dxa"/>
            <w:tcBorders>
              <w:top w:val="single" w:sz="4" w:space="0" w:color="auto"/>
              <w:left w:val="single" w:sz="4" w:space="0" w:color="auto"/>
              <w:bottom w:val="single" w:sz="4" w:space="0" w:color="auto"/>
              <w:right w:val="single" w:sz="4" w:space="0" w:color="auto"/>
            </w:tcBorders>
            <w:vAlign w:val="center"/>
          </w:tcPr>
          <w:p w14:paraId="7D79D11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6347</w:t>
            </w:r>
          </w:p>
        </w:tc>
        <w:tc>
          <w:tcPr>
            <w:tcW w:w="1133" w:type="dxa"/>
            <w:tcBorders>
              <w:top w:val="single" w:sz="4" w:space="0" w:color="auto"/>
              <w:left w:val="single" w:sz="4" w:space="0" w:color="auto"/>
              <w:bottom w:val="single" w:sz="4" w:space="0" w:color="auto"/>
              <w:right w:val="single" w:sz="4" w:space="0" w:color="auto"/>
            </w:tcBorders>
            <w:vAlign w:val="center"/>
          </w:tcPr>
          <w:p w14:paraId="11596CBD"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7442</w:t>
            </w:r>
          </w:p>
        </w:tc>
        <w:tc>
          <w:tcPr>
            <w:tcW w:w="1027" w:type="dxa"/>
            <w:tcBorders>
              <w:top w:val="single" w:sz="4" w:space="0" w:color="auto"/>
              <w:left w:val="single" w:sz="4" w:space="0" w:color="auto"/>
              <w:bottom w:val="single" w:sz="4" w:space="0" w:color="auto"/>
              <w:right w:val="single" w:sz="4" w:space="0" w:color="auto"/>
            </w:tcBorders>
            <w:vAlign w:val="center"/>
          </w:tcPr>
          <w:p w14:paraId="3FCEA88A"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7980</w:t>
            </w:r>
          </w:p>
        </w:tc>
      </w:tr>
      <w:tr w:rsidR="00A261E7" w:rsidRPr="009715A6" w14:paraId="0969ED93" w14:textId="77777777" w:rsidTr="007E1183">
        <w:trPr>
          <w:trHeight w:val="454"/>
        </w:trPr>
        <w:tc>
          <w:tcPr>
            <w:tcW w:w="1242" w:type="dxa"/>
            <w:tcBorders>
              <w:top w:val="single" w:sz="4" w:space="0" w:color="auto"/>
              <w:left w:val="single" w:sz="4" w:space="0" w:color="auto"/>
              <w:bottom w:val="single" w:sz="4" w:space="0" w:color="auto"/>
              <w:right w:val="single" w:sz="4" w:space="0" w:color="auto"/>
            </w:tcBorders>
            <w:vAlign w:val="center"/>
          </w:tcPr>
          <w:p w14:paraId="46C2BAB3"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(А2)</w:t>
            </w:r>
          </w:p>
        </w:tc>
        <w:tc>
          <w:tcPr>
            <w:tcW w:w="1386" w:type="dxa"/>
            <w:tcBorders>
              <w:top w:val="single" w:sz="4" w:space="0" w:color="auto"/>
              <w:left w:val="single" w:sz="4" w:space="0" w:color="auto"/>
              <w:bottom w:val="single" w:sz="4" w:space="0" w:color="auto"/>
              <w:right w:val="single" w:sz="4" w:space="0" w:color="auto"/>
            </w:tcBorders>
            <w:vAlign w:val="center"/>
          </w:tcPr>
          <w:p w14:paraId="53140E05"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2073</w:t>
            </w:r>
          </w:p>
        </w:tc>
        <w:tc>
          <w:tcPr>
            <w:tcW w:w="1134" w:type="dxa"/>
            <w:tcBorders>
              <w:top w:val="single" w:sz="4" w:space="0" w:color="auto"/>
              <w:left w:val="single" w:sz="4" w:space="0" w:color="auto"/>
              <w:bottom w:val="single" w:sz="4" w:space="0" w:color="auto"/>
              <w:right w:val="single" w:sz="4" w:space="0" w:color="auto"/>
            </w:tcBorders>
            <w:vAlign w:val="center"/>
          </w:tcPr>
          <w:p w14:paraId="0B6ED9D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1239</w:t>
            </w:r>
          </w:p>
        </w:tc>
        <w:tc>
          <w:tcPr>
            <w:tcW w:w="1133" w:type="dxa"/>
            <w:tcBorders>
              <w:top w:val="single" w:sz="4" w:space="0" w:color="auto"/>
              <w:left w:val="single" w:sz="4" w:space="0" w:color="auto"/>
              <w:bottom w:val="single" w:sz="4" w:space="0" w:color="auto"/>
              <w:right w:val="single" w:sz="4" w:space="0" w:color="auto"/>
            </w:tcBorders>
            <w:vAlign w:val="center"/>
          </w:tcPr>
          <w:p w14:paraId="51389FE2"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203</w:t>
            </w:r>
          </w:p>
        </w:tc>
        <w:tc>
          <w:tcPr>
            <w:tcW w:w="1133" w:type="dxa"/>
            <w:tcBorders>
              <w:top w:val="single" w:sz="4" w:space="0" w:color="auto"/>
              <w:left w:val="single" w:sz="4" w:space="0" w:color="auto"/>
              <w:bottom w:val="single" w:sz="4" w:space="0" w:color="auto"/>
              <w:right w:val="single" w:sz="4" w:space="0" w:color="auto"/>
            </w:tcBorders>
            <w:vAlign w:val="center"/>
          </w:tcPr>
          <w:p w14:paraId="6DBA9FA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(П2)</w:t>
            </w:r>
          </w:p>
        </w:tc>
        <w:tc>
          <w:tcPr>
            <w:tcW w:w="1172" w:type="dxa"/>
            <w:tcBorders>
              <w:top w:val="single" w:sz="4" w:space="0" w:color="auto"/>
              <w:left w:val="single" w:sz="4" w:space="0" w:color="auto"/>
              <w:bottom w:val="single" w:sz="4" w:space="0" w:color="auto"/>
              <w:right w:val="single" w:sz="4" w:space="0" w:color="auto"/>
            </w:tcBorders>
            <w:vAlign w:val="center"/>
          </w:tcPr>
          <w:p w14:paraId="146FC98B"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1702</w:t>
            </w:r>
          </w:p>
        </w:tc>
        <w:tc>
          <w:tcPr>
            <w:tcW w:w="1133" w:type="dxa"/>
            <w:tcBorders>
              <w:top w:val="single" w:sz="4" w:space="0" w:color="auto"/>
              <w:left w:val="single" w:sz="4" w:space="0" w:color="auto"/>
              <w:bottom w:val="single" w:sz="4" w:space="0" w:color="auto"/>
              <w:right w:val="single" w:sz="4" w:space="0" w:color="auto"/>
            </w:tcBorders>
            <w:vAlign w:val="center"/>
          </w:tcPr>
          <w:p w14:paraId="4ACEDF30"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2118</w:t>
            </w:r>
          </w:p>
        </w:tc>
        <w:tc>
          <w:tcPr>
            <w:tcW w:w="1027" w:type="dxa"/>
            <w:tcBorders>
              <w:top w:val="single" w:sz="4" w:space="0" w:color="auto"/>
              <w:left w:val="single" w:sz="4" w:space="0" w:color="auto"/>
              <w:bottom w:val="single" w:sz="4" w:space="0" w:color="auto"/>
              <w:right w:val="single" w:sz="4" w:space="0" w:color="auto"/>
            </w:tcBorders>
            <w:vAlign w:val="center"/>
          </w:tcPr>
          <w:p w14:paraId="6A79E2FF"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2318</w:t>
            </w:r>
          </w:p>
        </w:tc>
      </w:tr>
      <w:tr w:rsidR="00A261E7" w:rsidRPr="009715A6" w14:paraId="07528099" w14:textId="77777777" w:rsidTr="007E1183">
        <w:trPr>
          <w:trHeight w:val="454"/>
        </w:trPr>
        <w:tc>
          <w:tcPr>
            <w:tcW w:w="1242" w:type="dxa"/>
            <w:tcBorders>
              <w:top w:val="single" w:sz="4" w:space="0" w:color="auto"/>
              <w:left w:val="single" w:sz="4" w:space="0" w:color="auto"/>
              <w:bottom w:val="single" w:sz="4" w:space="0" w:color="auto"/>
              <w:right w:val="single" w:sz="4" w:space="0" w:color="auto"/>
            </w:tcBorders>
            <w:vAlign w:val="center"/>
          </w:tcPr>
          <w:p w14:paraId="1B294AC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lastRenderedPageBreak/>
              <w:t>(А3)</w:t>
            </w:r>
          </w:p>
        </w:tc>
        <w:tc>
          <w:tcPr>
            <w:tcW w:w="1386" w:type="dxa"/>
            <w:tcBorders>
              <w:top w:val="single" w:sz="4" w:space="0" w:color="auto"/>
              <w:left w:val="single" w:sz="4" w:space="0" w:color="auto"/>
              <w:bottom w:val="single" w:sz="4" w:space="0" w:color="auto"/>
              <w:right w:val="single" w:sz="4" w:space="0" w:color="auto"/>
            </w:tcBorders>
            <w:vAlign w:val="center"/>
          </w:tcPr>
          <w:p w14:paraId="4CF10AB5"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13853</w:t>
            </w:r>
          </w:p>
        </w:tc>
        <w:tc>
          <w:tcPr>
            <w:tcW w:w="1134" w:type="dxa"/>
            <w:tcBorders>
              <w:top w:val="single" w:sz="4" w:space="0" w:color="auto"/>
              <w:left w:val="single" w:sz="4" w:space="0" w:color="auto"/>
              <w:bottom w:val="single" w:sz="4" w:space="0" w:color="auto"/>
              <w:right w:val="single" w:sz="4" w:space="0" w:color="auto"/>
            </w:tcBorders>
            <w:vAlign w:val="center"/>
          </w:tcPr>
          <w:p w14:paraId="73702BDA"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16208</w:t>
            </w:r>
          </w:p>
        </w:tc>
        <w:tc>
          <w:tcPr>
            <w:tcW w:w="1133" w:type="dxa"/>
            <w:tcBorders>
              <w:top w:val="single" w:sz="4" w:space="0" w:color="auto"/>
              <w:left w:val="single" w:sz="4" w:space="0" w:color="auto"/>
              <w:bottom w:val="single" w:sz="4" w:space="0" w:color="auto"/>
              <w:right w:val="single" w:sz="4" w:space="0" w:color="auto"/>
            </w:tcBorders>
            <w:vAlign w:val="center"/>
          </w:tcPr>
          <w:p w14:paraId="4A64B3CB"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20571</w:t>
            </w:r>
          </w:p>
        </w:tc>
        <w:tc>
          <w:tcPr>
            <w:tcW w:w="1133" w:type="dxa"/>
            <w:tcBorders>
              <w:top w:val="single" w:sz="4" w:space="0" w:color="auto"/>
              <w:left w:val="single" w:sz="4" w:space="0" w:color="auto"/>
              <w:bottom w:val="single" w:sz="4" w:space="0" w:color="auto"/>
              <w:right w:val="single" w:sz="4" w:space="0" w:color="auto"/>
            </w:tcBorders>
            <w:vAlign w:val="center"/>
          </w:tcPr>
          <w:p w14:paraId="03D1D6CB"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(П3)</w:t>
            </w:r>
          </w:p>
        </w:tc>
        <w:tc>
          <w:tcPr>
            <w:tcW w:w="1172" w:type="dxa"/>
            <w:tcBorders>
              <w:top w:val="single" w:sz="4" w:space="0" w:color="auto"/>
              <w:left w:val="single" w:sz="4" w:space="0" w:color="auto"/>
              <w:bottom w:val="single" w:sz="4" w:space="0" w:color="auto"/>
              <w:right w:val="single" w:sz="4" w:space="0" w:color="auto"/>
            </w:tcBorders>
            <w:vAlign w:val="center"/>
          </w:tcPr>
          <w:p w14:paraId="237AFA41"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w:t>
            </w:r>
          </w:p>
        </w:tc>
        <w:tc>
          <w:tcPr>
            <w:tcW w:w="1133" w:type="dxa"/>
            <w:tcBorders>
              <w:top w:val="single" w:sz="4" w:space="0" w:color="auto"/>
              <w:left w:val="single" w:sz="4" w:space="0" w:color="auto"/>
              <w:bottom w:val="single" w:sz="4" w:space="0" w:color="auto"/>
              <w:right w:val="single" w:sz="4" w:space="0" w:color="auto"/>
            </w:tcBorders>
            <w:vAlign w:val="center"/>
          </w:tcPr>
          <w:p w14:paraId="3AD8BB85"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w:t>
            </w:r>
          </w:p>
        </w:tc>
        <w:tc>
          <w:tcPr>
            <w:tcW w:w="1027" w:type="dxa"/>
            <w:tcBorders>
              <w:top w:val="single" w:sz="4" w:space="0" w:color="auto"/>
              <w:left w:val="single" w:sz="4" w:space="0" w:color="auto"/>
              <w:bottom w:val="single" w:sz="4" w:space="0" w:color="auto"/>
              <w:right w:val="single" w:sz="4" w:space="0" w:color="auto"/>
            </w:tcBorders>
            <w:vAlign w:val="center"/>
          </w:tcPr>
          <w:p w14:paraId="3AC2E41B"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w:t>
            </w:r>
          </w:p>
        </w:tc>
      </w:tr>
      <w:tr w:rsidR="00A261E7" w:rsidRPr="009715A6" w14:paraId="2CF417F4" w14:textId="77777777" w:rsidTr="007E1183">
        <w:trPr>
          <w:trHeight w:val="454"/>
        </w:trPr>
        <w:tc>
          <w:tcPr>
            <w:tcW w:w="1242" w:type="dxa"/>
            <w:tcBorders>
              <w:top w:val="single" w:sz="4" w:space="0" w:color="auto"/>
              <w:left w:val="single" w:sz="4" w:space="0" w:color="auto"/>
              <w:bottom w:val="single" w:sz="4" w:space="0" w:color="auto"/>
              <w:right w:val="single" w:sz="4" w:space="0" w:color="auto"/>
            </w:tcBorders>
            <w:vAlign w:val="center"/>
          </w:tcPr>
          <w:p w14:paraId="12DDE8D3"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(А4)</w:t>
            </w:r>
          </w:p>
        </w:tc>
        <w:tc>
          <w:tcPr>
            <w:tcW w:w="1386" w:type="dxa"/>
            <w:tcBorders>
              <w:top w:val="single" w:sz="4" w:space="0" w:color="auto"/>
              <w:left w:val="single" w:sz="4" w:space="0" w:color="auto"/>
              <w:bottom w:val="single" w:sz="4" w:space="0" w:color="auto"/>
              <w:right w:val="single" w:sz="4" w:space="0" w:color="auto"/>
            </w:tcBorders>
            <w:vAlign w:val="center"/>
          </w:tcPr>
          <w:p w14:paraId="6BF0B178"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1318</w:t>
            </w:r>
          </w:p>
        </w:tc>
        <w:tc>
          <w:tcPr>
            <w:tcW w:w="1134" w:type="dxa"/>
            <w:tcBorders>
              <w:top w:val="single" w:sz="4" w:space="0" w:color="auto"/>
              <w:left w:val="single" w:sz="4" w:space="0" w:color="auto"/>
              <w:bottom w:val="single" w:sz="4" w:space="0" w:color="auto"/>
              <w:right w:val="single" w:sz="4" w:space="0" w:color="auto"/>
            </w:tcBorders>
            <w:vAlign w:val="center"/>
          </w:tcPr>
          <w:p w14:paraId="41F3A56B"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1603</w:t>
            </w:r>
          </w:p>
        </w:tc>
        <w:tc>
          <w:tcPr>
            <w:tcW w:w="1133" w:type="dxa"/>
            <w:tcBorders>
              <w:top w:val="single" w:sz="4" w:space="0" w:color="auto"/>
              <w:left w:val="single" w:sz="4" w:space="0" w:color="auto"/>
              <w:bottom w:val="single" w:sz="4" w:space="0" w:color="auto"/>
              <w:right w:val="single" w:sz="4" w:space="0" w:color="auto"/>
            </w:tcBorders>
            <w:vAlign w:val="center"/>
          </w:tcPr>
          <w:p w14:paraId="40ED3F47"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1953</w:t>
            </w:r>
          </w:p>
        </w:tc>
        <w:tc>
          <w:tcPr>
            <w:tcW w:w="1133" w:type="dxa"/>
            <w:tcBorders>
              <w:top w:val="single" w:sz="4" w:space="0" w:color="auto"/>
              <w:left w:val="single" w:sz="4" w:space="0" w:color="auto"/>
              <w:bottom w:val="single" w:sz="4" w:space="0" w:color="auto"/>
              <w:right w:val="single" w:sz="4" w:space="0" w:color="auto"/>
            </w:tcBorders>
            <w:vAlign w:val="center"/>
          </w:tcPr>
          <w:p w14:paraId="5DA66C1D"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(П4)</w:t>
            </w:r>
          </w:p>
        </w:tc>
        <w:tc>
          <w:tcPr>
            <w:tcW w:w="1172" w:type="dxa"/>
            <w:tcBorders>
              <w:top w:val="single" w:sz="4" w:space="0" w:color="auto"/>
              <w:left w:val="single" w:sz="4" w:space="0" w:color="auto"/>
              <w:bottom w:val="single" w:sz="4" w:space="0" w:color="auto"/>
              <w:right w:val="single" w:sz="4" w:space="0" w:color="auto"/>
            </w:tcBorders>
            <w:vAlign w:val="center"/>
          </w:tcPr>
          <w:p w14:paraId="51427B43"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9723</w:t>
            </w:r>
          </w:p>
        </w:tc>
        <w:tc>
          <w:tcPr>
            <w:tcW w:w="1133" w:type="dxa"/>
            <w:tcBorders>
              <w:top w:val="single" w:sz="4" w:space="0" w:color="auto"/>
              <w:left w:val="single" w:sz="4" w:space="0" w:color="auto"/>
              <w:bottom w:val="single" w:sz="4" w:space="0" w:color="auto"/>
              <w:right w:val="single" w:sz="4" w:space="0" w:color="auto"/>
            </w:tcBorders>
            <w:vAlign w:val="center"/>
          </w:tcPr>
          <w:p w14:paraId="557614E0"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10372</w:t>
            </w:r>
          </w:p>
        </w:tc>
        <w:tc>
          <w:tcPr>
            <w:tcW w:w="1027" w:type="dxa"/>
            <w:tcBorders>
              <w:top w:val="single" w:sz="4" w:space="0" w:color="auto"/>
              <w:left w:val="single" w:sz="4" w:space="0" w:color="auto"/>
              <w:bottom w:val="single" w:sz="4" w:space="0" w:color="auto"/>
              <w:right w:val="single" w:sz="4" w:space="0" w:color="auto"/>
            </w:tcBorders>
            <w:vAlign w:val="center"/>
          </w:tcPr>
          <w:p w14:paraId="2DD49519" w14:textId="77777777" w:rsidR="00A261E7" w:rsidRPr="009715A6" w:rsidRDefault="00A261E7" w:rsidP="007E1183">
            <w:pPr>
              <w:jc w:val="center"/>
              <w:rPr>
                <w:rFonts w:ascii="Times New Roman" w:hAnsi="Times New Roman" w:cs="Times New Roman"/>
                <w:sz w:val="24"/>
                <w:szCs w:val="24"/>
                <w:lang w:val="en-US"/>
              </w:rPr>
            </w:pPr>
            <w:r w:rsidRPr="009715A6">
              <w:rPr>
                <w:rFonts w:ascii="Times New Roman" w:hAnsi="Times New Roman" w:cs="Times New Roman"/>
                <w:sz w:val="24"/>
                <w:szCs w:val="24"/>
                <w:lang w:val="en-US"/>
              </w:rPr>
              <w:t>12887</w:t>
            </w:r>
          </w:p>
        </w:tc>
      </w:tr>
    </w:tbl>
    <w:p w14:paraId="32C96A23" w14:textId="77777777" w:rsidR="00A261E7" w:rsidRPr="009715A6" w:rsidRDefault="00A261E7" w:rsidP="002F08F2">
      <w:pPr>
        <w:widowControl w:val="0"/>
        <w:spacing w:after="0" w:line="240" w:lineRule="auto"/>
        <w:ind w:firstLine="709"/>
        <w:jc w:val="both"/>
        <w:rPr>
          <w:rFonts w:ascii="Times New Roman" w:hAnsi="Times New Roman" w:cs="Times New Roman"/>
          <w:sz w:val="24"/>
          <w:szCs w:val="24"/>
        </w:rPr>
      </w:pPr>
      <w:r w:rsidRPr="009715A6">
        <w:rPr>
          <w:rFonts w:ascii="Times New Roman" w:hAnsi="Times New Roman" w:cs="Times New Roman"/>
          <w:sz w:val="24"/>
          <w:szCs w:val="24"/>
        </w:rPr>
        <w:t xml:space="preserve">Как видно, в организации не выполняется первое неравенство, это свидетельствует о неплатежеспособности организации на момент составления баланса. У организации недостаточно средств для покрытия наиболее срочных обязательств. Второе неравенство также не выполняется в 2016-2017 гг., то есть быстро реализуемые активы ниже краткосрочных пассивов и организация не может быть платежеспособной в недалеком будущем с учетом своевременных расчетов с кредиторами. На основе сопоставления групп активов с группами пассивов баланс не ликвидный. </w:t>
      </w:r>
    </w:p>
    <w:p w14:paraId="07ACAD36" w14:textId="77777777" w:rsidR="00A261E7" w:rsidRPr="009715A6" w:rsidRDefault="00A261E7" w:rsidP="002F08F2">
      <w:pPr>
        <w:pStyle w:val="a9"/>
        <w:widowControl w:val="0"/>
        <w:spacing w:before="0" w:beforeAutospacing="0" w:after="0" w:afterAutospacing="0"/>
        <w:ind w:firstLine="720"/>
        <w:jc w:val="both"/>
      </w:pPr>
      <w:r w:rsidRPr="009715A6">
        <w:t>Выводы и предложения являются заключительным этапом финансовой диагностики и направлены на определение итогового заключения о финансовом состоянии организации. Для того чтобы дать интегральную балльную оценку финансовой устойчивости организации на начало и конец анализируемого периода по методике Г.В. Савицкой, Л. В. Донцовой, Н. А. Никифоровой (таблица 7).</w:t>
      </w:r>
    </w:p>
    <w:p w14:paraId="39A82A87" w14:textId="77777777" w:rsidR="00A261E7" w:rsidRPr="009715A6" w:rsidRDefault="00A261E7" w:rsidP="00A261E7">
      <w:pPr>
        <w:spacing w:before="120"/>
        <w:jc w:val="both"/>
        <w:rPr>
          <w:rFonts w:ascii="Times New Roman" w:hAnsi="Times New Roman" w:cs="Times New Roman"/>
          <w:sz w:val="24"/>
          <w:szCs w:val="24"/>
        </w:rPr>
      </w:pPr>
      <w:r w:rsidRPr="009715A6">
        <w:rPr>
          <w:rFonts w:ascii="Times New Roman" w:hAnsi="Times New Roman" w:cs="Times New Roman"/>
          <w:sz w:val="24"/>
          <w:szCs w:val="24"/>
        </w:rPr>
        <w:t>Таблица 7 - Определение класса организации в соответствии со значениями коэффициентов и начисляемыми баллами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60"/>
        <w:gridCol w:w="1786"/>
        <w:gridCol w:w="1746"/>
      </w:tblGrid>
      <w:tr w:rsidR="00A261E7" w:rsidRPr="009715A6" w14:paraId="24241360" w14:textId="77777777" w:rsidTr="007E1183">
        <w:trPr>
          <w:trHeight w:val="454"/>
        </w:trPr>
        <w:tc>
          <w:tcPr>
            <w:tcW w:w="5760" w:type="dxa"/>
            <w:tcBorders>
              <w:top w:val="single" w:sz="4" w:space="0" w:color="auto"/>
              <w:left w:val="single" w:sz="4" w:space="0" w:color="auto"/>
              <w:bottom w:val="single" w:sz="4" w:space="0" w:color="auto"/>
              <w:right w:val="single" w:sz="4" w:space="0" w:color="auto"/>
            </w:tcBorders>
            <w:vAlign w:val="center"/>
          </w:tcPr>
          <w:p w14:paraId="609AE9E3"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Показатели</w:t>
            </w:r>
          </w:p>
        </w:tc>
        <w:tc>
          <w:tcPr>
            <w:tcW w:w="1786" w:type="dxa"/>
            <w:tcBorders>
              <w:top w:val="single" w:sz="4" w:space="0" w:color="auto"/>
              <w:left w:val="single" w:sz="4" w:space="0" w:color="auto"/>
              <w:bottom w:val="single" w:sz="4" w:space="0" w:color="auto"/>
              <w:right w:val="single" w:sz="4" w:space="0" w:color="auto"/>
            </w:tcBorders>
            <w:vAlign w:val="center"/>
          </w:tcPr>
          <w:p w14:paraId="4F48FAC7"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Значение коэффициента</w:t>
            </w:r>
          </w:p>
        </w:tc>
        <w:tc>
          <w:tcPr>
            <w:tcW w:w="1746" w:type="dxa"/>
            <w:tcBorders>
              <w:top w:val="single" w:sz="4" w:space="0" w:color="auto"/>
              <w:left w:val="single" w:sz="4" w:space="0" w:color="auto"/>
              <w:bottom w:val="single" w:sz="4" w:space="0" w:color="auto"/>
              <w:right w:val="single" w:sz="4" w:space="0" w:color="auto"/>
            </w:tcBorders>
            <w:vAlign w:val="center"/>
          </w:tcPr>
          <w:p w14:paraId="01CFFFCB"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Количество баллов</w:t>
            </w:r>
          </w:p>
        </w:tc>
      </w:tr>
      <w:tr w:rsidR="00A261E7" w:rsidRPr="009715A6" w14:paraId="387C8FDD" w14:textId="77777777" w:rsidTr="007E1183">
        <w:trPr>
          <w:trHeight w:val="454"/>
        </w:trPr>
        <w:tc>
          <w:tcPr>
            <w:tcW w:w="5760" w:type="dxa"/>
            <w:tcBorders>
              <w:top w:val="single" w:sz="4" w:space="0" w:color="auto"/>
              <w:left w:val="single" w:sz="4" w:space="0" w:color="auto"/>
              <w:bottom w:val="single" w:sz="4" w:space="0" w:color="auto"/>
              <w:right w:val="single" w:sz="4" w:space="0" w:color="auto"/>
            </w:tcBorders>
            <w:vAlign w:val="center"/>
          </w:tcPr>
          <w:p w14:paraId="17030BD8"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Коэффициент абсолютной ликвидности</w:t>
            </w:r>
          </w:p>
        </w:tc>
        <w:tc>
          <w:tcPr>
            <w:tcW w:w="1786" w:type="dxa"/>
            <w:tcBorders>
              <w:top w:val="single" w:sz="4" w:space="0" w:color="auto"/>
              <w:left w:val="single" w:sz="4" w:space="0" w:color="auto"/>
              <w:bottom w:val="single" w:sz="4" w:space="0" w:color="auto"/>
              <w:right w:val="single" w:sz="4" w:space="0" w:color="auto"/>
            </w:tcBorders>
            <w:vAlign w:val="center"/>
          </w:tcPr>
          <w:p w14:paraId="17BD6B49"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0,044</w:t>
            </w:r>
          </w:p>
        </w:tc>
        <w:tc>
          <w:tcPr>
            <w:tcW w:w="1746" w:type="dxa"/>
            <w:tcBorders>
              <w:top w:val="single" w:sz="4" w:space="0" w:color="auto"/>
              <w:left w:val="single" w:sz="4" w:space="0" w:color="auto"/>
              <w:bottom w:val="single" w:sz="4" w:space="0" w:color="auto"/>
              <w:right w:val="single" w:sz="4" w:space="0" w:color="auto"/>
            </w:tcBorders>
            <w:vAlign w:val="center"/>
          </w:tcPr>
          <w:p w14:paraId="2322F001"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w:t>
            </w:r>
          </w:p>
        </w:tc>
      </w:tr>
      <w:tr w:rsidR="00A261E7" w:rsidRPr="009715A6" w14:paraId="02C410D3" w14:textId="77777777" w:rsidTr="007E1183">
        <w:trPr>
          <w:trHeight w:val="454"/>
        </w:trPr>
        <w:tc>
          <w:tcPr>
            <w:tcW w:w="5760" w:type="dxa"/>
            <w:tcBorders>
              <w:top w:val="single" w:sz="4" w:space="0" w:color="auto"/>
              <w:left w:val="single" w:sz="4" w:space="0" w:color="auto"/>
              <w:bottom w:val="single" w:sz="4" w:space="0" w:color="auto"/>
              <w:right w:val="single" w:sz="4" w:space="0" w:color="auto"/>
            </w:tcBorders>
            <w:vAlign w:val="center"/>
          </w:tcPr>
          <w:p w14:paraId="0B2E60CF"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Коэффициент критической оценки</w:t>
            </w:r>
          </w:p>
        </w:tc>
        <w:tc>
          <w:tcPr>
            <w:tcW w:w="1786" w:type="dxa"/>
            <w:tcBorders>
              <w:top w:val="single" w:sz="4" w:space="0" w:color="auto"/>
              <w:left w:val="single" w:sz="4" w:space="0" w:color="auto"/>
              <w:bottom w:val="single" w:sz="4" w:space="0" w:color="auto"/>
              <w:right w:val="single" w:sz="4" w:space="0" w:color="auto"/>
            </w:tcBorders>
            <w:vAlign w:val="center"/>
          </w:tcPr>
          <w:p w14:paraId="436B3B0F"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0,064</w:t>
            </w:r>
          </w:p>
        </w:tc>
        <w:tc>
          <w:tcPr>
            <w:tcW w:w="1746" w:type="dxa"/>
            <w:tcBorders>
              <w:top w:val="single" w:sz="4" w:space="0" w:color="auto"/>
              <w:left w:val="single" w:sz="4" w:space="0" w:color="auto"/>
              <w:bottom w:val="single" w:sz="4" w:space="0" w:color="auto"/>
              <w:right w:val="single" w:sz="4" w:space="0" w:color="auto"/>
            </w:tcBorders>
            <w:vAlign w:val="center"/>
          </w:tcPr>
          <w:p w14:paraId="7B7EFE02"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w:t>
            </w:r>
          </w:p>
        </w:tc>
      </w:tr>
      <w:tr w:rsidR="00A261E7" w:rsidRPr="009715A6" w14:paraId="1B24CC2D" w14:textId="77777777" w:rsidTr="007E1183">
        <w:trPr>
          <w:trHeight w:val="454"/>
        </w:trPr>
        <w:tc>
          <w:tcPr>
            <w:tcW w:w="5760" w:type="dxa"/>
            <w:tcBorders>
              <w:top w:val="single" w:sz="4" w:space="0" w:color="auto"/>
              <w:right w:val="single" w:sz="4" w:space="0" w:color="auto"/>
            </w:tcBorders>
            <w:vAlign w:val="center"/>
          </w:tcPr>
          <w:p w14:paraId="245D24D0"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Коэффициент текущей ликвидности</w:t>
            </w:r>
          </w:p>
        </w:tc>
        <w:tc>
          <w:tcPr>
            <w:tcW w:w="1786" w:type="dxa"/>
            <w:tcBorders>
              <w:top w:val="single" w:sz="4" w:space="0" w:color="auto"/>
              <w:left w:val="single" w:sz="4" w:space="0" w:color="auto"/>
            </w:tcBorders>
            <w:vAlign w:val="center"/>
          </w:tcPr>
          <w:p w14:paraId="3F3D2C50"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2,062</w:t>
            </w:r>
          </w:p>
        </w:tc>
        <w:tc>
          <w:tcPr>
            <w:tcW w:w="1746" w:type="dxa"/>
            <w:tcBorders>
              <w:top w:val="single" w:sz="4" w:space="0" w:color="auto"/>
            </w:tcBorders>
            <w:vAlign w:val="center"/>
          </w:tcPr>
          <w:p w14:paraId="2F6215E8"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16,5</w:t>
            </w:r>
          </w:p>
        </w:tc>
      </w:tr>
      <w:tr w:rsidR="00A261E7" w:rsidRPr="009715A6" w14:paraId="7FA63A42" w14:textId="77777777" w:rsidTr="007E1183">
        <w:trPr>
          <w:trHeight w:val="454"/>
        </w:trPr>
        <w:tc>
          <w:tcPr>
            <w:tcW w:w="5760" w:type="dxa"/>
            <w:tcBorders>
              <w:right w:val="single" w:sz="4" w:space="0" w:color="auto"/>
            </w:tcBorders>
            <w:vAlign w:val="center"/>
          </w:tcPr>
          <w:p w14:paraId="519764BA"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Коэффициент финансовой независимости</w:t>
            </w:r>
          </w:p>
        </w:tc>
        <w:tc>
          <w:tcPr>
            <w:tcW w:w="1786" w:type="dxa"/>
            <w:tcBorders>
              <w:left w:val="single" w:sz="4" w:space="0" w:color="auto"/>
            </w:tcBorders>
            <w:vAlign w:val="center"/>
          </w:tcPr>
          <w:p w14:paraId="7C00BC38"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0,556</w:t>
            </w:r>
          </w:p>
        </w:tc>
        <w:tc>
          <w:tcPr>
            <w:tcW w:w="1746" w:type="dxa"/>
            <w:vAlign w:val="center"/>
          </w:tcPr>
          <w:p w14:paraId="5816E2D6"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14,1</w:t>
            </w:r>
          </w:p>
        </w:tc>
      </w:tr>
      <w:tr w:rsidR="00A261E7" w:rsidRPr="009715A6" w14:paraId="656492A4" w14:textId="77777777" w:rsidTr="007E1183">
        <w:trPr>
          <w:trHeight w:val="454"/>
        </w:trPr>
        <w:tc>
          <w:tcPr>
            <w:tcW w:w="5760" w:type="dxa"/>
            <w:tcBorders>
              <w:right w:val="single" w:sz="4" w:space="0" w:color="auto"/>
            </w:tcBorders>
            <w:vAlign w:val="center"/>
          </w:tcPr>
          <w:p w14:paraId="335B2252"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Коэффициент обеспеченности собственными источниками финансирования</w:t>
            </w:r>
          </w:p>
        </w:tc>
        <w:tc>
          <w:tcPr>
            <w:tcW w:w="1786" w:type="dxa"/>
            <w:tcBorders>
              <w:left w:val="single" w:sz="4" w:space="0" w:color="auto"/>
            </w:tcBorders>
            <w:vAlign w:val="center"/>
          </w:tcPr>
          <w:p w14:paraId="440E6172"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0,515</w:t>
            </w:r>
          </w:p>
        </w:tc>
        <w:tc>
          <w:tcPr>
            <w:tcW w:w="1746" w:type="dxa"/>
            <w:vAlign w:val="center"/>
          </w:tcPr>
          <w:p w14:paraId="423D4B9D"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15</w:t>
            </w:r>
          </w:p>
        </w:tc>
      </w:tr>
      <w:tr w:rsidR="00A261E7" w:rsidRPr="009715A6" w14:paraId="03FB9C8B" w14:textId="77777777" w:rsidTr="007E1183">
        <w:trPr>
          <w:trHeight w:val="454"/>
        </w:trPr>
        <w:tc>
          <w:tcPr>
            <w:tcW w:w="5760" w:type="dxa"/>
            <w:tcBorders>
              <w:right w:val="single" w:sz="4" w:space="0" w:color="auto"/>
            </w:tcBorders>
            <w:vAlign w:val="center"/>
          </w:tcPr>
          <w:p w14:paraId="54129077"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Коэффициент финансовой независимости в части формирования запасов и затрат</w:t>
            </w:r>
          </w:p>
        </w:tc>
        <w:tc>
          <w:tcPr>
            <w:tcW w:w="1786" w:type="dxa"/>
            <w:tcBorders>
              <w:left w:val="single" w:sz="4" w:space="0" w:color="auto"/>
            </w:tcBorders>
            <w:vAlign w:val="center"/>
          </w:tcPr>
          <w:p w14:paraId="2DE13117"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0,532</w:t>
            </w:r>
          </w:p>
        </w:tc>
        <w:tc>
          <w:tcPr>
            <w:tcW w:w="1746" w:type="dxa"/>
            <w:vAlign w:val="center"/>
          </w:tcPr>
          <w:p w14:paraId="73999762"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3</w:t>
            </w:r>
          </w:p>
        </w:tc>
      </w:tr>
      <w:tr w:rsidR="00A261E7" w:rsidRPr="009715A6" w14:paraId="2E67935B" w14:textId="77777777" w:rsidTr="007E1183">
        <w:trPr>
          <w:trHeight w:val="454"/>
        </w:trPr>
        <w:tc>
          <w:tcPr>
            <w:tcW w:w="5760" w:type="dxa"/>
            <w:tcBorders>
              <w:right w:val="single" w:sz="4" w:space="0" w:color="auto"/>
            </w:tcBorders>
            <w:vAlign w:val="center"/>
          </w:tcPr>
          <w:p w14:paraId="52E79C37" w14:textId="77777777" w:rsidR="00A261E7" w:rsidRPr="009715A6" w:rsidRDefault="00A261E7" w:rsidP="007E1183">
            <w:pPr>
              <w:rPr>
                <w:rFonts w:ascii="Times New Roman" w:hAnsi="Times New Roman" w:cs="Times New Roman"/>
                <w:sz w:val="24"/>
                <w:szCs w:val="24"/>
              </w:rPr>
            </w:pPr>
            <w:r w:rsidRPr="009715A6">
              <w:rPr>
                <w:rFonts w:ascii="Times New Roman" w:hAnsi="Times New Roman" w:cs="Times New Roman"/>
                <w:sz w:val="24"/>
                <w:szCs w:val="24"/>
              </w:rPr>
              <w:t>Сумма баллов</w:t>
            </w:r>
          </w:p>
        </w:tc>
        <w:tc>
          <w:tcPr>
            <w:tcW w:w="1786" w:type="dxa"/>
            <w:tcBorders>
              <w:left w:val="single" w:sz="4" w:space="0" w:color="auto"/>
            </w:tcBorders>
            <w:vAlign w:val="center"/>
          </w:tcPr>
          <w:p w14:paraId="1F28F27C" w14:textId="77777777" w:rsidR="00A261E7" w:rsidRPr="009715A6" w:rsidRDefault="00A261E7" w:rsidP="007E1183">
            <w:pPr>
              <w:jc w:val="center"/>
              <w:rPr>
                <w:rFonts w:ascii="Times New Roman" w:hAnsi="Times New Roman" w:cs="Times New Roman"/>
                <w:sz w:val="24"/>
                <w:szCs w:val="24"/>
              </w:rPr>
            </w:pPr>
          </w:p>
        </w:tc>
        <w:tc>
          <w:tcPr>
            <w:tcW w:w="1746" w:type="dxa"/>
            <w:vAlign w:val="center"/>
          </w:tcPr>
          <w:p w14:paraId="3EF0A844" w14:textId="77777777" w:rsidR="00A261E7" w:rsidRPr="009715A6" w:rsidRDefault="00A261E7" w:rsidP="007E1183">
            <w:pPr>
              <w:jc w:val="center"/>
              <w:rPr>
                <w:rFonts w:ascii="Times New Roman" w:hAnsi="Times New Roman" w:cs="Times New Roman"/>
                <w:sz w:val="24"/>
                <w:szCs w:val="24"/>
              </w:rPr>
            </w:pPr>
            <w:r w:rsidRPr="009715A6">
              <w:rPr>
                <w:rFonts w:ascii="Times New Roman" w:hAnsi="Times New Roman" w:cs="Times New Roman"/>
                <w:sz w:val="24"/>
                <w:szCs w:val="24"/>
              </w:rPr>
              <w:t>48,6</w:t>
            </w:r>
          </w:p>
        </w:tc>
      </w:tr>
    </w:tbl>
    <w:p w14:paraId="568E4E34" w14:textId="77777777" w:rsidR="00A261E7" w:rsidRPr="009715A6" w:rsidRDefault="00A261E7" w:rsidP="002F08F2">
      <w:pPr>
        <w:widowControl w:val="0"/>
        <w:spacing w:before="12"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По результатам проведенного анализа можно констатировать неустойчивость финансового положения. В настоящее время в работе ООО «</w:t>
      </w:r>
      <w:r w:rsidRPr="009715A6">
        <w:rPr>
          <w:rFonts w:ascii="Times New Roman" w:hAnsi="Times New Roman" w:cs="Times New Roman"/>
          <w:sz w:val="24"/>
          <w:szCs w:val="24"/>
          <w:shd w:val="clear" w:color="auto" w:fill="FFFFFF"/>
        </w:rPr>
        <w:t>Скайпарк</w:t>
      </w:r>
      <w:r w:rsidRPr="009715A6">
        <w:rPr>
          <w:rFonts w:ascii="Times New Roman" w:hAnsi="Times New Roman" w:cs="Times New Roman"/>
          <w:sz w:val="24"/>
          <w:szCs w:val="24"/>
        </w:rPr>
        <w:t xml:space="preserve">» имеется ряд проблем, которые оказывают влияние на деятельность компании, и могут негативно отразиться на ее финансовом состоянии. Поэтому, руководству компании следует тщательно анализировать рыночную ситуацию по продажам и изыскать новые пути получения дохода и новые секторы рынка. </w:t>
      </w:r>
    </w:p>
    <w:p w14:paraId="791CFBA2" w14:textId="77777777" w:rsidR="00A261E7" w:rsidRPr="009715A6" w:rsidRDefault="00A261E7" w:rsidP="002F08F2">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 xml:space="preserve">В прогнозном периоде ООО «Скайпарк» рекомендуется: </w:t>
      </w:r>
    </w:p>
    <w:p w14:paraId="43352DFA" w14:textId="77777777" w:rsidR="00A261E7" w:rsidRPr="009715A6" w:rsidRDefault="00A261E7" w:rsidP="002F08F2">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 xml:space="preserve">1) оптимизировать ассортимент реализуемых товаров, что приведет к повышению доходности организации и увеличению денежных средств в обороте; </w:t>
      </w:r>
    </w:p>
    <w:p w14:paraId="48B7FFF8" w14:textId="77777777" w:rsidR="00A261E7" w:rsidRPr="009715A6" w:rsidRDefault="00A261E7" w:rsidP="002F08F2">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2) параллельно необходимо оптимизировать размер запасов организации, чтобы не было затоваривания и замедления оборачиваемости организации, что также позволить увеличить денежный оборот организации;</w:t>
      </w:r>
    </w:p>
    <w:p w14:paraId="44A0FF3B" w14:textId="77777777" w:rsidR="00A261E7" w:rsidRPr="009715A6" w:rsidRDefault="00A261E7" w:rsidP="002F08F2">
      <w:pPr>
        <w:spacing w:after="0" w:line="240" w:lineRule="auto"/>
        <w:ind w:firstLine="720"/>
        <w:jc w:val="both"/>
        <w:rPr>
          <w:rFonts w:ascii="Times New Roman" w:hAnsi="Times New Roman" w:cs="Times New Roman"/>
          <w:sz w:val="24"/>
          <w:szCs w:val="24"/>
        </w:rPr>
      </w:pPr>
      <w:r w:rsidRPr="009715A6">
        <w:rPr>
          <w:rFonts w:ascii="Times New Roman" w:hAnsi="Times New Roman" w:cs="Times New Roman"/>
          <w:sz w:val="24"/>
          <w:szCs w:val="24"/>
        </w:rPr>
        <w:t>3) как итог - сокращение краткосрочных обязательств и оптимизация ликвидности баланса ООО «Скайпарк».</w:t>
      </w:r>
    </w:p>
    <w:p w14:paraId="4A87C363" w14:textId="77777777" w:rsidR="00A261E7" w:rsidRPr="009715A6" w:rsidRDefault="007014C7" w:rsidP="002F08F2">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noProof/>
          <w:sz w:val="24"/>
          <w:szCs w:val="24"/>
        </w:rPr>
        <w:lastRenderedPageBreak/>
        <w:pict w14:anchorId="2C56ADE7">
          <v:line id="_x0000_s1194" style="position:absolute;left:0;text-align:left;z-index:251736064" from="36pt,9pt" to="162pt,9pt"/>
        </w:pict>
      </w:r>
    </w:p>
    <w:p w14:paraId="1B385821" w14:textId="77777777" w:rsidR="00A261E7" w:rsidRPr="009715A6" w:rsidRDefault="00A261E7" w:rsidP="00A261E7">
      <w:pPr>
        <w:pStyle w:val="aff3"/>
        <w:ind w:firstLine="720"/>
        <w:jc w:val="both"/>
        <w:rPr>
          <w:sz w:val="24"/>
          <w:szCs w:val="24"/>
        </w:rPr>
      </w:pPr>
      <w:r w:rsidRPr="009715A6">
        <w:rPr>
          <w:sz w:val="24"/>
          <w:szCs w:val="24"/>
        </w:rPr>
        <w:t xml:space="preserve">1. Недосекин С.В. Финансовое состояние предприятия: сущность и организация в современных условиях / С.В. Недосекин, М.А. Иванов [Электронный ресурс] // Вестник РГАЗУ. 2014. Режим доступа: edu.rgazu.ru/ </w:t>
      </w:r>
      <w:r w:rsidRPr="009715A6">
        <w:rPr>
          <w:sz w:val="24"/>
          <w:szCs w:val="24"/>
          <w:lang w:val="en-US"/>
        </w:rPr>
        <w:t>file</w:t>
      </w:r>
      <w:r w:rsidRPr="009715A6">
        <w:rPr>
          <w:sz w:val="24"/>
          <w:szCs w:val="24"/>
        </w:rPr>
        <w:t>.</w:t>
      </w:r>
      <w:r w:rsidRPr="009715A6">
        <w:rPr>
          <w:sz w:val="24"/>
          <w:szCs w:val="24"/>
          <w:lang w:val="en-US"/>
        </w:rPr>
        <w:t>php</w:t>
      </w:r>
      <w:r w:rsidRPr="009715A6">
        <w:rPr>
          <w:sz w:val="24"/>
          <w:szCs w:val="24"/>
        </w:rPr>
        <w:t>/1/</w:t>
      </w:r>
      <w:r w:rsidRPr="009715A6">
        <w:rPr>
          <w:sz w:val="24"/>
          <w:szCs w:val="24"/>
          <w:lang w:val="en-US"/>
        </w:rPr>
        <w:t>vestnik</w:t>
      </w:r>
      <w:r w:rsidRPr="009715A6">
        <w:rPr>
          <w:sz w:val="24"/>
          <w:szCs w:val="24"/>
        </w:rPr>
        <w:t>_</w:t>
      </w:r>
      <w:r w:rsidRPr="009715A6">
        <w:rPr>
          <w:sz w:val="24"/>
          <w:szCs w:val="24"/>
          <w:lang w:val="en-US"/>
        </w:rPr>
        <w:t>rgazu</w:t>
      </w:r>
      <w:r w:rsidRPr="009715A6">
        <w:rPr>
          <w:sz w:val="24"/>
          <w:szCs w:val="24"/>
        </w:rPr>
        <w:t>/</w:t>
      </w:r>
      <w:r w:rsidRPr="009715A6">
        <w:rPr>
          <w:sz w:val="24"/>
          <w:szCs w:val="24"/>
          <w:lang w:val="en-US"/>
        </w:rPr>
        <w:t>index</w:t>
      </w:r>
      <w:r w:rsidRPr="009715A6">
        <w:rPr>
          <w:sz w:val="24"/>
          <w:szCs w:val="24"/>
        </w:rPr>
        <w:t>.</w:t>
      </w:r>
      <w:r w:rsidRPr="009715A6">
        <w:rPr>
          <w:sz w:val="24"/>
          <w:szCs w:val="24"/>
          <w:lang w:val="en-US"/>
        </w:rPr>
        <w:t>html</w:t>
      </w:r>
    </w:p>
    <w:p w14:paraId="4CF5F383" w14:textId="77777777" w:rsidR="00A261E7" w:rsidRPr="009715A6" w:rsidRDefault="00A261E7" w:rsidP="00A261E7">
      <w:pPr>
        <w:pStyle w:val="aff3"/>
        <w:ind w:firstLine="720"/>
        <w:jc w:val="both"/>
        <w:rPr>
          <w:sz w:val="24"/>
          <w:szCs w:val="24"/>
        </w:rPr>
      </w:pPr>
      <w:r w:rsidRPr="009715A6">
        <w:rPr>
          <w:sz w:val="24"/>
          <w:szCs w:val="24"/>
        </w:rPr>
        <w:t>2. Савицкая Г.В. Анализ хозяйственной деятельности предприятия / Г.В. Савицкая. - М.: ИНФРА-М, 2014. – 405 с.</w:t>
      </w:r>
    </w:p>
    <w:p w14:paraId="6DE17F6A" w14:textId="77777777" w:rsidR="00A261E7" w:rsidRPr="009715A6" w:rsidRDefault="00A261E7" w:rsidP="00A261E7">
      <w:pPr>
        <w:pStyle w:val="aff3"/>
        <w:ind w:firstLine="720"/>
        <w:jc w:val="both"/>
        <w:rPr>
          <w:sz w:val="24"/>
          <w:szCs w:val="24"/>
        </w:rPr>
      </w:pPr>
      <w:r w:rsidRPr="009715A6">
        <w:rPr>
          <w:sz w:val="24"/>
          <w:szCs w:val="24"/>
        </w:rPr>
        <w:t>3. Банк В.Р. Теория экономического анализа / В.Р. Банк, А.В. Тараскина. – М.: Финансы и статистика, 2014. – 536 с.</w:t>
      </w:r>
    </w:p>
    <w:p w14:paraId="2CED3558" w14:textId="77777777" w:rsidR="00A261E7" w:rsidRPr="009715A6" w:rsidRDefault="00A261E7" w:rsidP="00A261E7">
      <w:pPr>
        <w:pStyle w:val="aff3"/>
        <w:ind w:firstLine="720"/>
        <w:jc w:val="both"/>
        <w:rPr>
          <w:sz w:val="24"/>
          <w:szCs w:val="24"/>
        </w:rPr>
      </w:pPr>
      <w:r w:rsidRPr="009715A6">
        <w:rPr>
          <w:sz w:val="24"/>
          <w:szCs w:val="24"/>
        </w:rPr>
        <w:t>4. Билык М.Д. Финансовый анализ: учеб пособие / М.Д. Билык, О.В. Павловская, Н.М. Притуляк, Н.Ю. Невмержицкая - М.: Финансы и статистика, 2015. – 592  с.</w:t>
      </w:r>
    </w:p>
    <w:p w14:paraId="3A04945C" w14:textId="77777777" w:rsidR="00A261E7" w:rsidRPr="009715A6" w:rsidRDefault="00A261E7" w:rsidP="00A261E7">
      <w:pPr>
        <w:pStyle w:val="aff3"/>
        <w:ind w:firstLine="720"/>
        <w:jc w:val="both"/>
        <w:rPr>
          <w:sz w:val="24"/>
          <w:szCs w:val="24"/>
        </w:rPr>
      </w:pPr>
      <w:r w:rsidRPr="009715A6">
        <w:rPr>
          <w:sz w:val="24"/>
          <w:szCs w:val="24"/>
        </w:rPr>
        <w:t>5. Ефимова О.В. Финансовый анализ / О.В. Ефимова. – М.: Омега-Л, 2014. – 351 с.</w:t>
      </w:r>
    </w:p>
    <w:p w14:paraId="6C30FEFC" w14:textId="77777777" w:rsidR="00A261E7" w:rsidRPr="009715A6" w:rsidRDefault="00A261E7" w:rsidP="00A261E7">
      <w:pPr>
        <w:pStyle w:val="aff3"/>
        <w:ind w:firstLine="720"/>
        <w:jc w:val="both"/>
        <w:rPr>
          <w:sz w:val="24"/>
          <w:szCs w:val="24"/>
        </w:rPr>
      </w:pPr>
      <w:r w:rsidRPr="009715A6">
        <w:rPr>
          <w:sz w:val="24"/>
          <w:szCs w:val="24"/>
        </w:rPr>
        <w:t>6. Гаврилова А.Н. Финансы организаций (предприятий): учебное пособие для Вузов / А.Н. Гаврилова, А.А. Попов. – М.: Проспект, КноРус, 2015. – 597 с.</w:t>
      </w:r>
    </w:p>
    <w:p w14:paraId="0C1C7375" w14:textId="77777777" w:rsidR="00A261E7" w:rsidRPr="009715A6" w:rsidRDefault="00A261E7" w:rsidP="00A261E7">
      <w:pPr>
        <w:pStyle w:val="aff3"/>
        <w:ind w:firstLine="720"/>
        <w:jc w:val="both"/>
        <w:rPr>
          <w:sz w:val="24"/>
          <w:szCs w:val="24"/>
        </w:rPr>
      </w:pPr>
      <w:r w:rsidRPr="009715A6">
        <w:rPr>
          <w:sz w:val="24"/>
          <w:szCs w:val="24"/>
        </w:rPr>
        <w:t>7. Балабанов И.Т. Анализ и планирование финансов хозяйствующего субъекта / И.Т. Балабанов. – М.: Финансы и статистика, 2016. – 520 с.</w:t>
      </w:r>
    </w:p>
    <w:p w14:paraId="4DF9E10C" w14:textId="77777777" w:rsidR="00A261E7" w:rsidRPr="004475C1" w:rsidRDefault="00A261E7" w:rsidP="00A261E7">
      <w:pPr>
        <w:pStyle w:val="aff3"/>
        <w:ind w:firstLine="720"/>
        <w:jc w:val="both"/>
        <w:rPr>
          <w:sz w:val="24"/>
          <w:szCs w:val="24"/>
        </w:rPr>
      </w:pPr>
    </w:p>
    <w:p w14:paraId="2A243E61" w14:textId="77777777" w:rsidR="00A261E7" w:rsidRDefault="00A261E7" w:rsidP="006A10F6">
      <w:pPr>
        <w:tabs>
          <w:tab w:val="left" w:pos="993"/>
        </w:tabs>
        <w:spacing w:after="0" w:line="240" w:lineRule="auto"/>
        <w:ind w:right="-1"/>
        <w:rPr>
          <w:rFonts w:ascii="Times New Roman" w:eastAsia="MS Mincho" w:hAnsi="Times New Roman"/>
          <w:b/>
          <w:sz w:val="20"/>
          <w:szCs w:val="24"/>
          <w:lang w:eastAsia="ru-RU"/>
        </w:rPr>
      </w:pPr>
    </w:p>
    <w:p w14:paraId="43D98CF8" w14:textId="77777777" w:rsidR="00A261E7" w:rsidRDefault="00A261E7" w:rsidP="006A10F6">
      <w:pPr>
        <w:tabs>
          <w:tab w:val="left" w:pos="993"/>
        </w:tabs>
        <w:spacing w:after="0" w:line="240" w:lineRule="auto"/>
        <w:ind w:right="-1"/>
        <w:rPr>
          <w:rFonts w:ascii="Times New Roman" w:eastAsia="MS Mincho" w:hAnsi="Times New Roman"/>
          <w:b/>
          <w:sz w:val="20"/>
          <w:szCs w:val="24"/>
          <w:lang w:eastAsia="ru-RU"/>
        </w:rPr>
      </w:pPr>
    </w:p>
    <w:p w14:paraId="3577F654" w14:textId="77777777" w:rsidR="006A10F6" w:rsidRPr="002F08F2" w:rsidRDefault="006A10F6" w:rsidP="006A10F6">
      <w:pPr>
        <w:tabs>
          <w:tab w:val="left" w:pos="993"/>
        </w:tabs>
        <w:spacing w:after="0" w:line="240" w:lineRule="auto"/>
        <w:ind w:right="-1"/>
        <w:rPr>
          <w:rFonts w:ascii="Times New Roman" w:hAnsi="Times New Roman" w:cs="Times New Roman"/>
          <w:b/>
          <w:sz w:val="24"/>
          <w:szCs w:val="24"/>
        </w:rPr>
      </w:pPr>
      <w:r w:rsidRPr="002F08F2">
        <w:rPr>
          <w:rFonts w:ascii="Times New Roman" w:eastAsia="MS Mincho" w:hAnsi="Times New Roman" w:cs="Times New Roman"/>
          <w:b/>
          <w:sz w:val="24"/>
          <w:szCs w:val="24"/>
          <w:lang w:eastAsia="ru-RU"/>
        </w:rPr>
        <w:t>Рубрика</w:t>
      </w:r>
      <w:r w:rsidRPr="002F08F2">
        <w:rPr>
          <w:rFonts w:ascii="Times New Roman" w:hAnsi="Times New Roman" w:cs="Times New Roman"/>
          <w:b/>
          <w:sz w:val="24"/>
          <w:szCs w:val="24"/>
        </w:rPr>
        <w:t xml:space="preserve">: </w:t>
      </w:r>
      <w:r w:rsidRPr="002F08F2">
        <w:rPr>
          <w:rFonts w:ascii="Times New Roman" w:hAnsi="Times New Roman" w:cs="Times New Roman"/>
          <w:b/>
          <w:color w:val="333333"/>
          <w:sz w:val="24"/>
          <w:szCs w:val="24"/>
        </w:rPr>
        <w:t>Проблемы динамичного развития экономики и финансов в современном мире</w:t>
      </w:r>
    </w:p>
    <w:p w14:paraId="75C32BFB" w14:textId="77777777" w:rsidR="006A10F6" w:rsidRPr="002F08F2" w:rsidRDefault="00234480" w:rsidP="00234480">
      <w:pPr>
        <w:tabs>
          <w:tab w:val="left" w:pos="6540"/>
        </w:tabs>
        <w:spacing w:after="0" w:line="240" w:lineRule="auto"/>
        <w:ind w:right="-1"/>
        <w:rPr>
          <w:rFonts w:ascii="Times New Roman" w:hAnsi="Times New Roman" w:cs="Times New Roman"/>
          <w:sz w:val="24"/>
          <w:szCs w:val="24"/>
        </w:rPr>
      </w:pPr>
      <w:r w:rsidRPr="002F08F2">
        <w:rPr>
          <w:rFonts w:ascii="Times New Roman" w:hAnsi="Times New Roman" w:cs="Times New Roman"/>
          <w:sz w:val="24"/>
          <w:szCs w:val="24"/>
        </w:rPr>
        <w:tab/>
      </w:r>
    </w:p>
    <w:p w14:paraId="0353B41E" w14:textId="77777777" w:rsidR="006A10F6" w:rsidRPr="002F08F2" w:rsidRDefault="006A10F6" w:rsidP="00100B26">
      <w:pPr>
        <w:tabs>
          <w:tab w:val="left" w:pos="993"/>
        </w:tabs>
        <w:spacing w:line="240" w:lineRule="auto"/>
        <w:ind w:right="-1"/>
        <w:rPr>
          <w:rFonts w:ascii="Times New Roman" w:hAnsi="Times New Roman" w:cs="Times New Roman"/>
          <w:sz w:val="24"/>
          <w:szCs w:val="24"/>
        </w:rPr>
      </w:pPr>
      <w:r w:rsidRPr="002F08F2">
        <w:rPr>
          <w:rFonts w:ascii="Times New Roman" w:hAnsi="Times New Roman" w:cs="Times New Roman"/>
          <w:sz w:val="24"/>
          <w:szCs w:val="24"/>
        </w:rPr>
        <w:t>УДК: 336.77</w:t>
      </w:r>
    </w:p>
    <w:p w14:paraId="0662AD45" w14:textId="77777777" w:rsidR="006A10F6" w:rsidRPr="002F08F2" w:rsidRDefault="006A10F6" w:rsidP="00100B26">
      <w:pPr>
        <w:tabs>
          <w:tab w:val="left" w:pos="993"/>
        </w:tabs>
        <w:spacing w:after="0" w:line="240" w:lineRule="auto"/>
        <w:ind w:right="-1" w:firstLine="709"/>
        <w:rPr>
          <w:rFonts w:ascii="Times New Roman" w:hAnsi="Times New Roman" w:cs="Times New Roman"/>
          <w:sz w:val="24"/>
          <w:szCs w:val="24"/>
        </w:rPr>
      </w:pPr>
    </w:p>
    <w:p w14:paraId="24D19F50" w14:textId="77777777" w:rsidR="006A10F6" w:rsidRPr="00100B26" w:rsidRDefault="00234480" w:rsidP="00100B26">
      <w:pPr>
        <w:spacing w:line="240" w:lineRule="auto"/>
        <w:jc w:val="center"/>
        <w:rPr>
          <w:rFonts w:ascii="Times New Roman" w:hAnsi="Times New Roman" w:cs="Times New Roman"/>
          <w:b/>
          <w:sz w:val="24"/>
          <w:szCs w:val="24"/>
        </w:rPr>
      </w:pPr>
      <w:r w:rsidRPr="002F08F2">
        <w:rPr>
          <w:rFonts w:ascii="Times New Roman" w:hAnsi="Times New Roman" w:cs="Times New Roman"/>
          <w:b/>
          <w:sz w:val="24"/>
          <w:szCs w:val="24"/>
        </w:rPr>
        <w:t>СРАВНИТЕЛЬНЫЙ АНАЛИЗ ОБРАЗОВАТЕЛЬНОГО КРЕДИТОВАНИЯ В РОССИИ И ЗА РУБЕЖОМ</w:t>
      </w:r>
    </w:p>
    <w:p w14:paraId="5746DAAE" w14:textId="77777777" w:rsidR="006A10F6" w:rsidRPr="002F08F2" w:rsidRDefault="006A10F6" w:rsidP="006A10F6">
      <w:pPr>
        <w:tabs>
          <w:tab w:val="left" w:pos="993"/>
        </w:tabs>
        <w:spacing w:after="0" w:line="240" w:lineRule="auto"/>
        <w:ind w:right="-1"/>
        <w:jc w:val="center"/>
        <w:rPr>
          <w:rFonts w:ascii="Times New Roman" w:eastAsia="MS Mincho" w:hAnsi="Times New Roman" w:cs="Times New Roman"/>
          <w:b/>
          <w:sz w:val="24"/>
          <w:szCs w:val="24"/>
          <w:lang w:eastAsia="ru-RU"/>
        </w:rPr>
      </w:pPr>
      <w:r w:rsidRPr="002F08F2">
        <w:rPr>
          <w:rFonts w:ascii="Times New Roman" w:eastAsia="MS Mincho" w:hAnsi="Times New Roman" w:cs="Times New Roman"/>
          <w:b/>
          <w:sz w:val="24"/>
          <w:szCs w:val="24"/>
          <w:lang w:eastAsia="ru-RU"/>
        </w:rPr>
        <w:t>Жуплева Светлана Сергеевна,</w:t>
      </w:r>
    </w:p>
    <w:p w14:paraId="64B9EE55" w14:textId="77777777" w:rsidR="006A10F6" w:rsidRPr="002F08F2" w:rsidRDefault="006A10F6" w:rsidP="006A10F6">
      <w:pPr>
        <w:tabs>
          <w:tab w:val="left" w:pos="993"/>
        </w:tabs>
        <w:spacing w:after="0" w:line="240" w:lineRule="auto"/>
        <w:ind w:right="-1"/>
        <w:jc w:val="center"/>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бакалавр 2 курса, кафедра экономики</w:t>
      </w:r>
    </w:p>
    <w:p w14:paraId="757622BD" w14:textId="77777777" w:rsidR="00234480" w:rsidRPr="002F08F2" w:rsidRDefault="00234480" w:rsidP="006A10F6">
      <w:pPr>
        <w:tabs>
          <w:tab w:val="left" w:pos="993"/>
        </w:tabs>
        <w:spacing w:after="0" w:line="240" w:lineRule="auto"/>
        <w:ind w:right="-1"/>
        <w:jc w:val="center"/>
        <w:rPr>
          <w:rFonts w:ascii="Times New Roman" w:eastAsia="MS Mincho" w:hAnsi="Times New Roman" w:cs="Times New Roman"/>
          <w:b/>
          <w:sz w:val="24"/>
          <w:szCs w:val="24"/>
          <w:lang w:eastAsia="ru-RU"/>
        </w:rPr>
      </w:pPr>
    </w:p>
    <w:p w14:paraId="7890A953" w14:textId="77777777" w:rsidR="006A10F6" w:rsidRPr="002F08F2" w:rsidRDefault="006A10F6" w:rsidP="006A10F6">
      <w:pPr>
        <w:tabs>
          <w:tab w:val="left" w:pos="993"/>
        </w:tabs>
        <w:spacing w:after="0" w:line="240" w:lineRule="auto"/>
        <w:ind w:right="-1"/>
        <w:jc w:val="center"/>
        <w:rPr>
          <w:rFonts w:ascii="Times New Roman" w:eastAsia="MS Mincho" w:hAnsi="Times New Roman" w:cs="Times New Roman"/>
          <w:b/>
          <w:sz w:val="24"/>
          <w:szCs w:val="24"/>
          <w:lang w:eastAsia="ru-RU"/>
        </w:rPr>
      </w:pPr>
      <w:r w:rsidRPr="002F08F2">
        <w:rPr>
          <w:rFonts w:ascii="Times New Roman" w:eastAsia="MS Mincho" w:hAnsi="Times New Roman" w:cs="Times New Roman"/>
          <w:b/>
          <w:sz w:val="24"/>
          <w:szCs w:val="24"/>
          <w:lang w:eastAsia="ru-RU"/>
        </w:rPr>
        <w:t>Левченко Татьяна Александровна,</w:t>
      </w:r>
    </w:p>
    <w:p w14:paraId="01CC2439" w14:textId="77777777" w:rsidR="006A10F6" w:rsidRPr="002F08F2" w:rsidRDefault="0018409B" w:rsidP="006A10F6">
      <w:pPr>
        <w:tabs>
          <w:tab w:val="left" w:pos="993"/>
        </w:tabs>
        <w:spacing w:after="0" w:line="240" w:lineRule="auto"/>
        <w:ind w:right="-1"/>
        <w:jc w:val="center"/>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 xml:space="preserve">Научный руководитель, </w:t>
      </w:r>
      <w:r w:rsidR="006A10F6" w:rsidRPr="002F08F2">
        <w:rPr>
          <w:rFonts w:ascii="Times New Roman" w:eastAsia="MS Mincho" w:hAnsi="Times New Roman" w:cs="Times New Roman"/>
          <w:sz w:val="24"/>
          <w:szCs w:val="24"/>
          <w:lang w:eastAsia="ru-RU"/>
        </w:rPr>
        <w:t xml:space="preserve">доцент кафедры экономики </w:t>
      </w:r>
    </w:p>
    <w:p w14:paraId="6D72DC9D" w14:textId="77777777" w:rsidR="00234480" w:rsidRPr="002F08F2" w:rsidRDefault="00234480" w:rsidP="006A10F6">
      <w:pPr>
        <w:tabs>
          <w:tab w:val="left" w:pos="993"/>
        </w:tabs>
        <w:spacing w:after="0" w:line="240" w:lineRule="auto"/>
        <w:ind w:right="-1"/>
        <w:jc w:val="center"/>
        <w:rPr>
          <w:rFonts w:ascii="Times New Roman" w:eastAsia="MS Mincho" w:hAnsi="Times New Roman" w:cs="Times New Roman"/>
          <w:i/>
          <w:sz w:val="24"/>
          <w:szCs w:val="24"/>
          <w:lang w:eastAsia="ru-RU"/>
        </w:rPr>
      </w:pPr>
    </w:p>
    <w:p w14:paraId="0511F1DA" w14:textId="77777777" w:rsidR="006A10F6" w:rsidRPr="002F08F2" w:rsidRDefault="006A10F6" w:rsidP="006A10F6">
      <w:pPr>
        <w:tabs>
          <w:tab w:val="left" w:pos="993"/>
        </w:tabs>
        <w:spacing w:after="0" w:line="240" w:lineRule="auto"/>
        <w:ind w:right="-1"/>
        <w:jc w:val="center"/>
        <w:rPr>
          <w:rFonts w:ascii="Times New Roman" w:hAnsi="Times New Roman" w:cs="Times New Roman"/>
          <w:i/>
          <w:sz w:val="24"/>
          <w:szCs w:val="24"/>
        </w:rPr>
      </w:pPr>
      <w:r w:rsidRPr="002F08F2">
        <w:rPr>
          <w:rFonts w:ascii="Times New Roman" w:eastAsia="MS Mincho" w:hAnsi="Times New Roman" w:cs="Times New Roman"/>
          <w:i/>
          <w:sz w:val="24"/>
          <w:szCs w:val="24"/>
          <w:lang w:eastAsia="ru-RU"/>
        </w:rPr>
        <w:t>Владивостокский</w:t>
      </w:r>
      <w:r w:rsidRPr="002F08F2">
        <w:rPr>
          <w:rFonts w:ascii="Times New Roman" w:hAnsi="Times New Roman" w:cs="Times New Roman"/>
          <w:i/>
          <w:sz w:val="24"/>
          <w:szCs w:val="24"/>
        </w:rPr>
        <w:t xml:space="preserve"> государственный университет экономики и сервиса</w:t>
      </w:r>
    </w:p>
    <w:p w14:paraId="3AC84E5F" w14:textId="77777777" w:rsidR="006A10F6" w:rsidRPr="002F08F2" w:rsidRDefault="006A10F6" w:rsidP="006A10F6">
      <w:pPr>
        <w:tabs>
          <w:tab w:val="left" w:pos="993"/>
        </w:tabs>
        <w:spacing w:after="0" w:line="240" w:lineRule="auto"/>
        <w:ind w:right="-1"/>
        <w:jc w:val="center"/>
        <w:rPr>
          <w:rFonts w:ascii="Times New Roman" w:hAnsi="Times New Roman" w:cs="Times New Roman"/>
          <w:i/>
          <w:sz w:val="24"/>
          <w:szCs w:val="24"/>
        </w:rPr>
      </w:pPr>
      <w:r w:rsidRPr="002F08F2">
        <w:rPr>
          <w:rFonts w:ascii="Times New Roman" w:eastAsia="MS Mincho" w:hAnsi="Times New Roman" w:cs="Times New Roman"/>
          <w:i/>
          <w:sz w:val="24"/>
          <w:szCs w:val="24"/>
          <w:lang w:eastAsia="ru-RU"/>
        </w:rPr>
        <w:t>Владивосток</w:t>
      </w:r>
      <w:r w:rsidRPr="002F08F2">
        <w:rPr>
          <w:rFonts w:ascii="Times New Roman" w:hAnsi="Times New Roman" w:cs="Times New Roman"/>
          <w:i/>
          <w:sz w:val="24"/>
          <w:szCs w:val="24"/>
        </w:rPr>
        <w:t xml:space="preserve">. Россия. </w:t>
      </w:r>
    </w:p>
    <w:p w14:paraId="477AB001" w14:textId="77777777" w:rsidR="00234480" w:rsidRPr="002F08F2" w:rsidRDefault="00234480" w:rsidP="006A10F6">
      <w:pPr>
        <w:tabs>
          <w:tab w:val="left" w:pos="993"/>
        </w:tabs>
        <w:spacing w:after="0" w:line="240" w:lineRule="auto"/>
        <w:ind w:right="-1"/>
        <w:jc w:val="center"/>
        <w:rPr>
          <w:rFonts w:ascii="Times New Roman" w:hAnsi="Times New Roman" w:cs="Times New Roman"/>
          <w:sz w:val="24"/>
          <w:szCs w:val="24"/>
        </w:rPr>
      </w:pPr>
    </w:p>
    <w:p w14:paraId="614DD930" w14:textId="77777777" w:rsidR="006A10F6" w:rsidRPr="007E1000" w:rsidRDefault="006A10F6" w:rsidP="006A10F6">
      <w:pPr>
        <w:tabs>
          <w:tab w:val="left" w:pos="993"/>
        </w:tabs>
        <w:spacing w:after="0" w:line="240" w:lineRule="auto"/>
        <w:ind w:right="-1"/>
        <w:jc w:val="center"/>
        <w:rPr>
          <w:rFonts w:ascii="Times New Roman" w:hAnsi="Times New Roman" w:cs="Times New Roman"/>
          <w:sz w:val="24"/>
          <w:szCs w:val="24"/>
        </w:rPr>
      </w:pPr>
      <w:r w:rsidRPr="002F08F2">
        <w:rPr>
          <w:rFonts w:ascii="Times New Roman" w:hAnsi="Times New Roman" w:cs="Times New Roman"/>
          <w:sz w:val="24"/>
          <w:szCs w:val="24"/>
          <w:lang w:val="en-US"/>
        </w:rPr>
        <w:t>E</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2F08F2">
        <w:rPr>
          <w:rFonts w:ascii="Times New Roman" w:eastAsia="MS Mincho" w:hAnsi="Times New Roman" w:cs="Times New Roman"/>
          <w:sz w:val="24"/>
          <w:szCs w:val="24"/>
          <w:lang w:val="en-US" w:eastAsia="ru-RU"/>
        </w:rPr>
        <w:t>szhupleva</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gmail</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com</w:t>
      </w:r>
      <w:r w:rsidRPr="007E1000">
        <w:rPr>
          <w:rFonts w:ascii="Times New Roman" w:hAnsi="Times New Roman" w:cs="Times New Roman"/>
          <w:sz w:val="24"/>
          <w:szCs w:val="24"/>
        </w:rPr>
        <w:t xml:space="preserve">; </w:t>
      </w:r>
      <w:r w:rsidRPr="002F08F2">
        <w:rPr>
          <w:rFonts w:ascii="Times New Roman" w:hAnsi="Times New Roman" w:cs="Times New Roman"/>
          <w:sz w:val="24"/>
          <w:szCs w:val="24"/>
        </w:rPr>
        <w:t>тел</w:t>
      </w:r>
      <w:r w:rsidRPr="007E1000">
        <w:rPr>
          <w:rFonts w:ascii="Times New Roman" w:hAnsi="Times New Roman" w:cs="Times New Roman"/>
          <w:sz w:val="24"/>
          <w:szCs w:val="24"/>
        </w:rPr>
        <w:t>.: +7914 685 79 99</w:t>
      </w:r>
    </w:p>
    <w:p w14:paraId="75CC5495" w14:textId="77777777" w:rsidR="006A10F6" w:rsidRPr="002F08F2" w:rsidRDefault="006A10F6" w:rsidP="006A10F6">
      <w:pPr>
        <w:spacing w:after="0" w:line="240" w:lineRule="auto"/>
        <w:jc w:val="center"/>
        <w:rPr>
          <w:rFonts w:ascii="Times New Roman" w:hAnsi="Times New Roman" w:cs="Times New Roman"/>
          <w:sz w:val="24"/>
          <w:szCs w:val="24"/>
        </w:rPr>
      </w:pPr>
      <w:r w:rsidRPr="002F08F2">
        <w:rPr>
          <w:rFonts w:ascii="Times New Roman" w:hAnsi="Times New Roman" w:cs="Times New Roman"/>
          <w:sz w:val="24"/>
          <w:szCs w:val="24"/>
        </w:rPr>
        <w:t xml:space="preserve">ул. Гоголя, 41, г. </w:t>
      </w:r>
      <w:r w:rsidRPr="002F08F2">
        <w:rPr>
          <w:rFonts w:ascii="Times New Roman" w:eastAsia="MS Mincho" w:hAnsi="Times New Roman" w:cs="Times New Roman"/>
          <w:sz w:val="24"/>
          <w:szCs w:val="24"/>
          <w:lang w:eastAsia="ru-RU"/>
        </w:rPr>
        <w:t>Владивосток</w:t>
      </w:r>
      <w:r w:rsidRPr="002F08F2">
        <w:rPr>
          <w:rFonts w:ascii="Times New Roman" w:hAnsi="Times New Roman" w:cs="Times New Roman"/>
          <w:sz w:val="24"/>
          <w:szCs w:val="24"/>
        </w:rPr>
        <w:t>, Приморский край, Россия, 690014</w:t>
      </w:r>
    </w:p>
    <w:p w14:paraId="369B25BB" w14:textId="77777777" w:rsidR="006A10F6" w:rsidRPr="002F08F2" w:rsidRDefault="006A10F6" w:rsidP="006A10F6">
      <w:pPr>
        <w:spacing w:after="0" w:line="240" w:lineRule="auto"/>
        <w:rPr>
          <w:rFonts w:ascii="Times New Roman" w:hAnsi="Times New Roman" w:cs="Times New Roman"/>
          <w:sz w:val="24"/>
          <w:szCs w:val="24"/>
        </w:rPr>
      </w:pPr>
    </w:p>
    <w:p w14:paraId="546B673E" w14:textId="77777777" w:rsidR="002F08F2" w:rsidRPr="00100B26" w:rsidRDefault="006A10F6" w:rsidP="00100B26">
      <w:pPr>
        <w:spacing w:after="0" w:line="240" w:lineRule="auto"/>
        <w:ind w:firstLine="708"/>
        <w:jc w:val="both"/>
        <w:rPr>
          <w:rFonts w:ascii="Times New Roman" w:hAnsi="Times New Roman" w:cs="Times New Roman"/>
          <w:i/>
          <w:sz w:val="24"/>
          <w:szCs w:val="24"/>
        </w:rPr>
      </w:pPr>
      <w:r w:rsidRPr="002F08F2">
        <w:rPr>
          <w:rFonts w:ascii="Times New Roman" w:hAnsi="Times New Roman" w:cs="Times New Roman"/>
          <w:i/>
          <w:sz w:val="24"/>
          <w:szCs w:val="24"/>
        </w:rPr>
        <w:t xml:space="preserve">В статье изложен аналитический обзор образовательного кредитования в России и других странах. Изучены основные этапы становления образовательного кредитования в России с 2000 года. Произведено сравнение систем образовательного кредитования в России, США, Норвегии и Китае по ряду показателей, сделан вывод о востребованности и целесообразности </w:t>
      </w:r>
      <w:r w:rsidRPr="002F08F2">
        <w:rPr>
          <w:rFonts w:ascii="Times New Roman" w:eastAsia="MS Mincho" w:hAnsi="Times New Roman" w:cs="Times New Roman"/>
          <w:i/>
          <w:sz w:val="24"/>
          <w:szCs w:val="24"/>
          <w:lang w:eastAsia="ru-RU"/>
        </w:rPr>
        <w:t>образовательного</w:t>
      </w:r>
      <w:r w:rsidRPr="002F08F2">
        <w:rPr>
          <w:rFonts w:ascii="Times New Roman" w:hAnsi="Times New Roman" w:cs="Times New Roman"/>
          <w:i/>
          <w:sz w:val="24"/>
          <w:szCs w:val="24"/>
        </w:rPr>
        <w:t xml:space="preserve"> креди</w:t>
      </w:r>
      <w:r w:rsidR="00234480" w:rsidRPr="002F08F2">
        <w:rPr>
          <w:rFonts w:ascii="Times New Roman" w:hAnsi="Times New Roman" w:cs="Times New Roman"/>
          <w:i/>
          <w:sz w:val="24"/>
          <w:szCs w:val="24"/>
        </w:rPr>
        <w:t>тования в Российской Федерации.</w:t>
      </w:r>
    </w:p>
    <w:p w14:paraId="54252280" w14:textId="77777777" w:rsidR="006A10F6" w:rsidRPr="002F08F2" w:rsidRDefault="006A10F6" w:rsidP="006A10F6">
      <w:pPr>
        <w:spacing w:after="0" w:line="240" w:lineRule="auto"/>
        <w:ind w:firstLine="708"/>
        <w:jc w:val="both"/>
        <w:rPr>
          <w:rFonts w:ascii="Times New Roman" w:hAnsi="Times New Roman" w:cs="Times New Roman"/>
          <w:i/>
          <w:sz w:val="24"/>
          <w:szCs w:val="24"/>
        </w:rPr>
      </w:pPr>
      <w:r w:rsidRPr="002F08F2">
        <w:rPr>
          <w:rFonts w:ascii="Times New Roman" w:hAnsi="Times New Roman" w:cs="Times New Roman"/>
          <w:b/>
          <w:i/>
          <w:sz w:val="24"/>
          <w:szCs w:val="24"/>
        </w:rPr>
        <w:t xml:space="preserve">Ключевые слова: </w:t>
      </w:r>
      <w:r w:rsidRPr="002F08F2">
        <w:rPr>
          <w:rFonts w:ascii="Times New Roman" w:hAnsi="Times New Roman" w:cs="Times New Roman"/>
          <w:i/>
          <w:sz w:val="24"/>
          <w:szCs w:val="24"/>
        </w:rPr>
        <w:t xml:space="preserve">образовательный кредит, кредитование, высшее образование, </w:t>
      </w:r>
      <w:r w:rsidRPr="002F08F2">
        <w:rPr>
          <w:rFonts w:ascii="Times New Roman" w:eastAsia="MS Mincho" w:hAnsi="Times New Roman" w:cs="Times New Roman"/>
          <w:i/>
          <w:sz w:val="24"/>
          <w:szCs w:val="24"/>
          <w:lang w:eastAsia="ru-RU"/>
        </w:rPr>
        <w:t>экономика</w:t>
      </w:r>
      <w:r w:rsidRPr="002F08F2">
        <w:rPr>
          <w:rFonts w:ascii="Times New Roman" w:hAnsi="Times New Roman" w:cs="Times New Roman"/>
          <w:i/>
          <w:sz w:val="24"/>
          <w:szCs w:val="24"/>
        </w:rPr>
        <w:t xml:space="preserve">, </w:t>
      </w:r>
      <w:r w:rsidRPr="002F08F2">
        <w:rPr>
          <w:rFonts w:ascii="Times New Roman" w:eastAsia="MS Mincho" w:hAnsi="Times New Roman" w:cs="Times New Roman"/>
          <w:i/>
          <w:sz w:val="24"/>
          <w:szCs w:val="24"/>
          <w:lang w:eastAsia="ru-RU"/>
        </w:rPr>
        <w:t>банк</w:t>
      </w:r>
    </w:p>
    <w:p w14:paraId="3DACA320" w14:textId="77777777" w:rsidR="006A10F6" w:rsidRPr="002F08F2" w:rsidRDefault="006A10F6" w:rsidP="006A10F6">
      <w:pPr>
        <w:spacing w:after="0" w:line="240" w:lineRule="auto"/>
        <w:rPr>
          <w:rFonts w:ascii="Times New Roman" w:hAnsi="Times New Roman" w:cs="Times New Roman"/>
          <w:sz w:val="24"/>
          <w:szCs w:val="24"/>
        </w:rPr>
      </w:pPr>
    </w:p>
    <w:p w14:paraId="08BCCE85" w14:textId="77777777" w:rsidR="006A10F6" w:rsidRPr="002F08F2" w:rsidRDefault="00234480" w:rsidP="006A10F6">
      <w:pPr>
        <w:tabs>
          <w:tab w:val="left" w:pos="993"/>
        </w:tabs>
        <w:spacing w:after="0" w:line="240" w:lineRule="auto"/>
        <w:ind w:right="-1" w:firstLine="709"/>
        <w:jc w:val="center"/>
        <w:rPr>
          <w:rFonts w:ascii="Times New Roman" w:hAnsi="Times New Roman" w:cs="Times New Roman"/>
          <w:b/>
          <w:sz w:val="24"/>
          <w:szCs w:val="24"/>
          <w:lang w:val="en-US"/>
        </w:rPr>
      </w:pPr>
      <w:r w:rsidRPr="002F08F2">
        <w:rPr>
          <w:rFonts w:ascii="Times New Roman" w:hAnsi="Times New Roman" w:cs="Times New Roman"/>
          <w:b/>
          <w:sz w:val="24"/>
          <w:szCs w:val="24"/>
          <w:lang w:val="en-US"/>
        </w:rPr>
        <w:t xml:space="preserve">COMPARATIVE </w:t>
      </w:r>
      <w:r w:rsidRPr="002F08F2">
        <w:rPr>
          <w:rFonts w:ascii="Times New Roman" w:eastAsia="MS Mincho" w:hAnsi="Times New Roman" w:cs="Times New Roman"/>
          <w:b/>
          <w:sz w:val="24"/>
          <w:szCs w:val="24"/>
          <w:lang w:val="en-US" w:eastAsia="ru-RU"/>
        </w:rPr>
        <w:t>ANALYSIS</w:t>
      </w:r>
      <w:r w:rsidRPr="002F08F2">
        <w:rPr>
          <w:rFonts w:ascii="Times New Roman" w:hAnsi="Times New Roman" w:cs="Times New Roman"/>
          <w:b/>
          <w:sz w:val="24"/>
          <w:szCs w:val="24"/>
          <w:lang w:val="en-US"/>
        </w:rPr>
        <w:t xml:space="preserve"> OF EDUCATIONAL LOANS IN RUSSIA AND ABROAD</w:t>
      </w:r>
    </w:p>
    <w:p w14:paraId="53DBAC7D" w14:textId="77777777" w:rsidR="00234480" w:rsidRPr="002F08F2" w:rsidRDefault="00234480" w:rsidP="006A10F6">
      <w:pPr>
        <w:tabs>
          <w:tab w:val="left" w:pos="993"/>
        </w:tabs>
        <w:spacing w:after="0" w:line="240" w:lineRule="auto"/>
        <w:ind w:right="-1" w:firstLine="709"/>
        <w:jc w:val="center"/>
        <w:rPr>
          <w:rFonts w:ascii="Times New Roman" w:eastAsia="MS Mincho" w:hAnsi="Times New Roman" w:cs="Times New Roman"/>
          <w:sz w:val="24"/>
          <w:szCs w:val="24"/>
          <w:lang w:val="en-US" w:eastAsia="ru-RU"/>
        </w:rPr>
      </w:pPr>
    </w:p>
    <w:p w14:paraId="0967EC91" w14:textId="77777777" w:rsidR="006A10F6" w:rsidRPr="002F08F2" w:rsidRDefault="006A10F6" w:rsidP="00100B26">
      <w:pPr>
        <w:tabs>
          <w:tab w:val="left" w:pos="993"/>
        </w:tabs>
        <w:spacing w:after="0" w:line="240" w:lineRule="auto"/>
        <w:ind w:right="-1" w:firstLine="709"/>
        <w:jc w:val="center"/>
        <w:rPr>
          <w:rFonts w:ascii="Times New Roman" w:eastAsia="MS Mincho" w:hAnsi="Times New Roman" w:cs="Times New Roman"/>
          <w:b/>
          <w:sz w:val="24"/>
          <w:szCs w:val="24"/>
          <w:lang w:val="en-US" w:eastAsia="ru-RU"/>
        </w:rPr>
      </w:pPr>
      <w:r w:rsidRPr="002F08F2">
        <w:rPr>
          <w:rFonts w:ascii="Times New Roman" w:eastAsia="MS Mincho" w:hAnsi="Times New Roman" w:cs="Times New Roman"/>
          <w:b/>
          <w:sz w:val="24"/>
          <w:szCs w:val="24"/>
          <w:lang w:val="en-US" w:eastAsia="ru-RU"/>
        </w:rPr>
        <w:t>Zhupleva Svetlana Sergeevna,</w:t>
      </w:r>
    </w:p>
    <w:p w14:paraId="5F052322" w14:textId="77777777" w:rsidR="006A10F6" w:rsidRPr="002F08F2" w:rsidRDefault="006A10F6" w:rsidP="00100B26">
      <w:pPr>
        <w:tabs>
          <w:tab w:val="left" w:pos="993"/>
        </w:tabs>
        <w:spacing w:after="0" w:line="240" w:lineRule="auto"/>
        <w:ind w:right="-1" w:firstLine="709"/>
        <w:jc w:val="center"/>
        <w:rPr>
          <w:rFonts w:ascii="Times New Roman" w:eastAsia="MS Mincho" w:hAnsi="Times New Roman" w:cs="Times New Roman"/>
          <w:sz w:val="24"/>
          <w:szCs w:val="24"/>
          <w:lang w:val="en-US" w:eastAsia="ru-RU"/>
        </w:rPr>
      </w:pPr>
      <w:r w:rsidRPr="002F08F2">
        <w:rPr>
          <w:rFonts w:ascii="Times New Roman" w:eastAsia="MS Mincho" w:hAnsi="Times New Roman" w:cs="Times New Roman"/>
          <w:sz w:val="24"/>
          <w:szCs w:val="24"/>
          <w:lang w:val="en-US" w:eastAsia="ru-RU"/>
        </w:rPr>
        <w:t>bachelor 2 form, department of Economics</w:t>
      </w:r>
    </w:p>
    <w:p w14:paraId="6D7C7031" w14:textId="77777777" w:rsidR="00596BA1" w:rsidRPr="002F08F2" w:rsidRDefault="006A10F6" w:rsidP="00100B26">
      <w:pPr>
        <w:tabs>
          <w:tab w:val="left" w:pos="993"/>
        </w:tabs>
        <w:spacing w:after="0" w:line="240" w:lineRule="auto"/>
        <w:ind w:right="-1" w:firstLine="709"/>
        <w:jc w:val="center"/>
        <w:rPr>
          <w:rFonts w:ascii="Times New Roman" w:eastAsia="MS Mincho" w:hAnsi="Times New Roman" w:cs="Times New Roman"/>
          <w:b/>
          <w:sz w:val="24"/>
          <w:szCs w:val="24"/>
          <w:lang w:val="en-US" w:eastAsia="ru-RU"/>
        </w:rPr>
      </w:pPr>
      <w:r w:rsidRPr="002F08F2">
        <w:rPr>
          <w:rFonts w:ascii="Times New Roman" w:eastAsia="MS Mincho" w:hAnsi="Times New Roman" w:cs="Times New Roman"/>
          <w:b/>
          <w:sz w:val="24"/>
          <w:szCs w:val="24"/>
          <w:lang w:val="en-US" w:eastAsia="ru-RU"/>
        </w:rPr>
        <w:t>Levchenko Tatiana Alexandrovna</w:t>
      </w:r>
    </w:p>
    <w:p w14:paraId="5B19CFF9" w14:textId="77777777" w:rsidR="006A10F6" w:rsidRPr="002F08F2" w:rsidRDefault="00596BA1" w:rsidP="00100B26">
      <w:pPr>
        <w:tabs>
          <w:tab w:val="left" w:pos="993"/>
        </w:tabs>
        <w:spacing w:after="0" w:line="240" w:lineRule="auto"/>
        <w:ind w:right="-1" w:firstLine="709"/>
        <w:jc w:val="center"/>
        <w:rPr>
          <w:rFonts w:ascii="Times New Roman" w:eastAsia="MS Mincho" w:hAnsi="Times New Roman" w:cs="Times New Roman"/>
          <w:sz w:val="24"/>
          <w:szCs w:val="24"/>
          <w:lang w:val="en-US" w:eastAsia="ru-RU"/>
        </w:rPr>
      </w:pPr>
      <w:r w:rsidRPr="002F08F2">
        <w:rPr>
          <w:rFonts w:ascii="Times New Roman" w:eastAsia="MS Mincho" w:hAnsi="Times New Roman" w:cs="Times New Roman"/>
          <w:sz w:val="24"/>
          <w:szCs w:val="24"/>
          <w:lang w:eastAsia="ru-RU"/>
        </w:rPr>
        <w:t>с</w:t>
      </w:r>
      <w:r w:rsidRPr="002F08F2">
        <w:rPr>
          <w:rFonts w:ascii="Times New Roman" w:eastAsia="MS Mincho" w:hAnsi="Times New Roman" w:cs="Times New Roman"/>
          <w:sz w:val="24"/>
          <w:szCs w:val="24"/>
          <w:lang w:val="en-US" w:eastAsia="ru-RU"/>
        </w:rPr>
        <w:t xml:space="preserve">o-author, </w:t>
      </w:r>
      <w:r w:rsidR="006A10F6" w:rsidRPr="002F08F2">
        <w:rPr>
          <w:rFonts w:ascii="Times New Roman" w:eastAsia="MS Mincho" w:hAnsi="Times New Roman" w:cs="Times New Roman"/>
          <w:sz w:val="24"/>
          <w:szCs w:val="24"/>
          <w:lang w:val="en-US" w:eastAsia="ru-RU"/>
        </w:rPr>
        <w:t>docent of Economics</w:t>
      </w:r>
    </w:p>
    <w:p w14:paraId="6A1B5C7B" w14:textId="77777777" w:rsidR="00234480" w:rsidRPr="002F08F2" w:rsidRDefault="00234480" w:rsidP="006A10F6">
      <w:pPr>
        <w:tabs>
          <w:tab w:val="left" w:pos="993"/>
        </w:tabs>
        <w:spacing w:after="0" w:line="240" w:lineRule="auto"/>
        <w:ind w:right="-1" w:firstLine="709"/>
        <w:jc w:val="center"/>
        <w:rPr>
          <w:rFonts w:ascii="Times New Roman" w:eastAsia="MS Mincho" w:hAnsi="Times New Roman" w:cs="Times New Roman"/>
          <w:i/>
          <w:sz w:val="24"/>
          <w:szCs w:val="24"/>
          <w:lang w:val="en-US" w:eastAsia="ru-RU"/>
        </w:rPr>
      </w:pPr>
    </w:p>
    <w:p w14:paraId="3993336E" w14:textId="77777777" w:rsidR="006A10F6" w:rsidRPr="002F08F2" w:rsidRDefault="006A10F6" w:rsidP="006A10F6">
      <w:pPr>
        <w:tabs>
          <w:tab w:val="left" w:pos="993"/>
        </w:tabs>
        <w:spacing w:after="0" w:line="240" w:lineRule="auto"/>
        <w:ind w:right="-1" w:firstLine="709"/>
        <w:jc w:val="center"/>
        <w:rPr>
          <w:rFonts w:ascii="Times New Roman" w:eastAsia="MS Mincho" w:hAnsi="Times New Roman" w:cs="Times New Roman"/>
          <w:i/>
          <w:sz w:val="24"/>
          <w:szCs w:val="24"/>
          <w:lang w:val="en-US" w:eastAsia="ru-RU"/>
        </w:rPr>
      </w:pPr>
      <w:r w:rsidRPr="002F08F2">
        <w:rPr>
          <w:rFonts w:ascii="Times New Roman" w:eastAsia="MS Mincho" w:hAnsi="Times New Roman" w:cs="Times New Roman"/>
          <w:i/>
          <w:sz w:val="24"/>
          <w:szCs w:val="24"/>
          <w:lang w:val="en-US" w:eastAsia="ru-RU"/>
        </w:rPr>
        <w:t>Vladivostok State University of Economics and Service</w:t>
      </w:r>
    </w:p>
    <w:p w14:paraId="784CBCAB" w14:textId="77777777" w:rsidR="006A10F6" w:rsidRPr="002F08F2" w:rsidRDefault="006A10F6" w:rsidP="006A10F6">
      <w:pPr>
        <w:tabs>
          <w:tab w:val="left" w:pos="993"/>
        </w:tabs>
        <w:spacing w:after="0" w:line="240" w:lineRule="auto"/>
        <w:ind w:right="-1" w:firstLine="709"/>
        <w:jc w:val="center"/>
        <w:rPr>
          <w:rFonts w:ascii="Times New Roman" w:eastAsia="MS Mincho" w:hAnsi="Times New Roman" w:cs="Times New Roman"/>
          <w:i/>
          <w:sz w:val="24"/>
          <w:szCs w:val="24"/>
          <w:lang w:val="en-US" w:eastAsia="ru-RU"/>
        </w:rPr>
      </w:pPr>
      <w:r w:rsidRPr="002F08F2">
        <w:rPr>
          <w:rFonts w:ascii="Times New Roman" w:eastAsia="MS Mincho" w:hAnsi="Times New Roman" w:cs="Times New Roman"/>
          <w:i/>
          <w:sz w:val="24"/>
          <w:szCs w:val="24"/>
          <w:lang w:val="en-US" w:eastAsia="ru-RU"/>
        </w:rPr>
        <w:t>Vladivostok Russia</w:t>
      </w:r>
    </w:p>
    <w:p w14:paraId="4D35CF86" w14:textId="77777777" w:rsidR="00234480" w:rsidRPr="002F08F2" w:rsidRDefault="00234480" w:rsidP="006A10F6">
      <w:pPr>
        <w:tabs>
          <w:tab w:val="left" w:pos="993"/>
        </w:tabs>
        <w:spacing w:after="0" w:line="240" w:lineRule="auto"/>
        <w:ind w:right="-1"/>
        <w:jc w:val="center"/>
        <w:rPr>
          <w:rFonts w:ascii="Times New Roman" w:hAnsi="Times New Roman" w:cs="Times New Roman"/>
          <w:sz w:val="24"/>
          <w:szCs w:val="24"/>
          <w:lang w:val="en-US"/>
        </w:rPr>
      </w:pPr>
    </w:p>
    <w:p w14:paraId="37160C09" w14:textId="77777777" w:rsidR="006A10F6" w:rsidRPr="002F08F2" w:rsidRDefault="006A10F6" w:rsidP="00100B26">
      <w:pPr>
        <w:tabs>
          <w:tab w:val="left" w:pos="993"/>
        </w:tabs>
        <w:spacing w:after="0" w:line="240" w:lineRule="auto"/>
        <w:ind w:right="-1"/>
        <w:jc w:val="center"/>
        <w:rPr>
          <w:rFonts w:ascii="Times New Roman" w:hAnsi="Times New Roman" w:cs="Times New Roman"/>
          <w:sz w:val="24"/>
          <w:szCs w:val="24"/>
          <w:lang w:val="en-US"/>
        </w:rPr>
      </w:pPr>
      <w:r w:rsidRPr="002F08F2">
        <w:rPr>
          <w:rFonts w:ascii="Times New Roman" w:hAnsi="Times New Roman" w:cs="Times New Roman"/>
          <w:sz w:val="24"/>
          <w:szCs w:val="24"/>
          <w:lang w:val="en-US"/>
        </w:rPr>
        <w:t xml:space="preserve">E-mail: </w:t>
      </w:r>
      <w:r w:rsidRPr="002F08F2">
        <w:rPr>
          <w:rFonts w:ascii="Times New Roman" w:eastAsia="MS Mincho" w:hAnsi="Times New Roman" w:cs="Times New Roman"/>
          <w:sz w:val="24"/>
          <w:szCs w:val="24"/>
          <w:lang w:val="en-US" w:eastAsia="ru-RU"/>
        </w:rPr>
        <w:t>szhupleva</w:t>
      </w:r>
      <w:r w:rsidRPr="002F08F2">
        <w:rPr>
          <w:rFonts w:ascii="Times New Roman" w:hAnsi="Times New Roman" w:cs="Times New Roman"/>
          <w:sz w:val="24"/>
          <w:szCs w:val="24"/>
          <w:lang w:val="en-US"/>
        </w:rPr>
        <w:t>@gmail.com num.: +7914 685 79 99</w:t>
      </w:r>
    </w:p>
    <w:p w14:paraId="0B09DA9F" w14:textId="77777777" w:rsidR="006A10F6" w:rsidRPr="002F08F2" w:rsidRDefault="006A10F6" w:rsidP="006A10F6">
      <w:pPr>
        <w:spacing w:after="0" w:line="240" w:lineRule="auto"/>
        <w:rPr>
          <w:rFonts w:ascii="Times New Roman" w:hAnsi="Times New Roman" w:cs="Times New Roman"/>
          <w:sz w:val="24"/>
          <w:szCs w:val="24"/>
          <w:lang w:val="en-US"/>
        </w:rPr>
      </w:pPr>
    </w:p>
    <w:p w14:paraId="0D51A876" w14:textId="77777777" w:rsidR="002F08F2" w:rsidRPr="00100B26" w:rsidRDefault="006A10F6" w:rsidP="00100B26">
      <w:pPr>
        <w:spacing w:after="0" w:line="240" w:lineRule="auto"/>
        <w:ind w:firstLine="708"/>
        <w:jc w:val="both"/>
        <w:rPr>
          <w:rFonts w:ascii="Times New Roman" w:hAnsi="Times New Roman" w:cs="Times New Roman"/>
          <w:i/>
          <w:sz w:val="24"/>
          <w:szCs w:val="24"/>
          <w:lang w:val="en-US"/>
        </w:rPr>
      </w:pPr>
      <w:r w:rsidRPr="002F08F2">
        <w:rPr>
          <w:rFonts w:ascii="Times New Roman" w:hAnsi="Times New Roman" w:cs="Times New Roman"/>
          <w:i/>
          <w:sz w:val="24"/>
          <w:szCs w:val="24"/>
          <w:lang w:val="en-US"/>
        </w:rPr>
        <w:t xml:space="preserve">This article introduce analytical review of educational lending in Russia and abroad. Crucial stages of </w:t>
      </w:r>
      <w:r w:rsidRPr="002F08F2">
        <w:rPr>
          <w:rFonts w:ascii="Times New Roman" w:eastAsia="MS Mincho" w:hAnsi="Times New Roman" w:cs="Times New Roman"/>
          <w:i/>
          <w:sz w:val="24"/>
          <w:szCs w:val="24"/>
          <w:lang w:val="en-US" w:eastAsia="ru-RU"/>
        </w:rPr>
        <w:t>the</w:t>
      </w:r>
      <w:r w:rsidRPr="002F08F2">
        <w:rPr>
          <w:rFonts w:ascii="Times New Roman" w:hAnsi="Times New Roman" w:cs="Times New Roman"/>
          <w:i/>
          <w:sz w:val="24"/>
          <w:szCs w:val="24"/>
          <w:lang w:val="en-US"/>
        </w:rPr>
        <w:t xml:space="preserve"> </w:t>
      </w:r>
      <w:r w:rsidRPr="002F08F2">
        <w:rPr>
          <w:rFonts w:ascii="Times New Roman" w:eastAsia="MS Mincho" w:hAnsi="Times New Roman" w:cs="Times New Roman"/>
          <w:i/>
          <w:sz w:val="24"/>
          <w:szCs w:val="24"/>
          <w:lang w:val="en-US" w:eastAsia="ru-RU"/>
        </w:rPr>
        <w:t>formation</w:t>
      </w:r>
      <w:r w:rsidRPr="002F08F2">
        <w:rPr>
          <w:rFonts w:ascii="Times New Roman" w:hAnsi="Times New Roman" w:cs="Times New Roman"/>
          <w:i/>
          <w:sz w:val="24"/>
          <w:szCs w:val="24"/>
          <w:lang w:val="en-US"/>
        </w:rPr>
        <w:t xml:space="preserve"> of educational lending in Russia since 2000 have been studied. A comparison of education loan systems in Russia, USA, Norway and China was made based on a number of indicators, a conclusion about relevance and necessity of educational lending in Russia is </w:t>
      </w:r>
      <w:r w:rsidRPr="002F08F2">
        <w:rPr>
          <w:rFonts w:ascii="Times New Roman" w:eastAsia="MS Mincho" w:hAnsi="Times New Roman" w:cs="Times New Roman"/>
          <w:i/>
          <w:sz w:val="24"/>
          <w:szCs w:val="24"/>
          <w:lang w:val="en-US" w:eastAsia="ru-RU"/>
        </w:rPr>
        <w:t>made</w:t>
      </w:r>
      <w:r w:rsidR="00234480" w:rsidRPr="002F08F2">
        <w:rPr>
          <w:rFonts w:ascii="Times New Roman" w:hAnsi="Times New Roman" w:cs="Times New Roman"/>
          <w:i/>
          <w:sz w:val="24"/>
          <w:szCs w:val="24"/>
          <w:lang w:val="en-US"/>
        </w:rPr>
        <w:t>.</w:t>
      </w:r>
    </w:p>
    <w:p w14:paraId="25AB3081" w14:textId="77777777" w:rsidR="006A10F6" w:rsidRPr="002F08F2" w:rsidRDefault="006A10F6" w:rsidP="00234480">
      <w:pPr>
        <w:spacing w:after="0" w:line="240" w:lineRule="auto"/>
        <w:ind w:firstLine="709"/>
        <w:rPr>
          <w:rFonts w:ascii="Times New Roman" w:hAnsi="Times New Roman" w:cs="Times New Roman"/>
          <w:b/>
          <w:i/>
          <w:sz w:val="24"/>
          <w:szCs w:val="24"/>
          <w:lang w:val="en-US"/>
        </w:rPr>
      </w:pPr>
      <w:r w:rsidRPr="002F08F2">
        <w:rPr>
          <w:rFonts w:ascii="Times New Roman" w:hAnsi="Times New Roman" w:cs="Times New Roman"/>
          <w:b/>
          <w:i/>
          <w:sz w:val="24"/>
          <w:szCs w:val="24"/>
          <w:lang w:val="en-US"/>
        </w:rPr>
        <w:t xml:space="preserve">Key words: </w:t>
      </w:r>
      <w:r w:rsidRPr="002F08F2">
        <w:rPr>
          <w:rFonts w:ascii="Times New Roman" w:eastAsia="MS Mincho" w:hAnsi="Times New Roman" w:cs="Times New Roman"/>
          <w:i/>
          <w:sz w:val="24"/>
          <w:szCs w:val="24"/>
          <w:lang w:val="en-US" w:eastAsia="ru-RU"/>
        </w:rPr>
        <w:t>educational</w:t>
      </w:r>
      <w:r w:rsidRPr="002F08F2">
        <w:rPr>
          <w:rFonts w:ascii="Times New Roman" w:hAnsi="Times New Roman" w:cs="Times New Roman"/>
          <w:i/>
          <w:sz w:val="24"/>
          <w:szCs w:val="24"/>
          <w:lang w:val="en-US"/>
        </w:rPr>
        <w:t xml:space="preserve"> loan, lending, higher education, economics, bank</w:t>
      </w:r>
    </w:p>
    <w:p w14:paraId="18CEC12B" w14:textId="77777777" w:rsidR="006A10F6" w:rsidRPr="002F08F2" w:rsidRDefault="006A10F6" w:rsidP="006A10F6">
      <w:pPr>
        <w:spacing w:after="0" w:line="240" w:lineRule="auto"/>
        <w:rPr>
          <w:rFonts w:ascii="Times New Roman" w:hAnsi="Times New Roman" w:cs="Times New Roman"/>
          <w:i/>
          <w:sz w:val="24"/>
          <w:szCs w:val="24"/>
          <w:lang w:val="en-US"/>
        </w:rPr>
      </w:pPr>
    </w:p>
    <w:p w14:paraId="4ED88286"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С каждым годом в Российской Федерации спрос на услуги высшего образования растет. Многие годы высшее образование в России было бесплатным, но в настоящее время количество бюджетных мест в вузах сокращается, снижается возможность получения образования за счет бюджетного финансирования. Основной альтернативой обучения на бюджетных местах становится платная основа обучения. На сегодняшний день на коммерческой основе в России обучается более 50% студентов, но использование платной формы обучения ограничивается необходимостью внесения платы в течение самого периода обучения. Таким образом, необходимо применять альтернативные источники финансирования для вузов. Данная проблема может быть решена с помощью образовательного кредитования. Для правильного правового регулирования данного вида кредитования на законодательном уровне необходимо изучить международный опыт в данной области, так как во многих станах этот вид кредитования успешно развивается. [2,6,9]</w:t>
      </w:r>
    </w:p>
    <w:p w14:paraId="10E000F3"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Целью данной работы является изучение понятия образовательного кредитования, его особенностей, а также рассмотрение и анализ российского и зарубежного опыта в этом </w:t>
      </w:r>
      <w:r w:rsidRPr="002F08F2">
        <w:rPr>
          <w:rFonts w:ascii="Times New Roman" w:eastAsia="MS Mincho" w:hAnsi="Times New Roman" w:cs="Times New Roman"/>
          <w:sz w:val="24"/>
          <w:szCs w:val="24"/>
          <w:lang w:eastAsia="ru-RU"/>
        </w:rPr>
        <w:t>вопросе</w:t>
      </w:r>
      <w:r w:rsidRPr="002F08F2">
        <w:rPr>
          <w:rFonts w:ascii="Times New Roman" w:hAnsi="Times New Roman" w:cs="Times New Roman"/>
          <w:sz w:val="24"/>
          <w:szCs w:val="24"/>
        </w:rPr>
        <w:t>.</w:t>
      </w:r>
    </w:p>
    <w:p w14:paraId="62A045AD"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Образовательный кредит – кредит на оплату образования, то есть он носит целевой характер: денежные средства перечисляются непосредственно в организацию, оказывающую образовательные услуги, а не выдаются заемщику на руки. Образовательные кредиты выдаются самому студенту, а не его родителям, к нему не могут быть применены требования об обеспечении такого кредита. Следующая важная особенность заключается в отсутствии у обучающегося студента стабильного постоянного заработка, то есть и возможности погашать кредит во время обучения. Это значит, что срок образовательного кредита должен превышать срок обучения, а также студенту должен предоставляться льготный период, равный сроку обучения, во время которого будут отсутствовать требования выплат. Еще одна особенность такого кредитования заключается в минимизации процентной ставки настолько, насколько это позволяет нынешнее экономическое состояние, чтобы максимально снизить сумму </w:t>
      </w:r>
      <w:r w:rsidRPr="002F08F2">
        <w:rPr>
          <w:rFonts w:ascii="Times New Roman" w:eastAsia="MS Mincho" w:hAnsi="Times New Roman" w:cs="Times New Roman"/>
          <w:sz w:val="24"/>
          <w:szCs w:val="24"/>
          <w:lang w:eastAsia="ru-RU"/>
        </w:rPr>
        <w:t>выплат</w:t>
      </w:r>
      <w:r w:rsidRPr="002F08F2">
        <w:rPr>
          <w:rFonts w:ascii="Times New Roman" w:hAnsi="Times New Roman" w:cs="Times New Roman"/>
          <w:sz w:val="24"/>
          <w:szCs w:val="24"/>
        </w:rPr>
        <w:t xml:space="preserve"> для студента.</w:t>
      </w:r>
    </w:p>
    <w:p w14:paraId="424A5507"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Условия образовательного кредитования менялись в течение 2000-2013 гг. Всего в истории российского образовательного кредитования можно выделить 5 этапов. В июле 2000 г. стартовал первый эксперимент по выдаче кредита на образование. Сбербанк разработал программу кредитования физических лиц для оплаты обучения. Кредит выдавался под 19% годовых на срок не более 10 лет, сумма составляла не более 70% стоимости обучения, поручительство являлось обязательным. В 2004 г. в Российской Федерации проводился второй эксперимент по выдаче образовательных кредитов. Российская экономическая академия им. Плеханова и компания «Крейн» представили новую концепцию под названием «Кредо». Образовательный кредит выдавался на сумму не более 25 тысяч долларов под 10% годовых в валюте без поручителей и залога. Программа распространялась на 18 высших учебных заведений Москвы и Санкт-Петербурга. Одним из условий кредитования было </w:t>
      </w:r>
      <w:r w:rsidRPr="002F08F2">
        <w:rPr>
          <w:rFonts w:ascii="Times New Roman" w:hAnsi="Times New Roman" w:cs="Times New Roman"/>
          <w:sz w:val="24"/>
          <w:szCs w:val="24"/>
        </w:rPr>
        <w:lastRenderedPageBreak/>
        <w:t xml:space="preserve">обязательное очное обучение студента. Срок кредитования был равен сроку обучения. С 2008 по 2009 гг. компанией «Крэйн» и банком «Союз» выдавались кредиты под 10% годовых в долларах США на срок до 10 лет, в эксперименте участвовал 21 вуз, условия выдачи кредита и возврата долга по нему определялись самим студентом. Льготный период – срок обучения. В августе 2009 г. выдача новых кредитов была приостановлена. В 2009-2013 гг. был запущен четвертый эксперимент по образовательному кредитованию. Студент не должен был предоставлять обеспечение по кредиту – залог или поручительство. Кредит предоставлялся студентам, которые имели хорошую успеваемость, учились на востребованных специальностях. Банками-кредиторами по данному кредиту являлись АО «СОЮЗ» и ПАО «Сбербанк России». Кредит выдавался по ставке, не превышающей одну четвертую ставки рефинансирования плюс 3 процентных пункта, на срок, равный сроку обучения, увеличенному на 10 лет. Сумма кредита равна сумме обучения, для участия в эксперименте было отобрано 157 вузов. Наработанный опыт освоения этой программы образовательного кредитования лег в основу постановления Правительства РФ от 18.11.2013 </w:t>
      </w:r>
      <w:r w:rsidRPr="002F08F2">
        <w:rPr>
          <w:rFonts w:ascii="Times New Roman" w:hAnsi="Times New Roman" w:cs="Times New Roman"/>
          <w:bCs/>
          <w:sz w:val="24"/>
          <w:szCs w:val="24"/>
        </w:rPr>
        <w:t>№</w:t>
      </w:r>
      <w:r w:rsidRPr="002F08F2">
        <w:rPr>
          <w:rFonts w:ascii="Times New Roman" w:hAnsi="Times New Roman" w:cs="Times New Roman"/>
          <w:sz w:val="24"/>
          <w:szCs w:val="24"/>
        </w:rPr>
        <w:t xml:space="preserve"> 1026 «Об утверждении Правил предоставления государственной поддержки образовательного кредитования». В данном постановлении Правительства РФ описан порядок и условия выдачи кредитов, а также описан порядок предоставления банкам субсидий из федерального бюджета на возмещение части затрат. Согласно постановлению, срок кредита равен сроку обучения, увеличенному на 10 лет, при этом предоставляется льготный период по уплате процентов в течение 2-х лет. Сумма кредита может достигать 100% стоимости обучения. Поручительство и страхование не требуются. Максимальная процентная ставка устанавливается в размере одной четвертой ставки рефинансирования ЦБ РФ, </w:t>
      </w:r>
      <w:r w:rsidRPr="002F08F2">
        <w:rPr>
          <w:rFonts w:ascii="Times New Roman" w:eastAsia="MS Mincho" w:hAnsi="Times New Roman" w:cs="Times New Roman"/>
          <w:sz w:val="24"/>
          <w:szCs w:val="24"/>
          <w:lang w:eastAsia="ru-RU"/>
        </w:rPr>
        <w:t>увеличенной</w:t>
      </w:r>
      <w:r w:rsidRPr="002F08F2">
        <w:rPr>
          <w:rFonts w:ascii="Times New Roman" w:hAnsi="Times New Roman" w:cs="Times New Roman"/>
          <w:sz w:val="24"/>
          <w:szCs w:val="24"/>
        </w:rPr>
        <w:t xml:space="preserve"> на 5 процентных пунктов. [4,6,7,9]</w:t>
      </w:r>
    </w:p>
    <w:p w14:paraId="318654A7"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Что касается международного опыта образовательного кредитования, для анализа были выбраны 3 страны: США, как развитая страна с наиболее продвинутой системой образовательного кредитования, Китай, как развивающаяся страна с плановой экономикой и Норвегия, как страна, занимающая лидирующие позиции в мире по уровню образования. Для сравнения системы образовательного кредитования были выбраны такие показатели, как направление использования кредитных средств, кредитор, заемщик, процентная ставка, срок кредита, востребованность кредита, определяемая как отношение количества студентов, пользующихся услугами образовательного кредитования к общему числу студентов, выраженное в </w:t>
      </w:r>
      <w:r w:rsidRPr="002F08F2">
        <w:rPr>
          <w:rFonts w:ascii="Times New Roman" w:eastAsia="MS Mincho" w:hAnsi="Times New Roman" w:cs="Times New Roman"/>
          <w:sz w:val="24"/>
          <w:szCs w:val="24"/>
          <w:lang w:eastAsia="ru-RU"/>
        </w:rPr>
        <w:t>процентах</w:t>
      </w:r>
      <w:r w:rsidRPr="002F08F2">
        <w:rPr>
          <w:rFonts w:ascii="Times New Roman" w:hAnsi="Times New Roman" w:cs="Times New Roman"/>
          <w:sz w:val="24"/>
          <w:szCs w:val="24"/>
        </w:rPr>
        <w:t>. Сравнительный анализ приведен в Таблице 1.</w:t>
      </w:r>
    </w:p>
    <w:p w14:paraId="577BEEBB"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Особенно эффективно система образовательного кредитования функционирует в Скандинавских странах. В этих странах существует государственная система бесплатного высшего образования, в Норвегии практически всё высшее образование бесплатно и система образовательных кредитов используется как дополнительная форма финансирования обучения. 42% студентов Норвегии пользуются услугами образовательного кредитования. Кредиты выдают только уполномоченные коммерческие банки. Процентная ставка за использование средств составляет в среднем 4%, срок погашения – от 15 до 20 лет. Стоит отметить тот факт, что в скандинавских странах все студенты имеют право на получение займов при одном важном условии – успешное прохождение обучения. При систематических отличных </w:t>
      </w:r>
      <w:r w:rsidRPr="002F08F2">
        <w:rPr>
          <w:rFonts w:ascii="Times New Roman" w:eastAsia="MS Mincho" w:hAnsi="Times New Roman" w:cs="Times New Roman"/>
          <w:sz w:val="24"/>
          <w:szCs w:val="24"/>
          <w:lang w:eastAsia="ru-RU"/>
        </w:rPr>
        <w:t>академических</w:t>
      </w:r>
      <w:r w:rsidRPr="002F08F2">
        <w:rPr>
          <w:rFonts w:ascii="Times New Roman" w:hAnsi="Times New Roman" w:cs="Times New Roman"/>
          <w:sz w:val="24"/>
          <w:szCs w:val="24"/>
        </w:rPr>
        <w:t xml:space="preserve"> показателях кредит может быть переквалифицирована в грант.[2,8]</w:t>
      </w:r>
    </w:p>
    <w:p w14:paraId="4D991981" w14:textId="77777777" w:rsidR="006A10F6" w:rsidRPr="002F08F2" w:rsidRDefault="006A10F6" w:rsidP="006A10F6">
      <w:pPr>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В Китае право выдавать образовательные кредиты получили 15 крупнейших банков, а ставка по кредитованию составляет 4% и является одной из самых низких в мире. Услугами образовательного кредитования в Китае пользуется около 12% студентов. Большинство китайских вузов обладает развитой инфраструктурой и имеет в распоряжении большие кампусы. Студентов селят в общежития и при необходимости устраивают на работу прямо в кампусе, обеспечивая им возможность для покрытия их текущих расходы. Такая система избавляет от необходимости нести крупные текущие расходы, поэтому кредиты выдаются только для </w:t>
      </w:r>
      <w:r w:rsidRPr="002F08F2">
        <w:rPr>
          <w:rFonts w:ascii="Times New Roman" w:eastAsia="MS Mincho" w:hAnsi="Times New Roman" w:cs="Times New Roman"/>
          <w:sz w:val="24"/>
          <w:szCs w:val="24"/>
          <w:lang w:eastAsia="ru-RU"/>
        </w:rPr>
        <w:t>оплаты</w:t>
      </w:r>
      <w:r w:rsidRPr="002F08F2">
        <w:rPr>
          <w:rFonts w:ascii="Times New Roman" w:hAnsi="Times New Roman" w:cs="Times New Roman"/>
          <w:sz w:val="24"/>
          <w:szCs w:val="24"/>
        </w:rPr>
        <w:t xml:space="preserve"> обучения.[2]</w:t>
      </w:r>
    </w:p>
    <w:p w14:paraId="27CD256A" w14:textId="77777777" w:rsidR="006A10F6" w:rsidRPr="002F08F2" w:rsidRDefault="006A10F6" w:rsidP="006A10F6">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F08F2">
        <w:rPr>
          <w:rFonts w:ascii="Times New Roman" w:hAnsi="Times New Roman" w:cs="Times New Roman"/>
          <w:sz w:val="24"/>
          <w:szCs w:val="24"/>
        </w:rPr>
        <w:t xml:space="preserve">В Соединенных Штатах кредиты на образование выдаются более 50 лет. Услугами образовательного кредитования пользуются более 50% американских студентов. Всего </w:t>
      </w:r>
      <w:r w:rsidRPr="002F08F2">
        <w:rPr>
          <w:rFonts w:ascii="Times New Roman" w:hAnsi="Times New Roman" w:cs="Times New Roman"/>
          <w:sz w:val="24"/>
          <w:szCs w:val="24"/>
        </w:rPr>
        <w:lastRenderedPageBreak/>
        <w:t xml:space="preserve">существует три основных вида образовательного кредита: федеральный, родительский и частный. Образовательные кредиты выдаются не только на оплату обучения, но и на проживание. Ставки по федеральным кредитам самый низкие – 4%, на родительские кредиты самые высокие – до 9%. Кредиты могут выдавать как банки, так и сами институты. Срок погашения </w:t>
      </w:r>
      <w:r w:rsidRPr="002F08F2">
        <w:rPr>
          <w:rFonts w:ascii="Times New Roman" w:eastAsia="MS Mincho" w:hAnsi="Times New Roman" w:cs="Times New Roman"/>
          <w:sz w:val="24"/>
          <w:szCs w:val="24"/>
          <w:lang w:eastAsia="ru-RU"/>
        </w:rPr>
        <w:t>составляет</w:t>
      </w:r>
      <w:r w:rsidRPr="002F08F2">
        <w:rPr>
          <w:rFonts w:ascii="Times New Roman" w:hAnsi="Times New Roman" w:cs="Times New Roman"/>
          <w:sz w:val="24"/>
          <w:szCs w:val="24"/>
        </w:rPr>
        <w:t xml:space="preserve"> от 10 до 25 лет в зависимости от вида кредита. [1,7]</w:t>
      </w:r>
    </w:p>
    <w:p w14:paraId="6306EF2E" w14:textId="77777777" w:rsidR="006A10F6" w:rsidRPr="002F08F2" w:rsidRDefault="006A10F6" w:rsidP="006A10F6">
      <w:pPr>
        <w:widowControl w:val="0"/>
        <w:autoSpaceDE w:val="0"/>
        <w:autoSpaceDN w:val="0"/>
        <w:adjustRightInd w:val="0"/>
        <w:spacing w:after="0" w:line="240" w:lineRule="auto"/>
        <w:jc w:val="right"/>
        <w:rPr>
          <w:rFonts w:ascii="Times New Roman" w:hAnsi="Times New Roman" w:cs="Times New Roman"/>
          <w:i/>
          <w:sz w:val="24"/>
          <w:szCs w:val="24"/>
        </w:rPr>
      </w:pPr>
      <w:r w:rsidRPr="002F08F2">
        <w:rPr>
          <w:rFonts w:ascii="Times New Roman" w:eastAsia="MS Mincho" w:hAnsi="Times New Roman" w:cs="Times New Roman"/>
          <w:i/>
          <w:sz w:val="24"/>
          <w:szCs w:val="24"/>
          <w:lang w:eastAsia="ru-RU"/>
        </w:rPr>
        <w:t>Таблица</w:t>
      </w:r>
      <w:r w:rsidRPr="002F08F2">
        <w:rPr>
          <w:rFonts w:ascii="Times New Roman" w:hAnsi="Times New Roman" w:cs="Times New Roman"/>
          <w:i/>
          <w:sz w:val="24"/>
          <w:szCs w:val="24"/>
        </w:rPr>
        <w:t xml:space="preserve"> 1</w:t>
      </w:r>
    </w:p>
    <w:p w14:paraId="30DB24B9" w14:textId="77777777" w:rsidR="006A10F6" w:rsidRPr="002F08F2" w:rsidRDefault="006A10F6" w:rsidP="006A10F6">
      <w:pPr>
        <w:spacing w:after="0" w:line="240" w:lineRule="auto"/>
        <w:jc w:val="center"/>
        <w:rPr>
          <w:rFonts w:ascii="Times New Roman" w:hAnsi="Times New Roman" w:cs="Times New Roman"/>
          <w:b/>
          <w:sz w:val="24"/>
          <w:szCs w:val="24"/>
        </w:rPr>
      </w:pPr>
      <w:r w:rsidRPr="002F08F2">
        <w:rPr>
          <w:rFonts w:ascii="Times New Roman" w:hAnsi="Times New Roman" w:cs="Times New Roman"/>
          <w:b/>
          <w:sz w:val="24"/>
          <w:szCs w:val="24"/>
        </w:rPr>
        <w:t xml:space="preserve">Сравнительный </w:t>
      </w:r>
      <w:r w:rsidRPr="002F08F2">
        <w:rPr>
          <w:rFonts w:ascii="Times New Roman" w:eastAsia="MS Mincho" w:hAnsi="Times New Roman" w:cs="Times New Roman"/>
          <w:b/>
          <w:sz w:val="24"/>
          <w:szCs w:val="24"/>
          <w:lang w:eastAsia="ru-RU"/>
        </w:rPr>
        <w:t>анализ</w:t>
      </w:r>
      <w:r w:rsidRPr="002F08F2">
        <w:rPr>
          <w:rFonts w:ascii="Times New Roman" w:hAnsi="Times New Roman" w:cs="Times New Roman"/>
          <w:b/>
          <w:sz w:val="24"/>
          <w:szCs w:val="24"/>
        </w:rPr>
        <w:t xml:space="preserve"> образовательного кредитования в России и других страна</w:t>
      </w:r>
      <w:r w:rsidR="00234480" w:rsidRPr="002F08F2">
        <w:rPr>
          <w:rFonts w:ascii="Times New Roman" w:hAnsi="Times New Roman" w:cs="Times New Roman"/>
          <w:b/>
          <w:sz w:val="24"/>
          <w:szCs w:val="24"/>
        </w:rPr>
        <w:t>х</w:t>
      </w:r>
    </w:p>
    <w:p w14:paraId="0ADD416C" w14:textId="77777777" w:rsidR="00234480" w:rsidRPr="002F08F2" w:rsidRDefault="00234480" w:rsidP="006A10F6">
      <w:pPr>
        <w:spacing w:after="0" w:line="240" w:lineRule="auto"/>
        <w:jc w:val="center"/>
        <w:rPr>
          <w:rFonts w:ascii="Times New Roman" w:hAnsi="Times New Roman" w:cs="Times New Roman"/>
          <w:b/>
          <w:sz w:val="24"/>
          <w:szCs w:val="24"/>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98"/>
        <w:gridCol w:w="1660"/>
        <w:gridCol w:w="2349"/>
        <w:gridCol w:w="2073"/>
      </w:tblGrid>
      <w:tr w:rsidR="006A10F6" w:rsidRPr="002F08F2" w14:paraId="44696F47" w14:textId="77777777" w:rsidTr="006A10F6">
        <w:tc>
          <w:tcPr>
            <w:tcW w:w="1763" w:type="dxa"/>
            <w:tcBorders>
              <w:top w:val="single" w:sz="4" w:space="0" w:color="auto"/>
              <w:left w:val="single" w:sz="4" w:space="0" w:color="auto"/>
              <w:bottom w:val="single" w:sz="4" w:space="0" w:color="auto"/>
              <w:right w:val="single" w:sz="4" w:space="0" w:color="auto"/>
            </w:tcBorders>
            <w:hideMark/>
          </w:tcPr>
          <w:p w14:paraId="615A697C"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Страна</w:t>
            </w:r>
          </w:p>
        </w:tc>
        <w:tc>
          <w:tcPr>
            <w:tcW w:w="1797" w:type="dxa"/>
            <w:tcBorders>
              <w:top w:val="single" w:sz="4" w:space="0" w:color="auto"/>
              <w:left w:val="single" w:sz="4" w:space="0" w:color="auto"/>
              <w:bottom w:val="single" w:sz="4" w:space="0" w:color="auto"/>
              <w:right w:val="single" w:sz="4" w:space="0" w:color="auto"/>
            </w:tcBorders>
            <w:hideMark/>
          </w:tcPr>
          <w:p w14:paraId="1BD138EA"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США</w:t>
            </w:r>
          </w:p>
        </w:tc>
        <w:tc>
          <w:tcPr>
            <w:tcW w:w="1659" w:type="dxa"/>
            <w:tcBorders>
              <w:top w:val="single" w:sz="4" w:space="0" w:color="auto"/>
              <w:left w:val="single" w:sz="4" w:space="0" w:color="auto"/>
              <w:bottom w:val="single" w:sz="4" w:space="0" w:color="auto"/>
              <w:right w:val="single" w:sz="4" w:space="0" w:color="auto"/>
            </w:tcBorders>
            <w:hideMark/>
          </w:tcPr>
          <w:p w14:paraId="787AB60E"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Китай</w:t>
            </w:r>
          </w:p>
        </w:tc>
        <w:tc>
          <w:tcPr>
            <w:tcW w:w="2348" w:type="dxa"/>
            <w:tcBorders>
              <w:top w:val="single" w:sz="4" w:space="0" w:color="auto"/>
              <w:left w:val="single" w:sz="4" w:space="0" w:color="auto"/>
              <w:bottom w:val="single" w:sz="4" w:space="0" w:color="auto"/>
              <w:right w:val="single" w:sz="4" w:space="0" w:color="auto"/>
            </w:tcBorders>
            <w:hideMark/>
          </w:tcPr>
          <w:p w14:paraId="182E9ECC"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Норвегия</w:t>
            </w:r>
          </w:p>
        </w:tc>
        <w:tc>
          <w:tcPr>
            <w:tcW w:w="2072" w:type="dxa"/>
            <w:tcBorders>
              <w:top w:val="single" w:sz="4" w:space="0" w:color="auto"/>
              <w:left w:val="single" w:sz="4" w:space="0" w:color="auto"/>
              <w:bottom w:val="single" w:sz="4" w:space="0" w:color="auto"/>
              <w:right w:val="single" w:sz="4" w:space="0" w:color="auto"/>
            </w:tcBorders>
            <w:hideMark/>
          </w:tcPr>
          <w:p w14:paraId="43168614"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Россия</w:t>
            </w:r>
          </w:p>
        </w:tc>
      </w:tr>
      <w:tr w:rsidR="006A10F6" w:rsidRPr="002F08F2" w14:paraId="21AD4416" w14:textId="77777777" w:rsidTr="006A10F6">
        <w:trPr>
          <w:trHeight w:val="1418"/>
        </w:trPr>
        <w:tc>
          <w:tcPr>
            <w:tcW w:w="1763" w:type="dxa"/>
            <w:tcBorders>
              <w:top w:val="single" w:sz="4" w:space="0" w:color="auto"/>
              <w:left w:val="single" w:sz="4" w:space="0" w:color="auto"/>
              <w:bottom w:val="single" w:sz="4" w:space="0" w:color="auto"/>
              <w:right w:val="single" w:sz="4" w:space="0" w:color="auto"/>
            </w:tcBorders>
            <w:hideMark/>
          </w:tcPr>
          <w:p w14:paraId="21B6067D"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Направление использования средств</w:t>
            </w:r>
          </w:p>
        </w:tc>
        <w:tc>
          <w:tcPr>
            <w:tcW w:w="1797" w:type="dxa"/>
            <w:tcBorders>
              <w:top w:val="single" w:sz="4" w:space="0" w:color="auto"/>
              <w:left w:val="single" w:sz="4" w:space="0" w:color="auto"/>
              <w:bottom w:val="single" w:sz="4" w:space="0" w:color="auto"/>
              <w:right w:val="single" w:sz="4" w:space="0" w:color="auto"/>
            </w:tcBorders>
            <w:hideMark/>
          </w:tcPr>
          <w:p w14:paraId="71FC6E06"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Оплата обучения и/или сопутствующих расходов</w:t>
            </w:r>
          </w:p>
        </w:tc>
        <w:tc>
          <w:tcPr>
            <w:tcW w:w="1659" w:type="dxa"/>
            <w:tcBorders>
              <w:top w:val="single" w:sz="4" w:space="0" w:color="auto"/>
              <w:left w:val="single" w:sz="4" w:space="0" w:color="auto"/>
              <w:bottom w:val="single" w:sz="4" w:space="0" w:color="auto"/>
              <w:right w:val="single" w:sz="4" w:space="0" w:color="auto"/>
            </w:tcBorders>
            <w:hideMark/>
          </w:tcPr>
          <w:p w14:paraId="32490004"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Оплата обучения</w:t>
            </w:r>
          </w:p>
        </w:tc>
        <w:tc>
          <w:tcPr>
            <w:tcW w:w="2348" w:type="dxa"/>
            <w:tcBorders>
              <w:top w:val="single" w:sz="4" w:space="0" w:color="auto"/>
              <w:left w:val="single" w:sz="4" w:space="0" w:color="auto"/>
              <w:bottom w:val="single" w:sz="4" w:space="0" w:color="auto"/>
              <w:right w:val="single" w:sz="4" w:space="0" w:color="auto"/>
            </w:tcBorders>
            <w:hideMark/>
          </w:tcPr>
          <w:p w14:paraId="121F9094"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Оплата сопутствующих</w:t>
            </w:r>
          </w:p>
          <w:p w14:paraId="010B4D7D"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расходов</w:t>
            </w:r>
          </w:p>
        </w:tc>
        <w:tc>
          <w:tcPr>
            <w:tcW w:w="2072" w:type="dxa"/>
            <w:tcBorders>
              <w:top w:val="single" w:sz="4" w:space="0" w:color="auto"/>
              <w:left w:val="single" w:sz="4" w:space="0" w:color="auto"/>
              <w:bottom w:val="single" w:sz="4" w:space="0" w:color="auto"/>
              <w:right w:val="single" w:sz="4" w:space="0" w:color="auto"/>
            </w:tcBorders>
            <w:hideMark/>
          </w:tcPr>
          <w:p w14:paraId="7FFD899C"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Оплата обучения и/или сопутствующих расходов</w:t>
            </w:r>
          </w:p>
        </w:tc>
      </w:tr>
      <w:tr w:rsidR="006A10F6" w:rsidRPr="002F08F2" w14:paraId="6256854F" w14:textId="77777777" w:rsidTr="006A10F6">
        <w:tc>
          <w:tcPr>
            <w:tcW w:w="1763" w:type="dxa"/>
            <w:tcBorders>
              <w:top w:val="single" w:sz="4" w:space="0" w:color="auto"/>
              <w:left w:val="single" w:sz="4" w:space="0" w:color="auto"/>
              <w:bottom w:val="single" w:sz="4" w:space="0" w:color="auto"/>
              <w:right w:val="single" w:sz="4" w:space="0" w:color="auto"/>
            </w:tcBorders>
            <w:hideMark/>
          </w:tcPr>
          <w:p w14:paraId="6BDFE493"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Кредитор</w:t>
            </w:r>
          </w:p>
        </w:tc>
        <w:tc>
          <w:tcPr>
            <w:tcW w:w="1797" w:type="dxa"/>
            <w:tcBorders>
              <w:top w:val="single" w:sz="4" w:space="0" w:color="auto"/>
              <w:left w:val="single" w:sz="4" w:space="0" w:color="auto"/>
              <w:bottom w:val="single" w:sz="4" w:space="0" w:color="auto"/>
              <w:right w:val="single" w:sz="4" w:space="0" w:color="auto"/>
            </w:tcBorders>
            <w:hideMark/>
          </w:tcPr>
          <w:p w14:paraId="062496CE"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Коммерческие банки, институты</w:t>
            </w:r>
          </w:p>
        </w:tc>
        <w:tc>
          <w:tcPr>
            <w:tcW w:w="1659" w:type="dxa"/>
            <w:tcBorders>
              <w:top w:val="single" w:sz="4" w:space="0" w:color="auto"/>
              <w:left w:val="single" w:sz="4" w:space="0" w:color="auto"/>
              <w:bottom w:val="single" w:sz="4" w:space="0" w:color="auto"/>
              <w:right w:val="single" w:sz="4" w:space="0" w:color="auto"/>
            </w:tcBorders>
            <w:hideMark/>
          </w:tcPr>
          <w:p w14:paraId="53F124C2"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15 крупнейших банков</w:t>
            </w:r>
          </w:p>
        </w:tc>
        <w:tc>
          <w:tcPr>
            <w:tcW w:w="2348" w:type="dxa"/>
            <w:tcBorders>
              <w:top w:val="single" w:sz="4" w:space="0" w:color="auto"/>
              <w:left w:val="single" w:sz="4" w:space="0" w:color="auto"/>
              <w:bottom w:val="single" w:sz="4" w:space="0" w:color="auto"/>
              <w:right w:val="single" w:sz="4" w:space="0" w:color="auto"/>
            </w:tcBorders>
            <w:hideMark/>
          </w:tcPr>
          <w:p w14:paraId="024C20E3"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Коммерческие уполномоченные банки</w:t>
            </w:r>
          </w:p>
        </w:tc>
        <w:tc>
          <w:tcPr>
            <w:tcW w:w="2072" w:type="dxa"/>
            <w:tcBorders>
              <w:top w:val="single" w:sz="4" w:space="0" w:color="auto"/>
              <w:left w:val="single" w:sz="4" w:space="0" w:color="auto"/>
              <w:bottom w:val="single" w:sz="4" w:space="0" w:color="auto"/>
              <w:right w:val="single" w:sz="4" w:space="0" w:color="auto"/>
            </w:tcBorders>
            <w:hideMark/>
          </w:tcPr>
          <w:p w14:paraId="2F90B3A3"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Коммерческие банки</w:t>
            </w:r>
          </w:p>
        </w:tc>
      </w:tr>
      <w:tr w:rsidR="006A10F6" w:rsidRPr="002F08F2" w14:paraId="5947F10C" w14:textId="77777777" w:rsidTr="006A10F6">
        <w:tc>
          <w:tcPr>
            <w:tcW w:w="1763" w:type="dxa"/>
            <w:tcBorders>
              <w:top w:val="single" w:sz="4" w:space="0" w:color="auto"/>
              <w:left w:val="single" w:sz="4" w:space="0" w:color="auto"/>
              <w:bottom w:val="single" w:sz="4" w:space="0" w:color="auto"/>
              <w:right w:val="single" w:sz="4" w:space="0" w:color="auto"/>
            </w:tcBorders>
            <w:hideMark/>
          </w:tcPr>
          <w:p w14:paraId="160E2417"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Заемщик</w:t>
            </w:r>
          </w:p>
        </w:tc>
        <w:tc>
          <w:tcPr>
            <w:tcW w:w="1797" w:type="dxa"/>
            <w:tcBorders>
              <w:top w:val="single" w:sz="4" w:space="0" w:color="auto"/>
              <w:left w:val="single" w:sz="4" w:space="0" w:color="auto"/>
              <w:bottom w:val="single" w:sz="4" w:space="0" w:color="auto"/>
              <w:right w:val="single" w:sz="4" w:space="0" w:color="auto"/>
            </w:tcBorders>
            <w:hideMark/>
          </w:tcPr>
          <w:p w14:paraId="1283A96B"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Студент, его родители</w:t>
            </w:r>
          </w:p>
        </w:tc>
        <w:tc>
          <w:tcPr>
            <w:tcW w:w="1659" w:type="dxa"/>
            <w:tcBorders>
              <w:top w:val="single" w:sz="4" w:space="0" w:color="auto"/>
              <w:left w:val="single" w:sz="4" w:space="0" w:color="auto"/>
              <w:bottom w:val="single" w:sz="4" w:space="0" w:color="auto"/>
              <w:right w:val="single" w:sz="4" w:space="0" w:color="auto"/>
            </w:tcBorders>
            <w:hideMark/>
          </w:tcPr>
          <w:p w14:paraId="7A1F5593"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Студент</w:t>
            </w:r>
          </w:p>
        </w:tc>
        <w:tc>
          <w:tcPr>
            <w:tcW w:w="2348" w:type="dxa"/>
            <w:tcBorders>
              <w:top w:val="single" w:sz="4" w:space="0" w:color="auto"/>
              <w:left w:val="single" w:sz="4" w:space="0" w:color="auto"/>
              <w:bottom w:val="single" w:sz="4" w:space="0" w:color="auto"/>
              <w:right w:val="single" w:sz="4" w:space="0" w:color="auto"/>
            </w:tcBorders>
            <w:hideMark/>
          </w:tcPr>
          <w:p w14:paraId="6887F500"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Студент</w:t>
            </w:r>
          </w:p>
        </w:tc>
        <w:tc>
          <w:tcPr>
            <w:tcW w:w="2072" w:type="dxa"/>
            <w:tcBorders>
              <w:top w:val="single" w:sz="4" w:space="0" w:color="auto"/>
              <w:left w:val="single" w:sz="4" w:space="0" w:color="auto"/>
              <w:bottom w:val="single" w:sz="4" w:space="0" w:color="auto"/>
              <w:right w:val="single" w:sz="4" w:space="0" w:color="auto"/>
            </w:tcBorders>
            <w:hideMark/>
          </w:tcPr>
          <w:p w14:paraId="0A7AEB3B"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Студент</w:t>
            </w:r>
          </w:p>
        </w:tc>
      </w:tr>
      <w:tr w:rsidR="006A10F6" w:rsidRPr="002F08F2" w14:paraId="14C19DE8" w14:textId="77777777" w:rsidTr="006A10F6">
        <w:tc>
          <w:tcPr>
            <w:tcW w:w="1763" w:type="dxa"/>
            <w:tcBorders>
              <w:top w:val="single" w:sz="4" w:space="0" w:color="auto"/>
              <w:left w:val="single" w:sz="4" w:space="0" w:color="auto"/>
              <w:bottom w:val="single" w:sz="4" w:space="0" w:color="auto"/>
              <w:right w:val="single" w:sz="4" w:space="0" w:color="auto"/>
            </w:tcBorders>
            <w:hideMark/>
          </w:tcPr>
          <w:p w14:paraId="0415016B"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Процентная ставка</w:t>
            </w:r>
          </w:p>
        </w:tc>
        <w:tc>
          <w:tcPr>
            <w:tcW w:w="1797" w:type="dxa"/>
            <w:tcBorders>
              <w:top w:val="single" w:sz="4" w:space="0" w:color="auto"/>
              <w:left w:val="single" w:sz="4" w:space="0" w:color="auto"/>
              <w:bottom w:val="single" w:sz="4" w:space="0" w:color="auto"/>
              <w:right w:val="single" w:sz="4" w:space="0" w:color="auto"/>
            </w:tcBorders>
            <w:hideMark/>
          </w:tcPr>
          <w:p w14:paraId="07600E43"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От 4 до 9% в зависимости от вида кредита</w:t>
            </w:r>
          </w:p>
        </w:tc>
        <w:tc>
          <w:tcPr>
            <w:tcW w:w="1659" w:type="dxa"/>
            <w:tcBorders>
              <w:top w:val="single" w:sz="4" w:space="0" w:color="auto"/>
              <w:left w:val="single" w:sz="4" w:space="0" w:color="auto"/>
              <w:bottom w:val="single" w:sz="4" w:space="0" w:color="auto"/>
              <w:right w:val="single" w:sz="4" w:space="0" w:color="auto"/>
            </w:tcBorders>
            <w:hideMark/>
          </w:tcPr>
          <w:p w14:paraId="56B07750"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4%</w:t>
            </w:r>
          </w:p>
        </w:tc>
        <w:tc>
          <w:tcPr>
            <w:tcW w:w="2348" w:type="dxa"/>
            <w:tcBorders>
              <w:top w:val="single" w:sz="4" w:space="0" w:color="auto"/>
              <w:left w:val="single" w:sz="4" w:space="0" w:color="auto"/>
              <w:bottom w:val="single" w:sz="4" w:space="0" w:color="auto"/>
              <w:right w:val="single" w:sz="4" w:space="0" w:color="auto"/>
            </w:tcBorders>
            <w:hideMark/>
          </w:tcPr>
          <w:p w14:paraId="4F1EB39D"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От 3 до 5% в зависимости от срока</w:t>
            </w:r>
          </w:p>
        </w:tc>
        <w:tc>
          <w:tcPr>
            <w:tcW w:w="2072" w:type="dxa"/>
            <w:tcBorders>
              <w:top w:val="single" w:sz="4" w:space="0" w:color="auto"/>
              <w:left w:val="single" w:sz="4" w:space="0" w:color="auto"/>
              <w:bottom w:val="single" w:sz="4" w:space="0" w:color="auto"/>
              <w:right w:val="single" w:sz="4" w:space="0" w:color="auto"/>
            </w:tcBorders>
            <w:hideMark/>
          </w:tcPr>
          <w:p w14:paraId="589CB14D"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¼ ставки рефинансирования + 5 п.п. (7,5% на конец 2016)</w:t>
            </w:r>
          </w:p>
        </w:tc>
      </w:tr>
      <w:tr w:rsidR="006A10F6" w:rsidRPr="002F08F2" w14:paraId="0D5EC4A2" w14:textId="77777777" w:rsidTr="006A10F6">
        <w:tc>
          <w:tcPr>
            <w:tcW w:w="1763" w:type="dxa"/>
            <w:tcBorders>
              <w:top w:val="single" w:sz="4" w:space="0" w:color="auto"/>
              <w:left w:val="single" w:sz="4" w:space="0" w:color="auto"/>
              <w:bottom w:val="single" w:sz="4" w:space="0" w:color="auto"/>
              <w:right w:val="single" w:sz="4" w:space="0" w:color="auto"/>
            </w:tcBorders>
            <w:hideMark/>
          </w:tcPr>
          <w:p w14:paraId="433F453A"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 xml:space="preserve">Востребованность </w:t>
            </w:r>
          </w:p>
        </w:tc>
        <w:tc>
          <w:tcPr>
            <w:tcW w:w="1797" w:type="dxa"/>
            <w:tcBorders>
              <w:top w:val="single" w:sz="4" w:space="0" w:color="auto"/>
              <w:left w:val="single" w:sz="4" w:space="0" w:color="auto"/>
              <w:bottom w:val="single" w:sz="4" w:space="0" w:color="auto"/>
              <w:right w:val="single" w:sz="4" w:space="0" w:color="auto"/>
            </w:tcBorders>
            <w:hideMark/>
          </w:tcPr>
          <w:p w14:paraId="78FBB099"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 xml:space="preserve">Более 50% </w:t>
            </w:r>
          </w:p>
        </w:tc>
        <w:tc>
          <w:tcPr>
            <w:tcW w:w="1659" w:type="dxa"/>
            <w:tcBorders>
              <w:top w:val="single" w:sz="4" w:space="0" w:color="auto"/>
              <w:left w:val="single" w:sz="4" w:space="0" w:color="auto"/>
              <w:bottom w:val="single" w:sz="4" w:space="0" w:color="auto"/>
              <w:right w:val="single" w:sz="4" w:space="0" w:color="auto"/>
            </w:tcBorders>
            <w:hideMark/>
          </w:tcPr>
          <w:p w14:paraId="14A16EF4"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 xml:space="preserve">12% </w:t>
            </w:r>
          </w:p>
        </w:tc>
        <w:tc>
          <w:tcPr>
            <w:tcW w:w="2348" w:type="dxa"/>
            <w:tcBorders>
              <w:top w:val="single" w:sz="4" w:space="0" w:color="auto"/>
              <w:left w:val="single" w:sz="4" w:space="0" w:color="auto"/>
              <w:bottom w:val="single" w:sz="4" w:space="0" w:color="auto"/>
              <w:right w:val="single" w:sz="4" w:space="0" w:color="auto"/>
            </w:tcBorders>
          </w:tcPr>
          <w:p w14:paraId="14D2E442"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42%</w:t>
            </w:r>
          </w:p>
          <w:p w14:paraId="78C0D4CB"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p>
        </w:tc>
        <w:tc>
          <w:tcPr>
            <w:tcW w:w="2072" w:type="dxa"/>
            <w:tcBorders>
              <w:top w:val="single" w:sz="4" w:space="0" w:color="auto"/>
              <w:left w:val="single" w:sz="4" w:space="0" w:color="auto"/>
              <w:bottom w:val="single" w:sz="4" w:space="0" w:color="auto"/>
              <w:right w:val="single" w:sz="4" w:space="0" w:color="auto"/>
            </w:tcBorders>
          </w:tcPr>
          <w:p w14:paraId="7B985421"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менее 1%</w:t>
            </w:r>
          </w:p>
          <w:p w14:paraId="55482F3C"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p>
        </w:tc>
      </w:tr>
      <w:tr w:rsidR="006A10F6" w:rsidRPr="002F08F2" w14:paraId="29FE4DF5" w14:textId="77777777" w:rsidTr="006A10F6">
        <w:tc>
          <w:tcPr>
            <w:tcW w:w="1763" w:type="dxa"/>
            <w:tcBorders>
              <w:top w:val="single" w:sz="4" w:space="0" w:color="auto"/>
              <w:left w:val="single" w:sz="4" w:space="0" w:color="auto"/>
              <w:bottom w:val="single" w:sz="4" w:space="0" w:color="auto"/>
              <w:right w:val="single" w:sz="4" w:space="0" w:color="auto"/>
            </w:tcBorders>
            <w:hideMark/>
          </w:tcPr>
          <w:p w14:paraId="43A8F7BA"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Срок кредита</w:t>
            </w:r>
          </w:p>
        </w:tc>
        <w:tc>
          <w:tcPr>
            <w:tcW w:w="1797" w:type="dxa"/>
            <w:tcBorders>
              <w:top w:val="single" w:sz="4" w:space="0" w:color="auto"/>
              <w:left w:val="single" w:sz="4" w:space="0" w:color="auto"/>
              <w:bottom w:val="single" w:sz="4" w:space="0" w:color="auto"/>
              <w:right w:val="single" w:sz="4" w:space="0" w:color="auto"/>
            </w:tcBorders>
            <w:hideMark/>
          </w:tcPr>
          <w:p w14:paraId="31551B8A"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От 10 до 25 лет</w:t>
            </w:r>
          </w:p>
        </w:tc>
        <w:tc>
          <w:tcPr>
            <w:tcW w:w="1659" w:type="dxa"/>
            <w:tcBorders>
              <w:top w:val="single" w:sz="4" w:space="0" w:color="auto"/>
              <w:left w:val="single" w:sz="4" w:space="0" w:color="auto"/>
              <w:bottom w:val="single" w:sz="4" w:space="0" w:color="auto"/>
              <w:right w:val="single" w:sz="4" w:space="0" w:color="auto"/>
            </w:tcBorders>
            <w:hideMark/>
          </w:tcPr>
          <w:p w14:paraId="6D04580B"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Зависит от срока обучения</w:t>
            </w:r>
          </w:p>
        </w:tc>
        <w:tc>
          <w:tcPr>
            <w:tcW w:w="2348" w:type="dxa"/>
            <w:tcBorders>
              <w:top w:val="single" w:sz="4" w:space="0" w:color="auto"/>
              <w:left w:val="single" w:sz="4" w:space="0" w:color="auto"/>
              <w:bottom w:val="single" w:sz="4" w:space="0" w:color="auto"/>
              <w:right w:val="single" w:sz="4" w:space="0" w:color="auto"/>
            </w:tcBorders>
            <w:hideMark/>
          </w:tcPr>
          <w:p w14:paraId="71079B3F"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От 15 до 20 лет</w:t>
            </w:r>
          </w:p>
        </w:tc>
        <w:tc>
          <w:tcPr>
            <w:tcW w:w="2072" w:type="dxa"/>
            <w:tcBorders>
              <w:top w:val="single" w:sz="4" w:space="0" w:color="auto"/>
              <w:left w:val="single" w:sz="4" w:space="0" w:color="auto"/>
              <w:bottom w:val="single" w:sz="4" w:space="0" w:color="auto"/>
              <w:right w:val="single" w:sz="4" w:space="0" w:color="auto"/>
            </w:tcBorders>
            <w:hideMark/>
          </w:tcPr>
          <w:p w14:paraId="3A6E9178" w14:textId="77777777" w:rsidR="006A10F6" w:rsidRPr="002F08F2" w:rsidRDefault="006A10F6" w:rsidP="006A10F6">
            <w:pPr>
              <w:spacing w:after="0" w:line="240" w:lineRule="auto"/>
              <w:jc w:val="both"/>
              <w:rPr>
                <w:rFonts w:ascii="Times New Roman" w:eastAsia="MS Mincho" w:hAnsi="Times New Roman" w:cs="Times New Roman"/>
                <w:sz w:val="24"/>
                <w:szCs w:val="24"/>
                <w:lang w:eastAsia="ru-RU"/>
              </w:rPr>
            </w:pPr>
            <w:r w:rsidRPr="002F08F2">
              <w:rPr>
                <w:rFonts w:ascii="Times New Roman" w:eastAsia="MS Mincho" w:hAnsi="Times New Roman" w:cs="Times New Roman"/>
                <w:sz w:val="24"/>
                <w:szCs w:val="24"/>
                <w:lang w:eastAsia="ru-RU"/>
              </w:rPr>
              <w:t>Срок обучения плюс 10 лет</w:t>
            </w:r>
          </w:p>
        </w:tc>
      </w:tr>
    </w:tbl>
    <w:p w14:paraId="0BE789B9"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 xml:space="preserve">Оценка существующей на данный момент российской практики образовательного кредитования показывает, что относительно других стран, для студентов условия выдачи и погашения этого вида кредита являются практически равноценными. Ставки по кредиту и срок незначительно отличаются от общемировой практики, а льготный период даже превышает льготный период в некоторых странах. Но, как видно из статистических данных, образовательными </w:t>
      </w:r>
      <w:r w:rsidRPr="002F08F2">
        <w:rPr>
          <w:rFonts w:ascii="Times New Roman" w:eastAsia="MS Mincho" w:hAnsi="Times New Roman" w:cs="Times New Roman"/>
          <w:sz w:val="24"/>
          <w:szCs w:val="24"/>
          <w:lang w:eastAsia="ru-RU"/>
        </w:rPr>
        <w:t>кредитами</w:t>
      </w:r>
      <w:r w:rsidRPr="002F08F2">
        <w:rPr>
          <w:rFonts w:ascii="Times New Roman" w:hAnsi="Times New Roman" w:cs="Times New Roman"/>
          <w:sz w:val="24"/>
          <w:szCs w:val="24"/>
        </w:rPr>
        <w:t xml:space="preserve"> пользуется менее 1% российских студентов.</w:t>
      </w:r>
    </w:p>
    <w:p w14:paraId="0043B426"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2F08F2">
        <w:rPr>
          <w:rFonts w:ascii="Times New Roman" w:hAnsi="Times New Roman" w:cs="Times New Roman"/>
          <w:sz w:val="24"/>
          <w:szCs w:val="24"/>
        </w:rPr>
        <w:t xml:space="preserve">По программе, реализуемой с 2013 года в России, работал единственный банк – Сбербанк. С 2017 года он приостановил выдачу кредитов на данных условиях. </w:t>
      </w:r>
      <w:r w:rsidRPr="002F08F2">
        <w:rPr>
          <w:rFonts w:ascii="Times New Roman" w:hAnsi="Times New Roman" w:cs="Times New Roman"/>
          <w:color w:val="000000"/>
          <w:sz w:val="24"/>
          <w:szCs w:val="24"/>
          <w:shd w:val="clear" w:color="auto" w:fill="FFFFFF"/>
        </w:rPr>
        <w:t xml:space="preserve">Как пояснили в Минобрнауки, в декабре 2016 года министерство получило письмо от Сбербанка России с просьбой о внесении изменений в нормативные документы, регулирующие выплату образовательных кредитов. Сбербанком было принято решение о временном приостановлении </w:t>
      </w:r>
      <w:r w:rsidRPr="002F08F2">
        <w:rPr>
          <w:rFonts w:ascii="Times New Roman" w:eastAsia="MS Mincho" w:hAnsi="Times New Roman" w:cs="Times New Roman"/>
          <w:color w:val="000000"/>
          <w:sz w:val="24"/>
          <w:szCs w:val="24"/>
          <w:shd w:val="clear" w:color="auto" w:fill="FFFFFF"/>
          <w:lang w:eastAsia="ru-RU"/>
        </w:rPr>
        <w:t>выдачи</w:t>
      </w:r>
      <w:r w:rsidRPr="002F08F2">
        <w:rPr>
          <w:rFonts w:ascii="Times New Roman" w:hAnsi="Times New Roman" w:cs="Times New Roman"/>
          <w:color w:val="000000"/>
          <w:sz w:val="24"/>
          <w:szCs w:val="24"/>
          <w:shd w:val="clear" w:color="auto" w:fill="FFFFFF"/>
        </w:rPr>
        <w:t xml:space="preserve"> кредитов. [5]</w:t>
      </w:r>
    </w:p>
    <w:p w14:paraId="7A2BADE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2F08F2">
        <w:rPr>
          <w:rFonts w:ascii="Times New Roman" w:hAnsi="Times New Roman" w:cs="Times New Roman"/>
          <w:color w:val="000000"/>
          <w:sz w:val="24"/>
          <w:szCs w:val="24"/>
          <w:shd w:val="clear" w:color="auto" w:fill="FFFFFF"/>
        </w:rPr>
        <w:t xml:space="preserve">На данный момент ни один банк в России не выдает образовательные кредиты на условиях, закрепленных в постановлении Правительства РФ </w:t>
      </w:r>
      <w:r w:rsidRPr="002F08F2">
        <w:rPr>
          <w:rFonts w:ascii="Times New Roman" w:hAnsi="Times New Roman" w:cs="Times New Roman"/>
          <w:bCs/>
          <w:sz w:val="24"/>
          <w:szCs w:val="24"/>
        </w:rPr>
        <w:t xml:space="preserve">№ 1026. 5 марта 2018 года Министр образования и науки РФ Ольга Юрьевна Васильева, заявила, что программа образовательного кредитования должна быть возобновлена к осени 2018 года, и что на данный момент ведется работа с банковским сектором, в частности, заключается соглашение о сотрудничестве со Сбербанком.[3] Таким образом, Правительство России подтверждает необходимость развития образовательного кредитования и заинтересованность государства в этом </w:t>
      </w:r>
      <w:r w:rsidRPr="002F08F2">
        <w:rPr>
          <w:rFonts w:ascii="Times New Roman" w:eastAsia="MS Mincho" w:hAnsi="Times New Roman" w:cs="Times New Roman"/>
          <w:bCs/>
          <w:sz w:val="24"/>
          <w:szCs w:val="24"/>
          <w:lang w:eastAsia="ru-RU"/>
        </w:rPr>
        <w:t>вопросе</w:t>
      </w:r>
      <w:r w:rsidRPr="002F08F2">
        <w:rPr>
          <w:rFonts w:ascii="Times New Roman" w:hAnsi="Times New Roman" w:cs="Times New Roman"/>
          <w:bCs/>
          <w:sz w:val="24"/>
          <w:szCs w:val="24"/>
        </w:rPr>
        <w:t>.</w:t>
      </w:r>
    </w:p>
    <w:p w14:paraId="70D3CCD3" w14:textId="77777777" w:rsidR="006A10F6" w:rsidRPr="002F08F2" w:rsidRDefault="006A10F6" w:rsidP="006A10F6">
      <w:pPr>
        <w:spacing w:after="0" w:line="240" w:lineRule="auto"/>
        <w:rPr>
          <w:rFonts w:ascii="Times New Roman" w:hAnsi="Times New Roman" w:cs="Times New Roman"/>
          <w:sz w:val="24"/>
          <w:szCs w:val="24"/>
        </w:rPr>
      </w:pPr>
      <w:r w:rsidRPr="002F08F2">
        <w:rPr>
          <w:rFonts w:ascii="Times New Roman" w:hAnsi="Times New Roman" w:cs="Times New Roman"/>
          <w:sz w:val="24"/>
          <w:szCs w:val="24"/>
        </w:rPr>
        <w:t>________________________________</w:t>
      </w:r>
    </w:p>
    <w:p w14:paraId="075937F9" w14:textId="77777777" w:rsidR="006A10F6" w:rsidRPr="002F08F2" w:rsidRDefault="006A10F6" w:rsidP="006A10F6">
      <w:pPr>
        <w:spacing w:after="0" w:line="240" w:lineRule="auto"/>
        <w:rPr>
          <w:rFonts w:ascii="Times New Roman" w:hAnsi="Times New Roman" w:cs="Times New Roman"/>
          <w:sz w:val="24"/>
          <w:szCs w:val="24"/>
        </w:rPr>
      </w:pPr>
    </w:p>
    <w:p w14:paraId="61F0E2E0"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Васильцов В.С., Левашов Е.Н. Система кредитования высшего образования в США // Вестник Череповецкого государственного университета 2013. № 1. т. 1. С. 70-74.</w:t>
      </w:r>
    </w:p>
    <w:p w14:paraId="1AA7ADA4"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lastRenderedPageBreak/>
        <w:t>Гурьянов А.П. Международные системы образовательного кредитования / Гурьянов А.П. // Вестник ОГУ 2010. № 3. С. 30-33.</w:t>
      </w:r>
    </w:p>
    <w:p w14:paraId="2B78F915"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Образовательные кредита останутся максимально доступными [Электронный ресурс] // Минобрнауки. - Режим доступа: https://goo.gl/z9Wo6g</w:t>
      </w:r>
    </w:p>
    <w:p w14:paraId="1B710DF8"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Постановление Правительства РФ от 18.11.2013 № 1026 "Об утверждении Правил предоставления государственной поддержки образовательного кредитования [Электронный ресурс] // СПС КонсультантПлюс. – Режим доступа: https://goo.gl/mNkwMA</w:t>
      </w:r>
    </w:p>
    <w:p w14:paraId="25133F23"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Программу образовательных кредитов возобновят с осени 2018 года [Электронный ресурс] // РИА Новости. - Режим доступа: https://ria.ru/society/20171117/1509003863.html </w:t>
      </w:r>
    </w:p>
    <w:p w14:paraId="4101012E"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Рогалева А.В. Перспективы развития образовательного кредитования // Nauka-rastudent.ru. 2016. №. 02 (26) / [Электронный ресурс] – Режим доступа. – : http://nauka-rastudent.ru/26/3221/</w:t>
      </w:r>
    </w:p>
    <w:p w14:paraId="37385575"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Седова М.Л. Роль образовательного кредита в обеспечении доступности услуг высшего профессионального образования / М.Л. Седова // Вопросы образования 2013. № 3. С. 105–125</w:t>
      </w:r>
    </w:p>
    <w:p w14:paraId="2454DC37"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Чернова Г.В., Халин В.Г. Образовательное кредитование: российский и зарубежный опыт // Вестник Санкт-Петербургского университета. Сер. 5: Экономика 2011. № 4. С. 161–173.</w:t>
      </w:r>
    </w:p>
    <w:p w14:paraId="01313878" w14:textId="77777777" w:rsidR="006A10F6" w:rsidRPr="002F08F2" w:rsidRDefault="006A10F6" w:rsidP="002F08F2">
      <w:pPr>
        <w:numPr>
          <w:ilvl w:val="0"/>
          <w:numId w:val="34"/>
        </w:numPr>
        <w:spacing w:after="0" w:line="240" w:lineRule="auto"/>
        <w:ind w:left="0" w:firstLine="426"/>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Чернова Г.В., Халин В.Г. Образовательное кредитование в России: современное состояние // Финансы и кредит 2015. № 48. С. 47-60.</w:t>
      </w:r>
    </w:p>
    <w:p w14:paraId="30FAE3EA" w14:textId="77777777" w:rsidR="006A10F6" w:rsidRPr="002F08F2" w:rsidRDefault="006A10F6" w:rsidP="006A10F6">
      <w:pPr>
        <w:tabs>
          <w:tab w:val="left" w:pos="993"/>
        </w:tabs>
        <w:spacing w:line="240" w:lineRule="auto"/>
        <w:ind w:left="113" w:right="85"/>
        <w:rPr>
          <w:rFonts w:ascii="Times New Roman" w:hAnsi="Times New Roman" w:cs="Times New Roman"/>
          <w:sz w:val="24"/>
          <w:szCs w:val="24"/>
        </w:rPr>
      </w:pPr>
    </w:p>
    <w:p w14:paraId="7CB69855" w14:textId="77777777" w:rsidR="006A10F6" w:rsidRPr="002F08F2" w:rsidRDefault="006A10F6" w:rsidP="006A10F6">
      <w:pPr>
        <w:tabs>
          <w:tab w:val="left" w:pos="993"/>
        </w:tabs>
        <w:spacing w:line="240" w:lineRule="auto"/>
        <w:ind w:left="113" w:right="85"/>
        <w:rPr>
          <w:rFonts w:ascii="Times New Roman" w:hAnsi="Times New Roman" w:cs="Times New Roman"/>
          <w:b/>
          <w:sz w:val="24"/>
          <w:szCs w:val="24"/>
        </w:rPr>
      </w:pPr>
      <w:r w:rsidRPr="002F08F2">
        <w:rPr>
          <w:rFonts w:ascii="Times New Roman" w:hAnsi="Times New Roman" w:cs="Times New Roman"/>
          <w:b/>
          <w:sz w:val="24"/>
          <w:szCs w:val="24"/>
        </w:rPr>
        <w:t xml:space="preserve">Рубрика: </w:t>
      </w:r>
      <w:r w:rsidRPr="002F08F2">
        <w:rPr>
          <w:rFonts w:ascii="Times New Roman" w:hAnsi="Times New Roman" w:cs="Times New Roman"/>
          <w:b/>
          <w:color w:val="333333"/>
          <w:sz w:val="24"/>
          <w:szCs w:val="24"/>
        </w:rPr>
        <w:t>Проблемы динамичного развития экономики и финансов в современном мире</w:t>
      </w:r>
    </w:p>
    <w:p w14:paraId="4E637799" w14:textId="77777777" w:rsidR="006A10F6" w:rsidRPr="002F08F2" w:rsidRDefault="006A10F6" w:rsidP="006A10F6">
      <w:pPr>
        <w:tabs>
          <w:tab w:val="left" w:pos="993"/>
        </w:tabs>
        <w:spacing w:line="240" w:lineRule="auto"/>
        <w:ind w:left="113" w:right="85"/>
        <w:rPr>
          <w:rFonts w:ascii="Times New Roman" w:hAnsi="Times New Roman" w:cs="Times New Roman"/>
          <w:sz w:val="24"/>
          <w:szCs w:val="24"/>
        </w:rPr>
      </w:pPr>
      <w:r w:rsidRPr="002F08F2">
        <w:rPr>
          <w:rFonts w:ascii="Times New Roman" w:hAnsi="Times New Roman" w:cs="Times New Roman"/>
          <w:sz w:val="24"/>
          <w:szCs w:val="24"/>
        </w:rPr>
        <w:t>УДК: 336.71</w:t>
      </w:r>
    </w:p>
    <w:p w14:paraId="031AC284" w14:textId="77777777" w:rsidR="006A10F6" w:rsidRPr="002F08F2" w:rsidRDefault="005E757C" w:rsidP="006A10F6">
      <w:pPr>
        <w:spacing w:after="0" w:line="240" w:lineRule="auto"/>
        <w:ind w:left="113" w:right="85" w:firstLine="709"/>
        <w:jc w:val="center"/>
        <w:rPr>
          <w:rFonts w:ascii="Times New Roman" w:hAnsi="Times New Roman" w:cs="Times New Roman"/>
          <w:b/>
          <w:sz w:val="24"/>
          <w:szCs w:val="24"/>
        </w:rPr>
      </w:pPr>
      <w:r w:rsidRPr="002F08F2">
        <w:rPr>
          <w:rFonts w:ascii="Times New Roman" w:hAnsi="Times New Roman" w:cs="Times New Roman"/>
          <w:b/>
          <w:sz w:val="24"/>
          <w:szCs w:val="24"/>
        </w:rPr>
        <w:t>ПОТРЕБИТЕЛЬСКАЯ ОЦЕНКА БАНКОВ ПРИМОРСКОГО КРАЯ</w:t>
      </w:r>
    </w:p>
    <w:p w14:paraId="31282F13" w14:textId="77777777" w:rsidR="006A10F6" w:rsidRPr="002F08F2" w:rsidRDefault="006A10F6" w:rsidP="006A10F6">
      <w:pPr>
        <w:spacing w:after="0" w:line="240" w:lineRule="auto"/>
        <w:ind w:left="113" w:right="85" w:firstLine="709"/>
        <w:jc w:val="center"/>
        <w:rPr>
          <w:rFonts w:ascii="Times New Roman" w:hAnsi="Times New Roman" w:cs="Times New Roman"/>
          <w:b/>
          <w:sz w:val="24"/>
          <w:szCs w:val="24"/>
        </w:rPr>
      </w:pPr>
    </w:p>
    <w:p w14:paraId="66EC89E8" w14:textId="77777777" w:rsidR="006A10F6" w:rsidRPr="002F08F2" w:rsidRDefault="006A10F6" w:rsidP="006A10F6">
      <w:pPr>
        <w:spacing w:after="0" w:line="240" w:lineRule="auto"/>
        <w:ind w:left="113" w:right="85" w:firstLine="709"/>
        <w:jc w:val="center"/>
        <w:rPr>
          <w:rFonts w:ascii="Times New Roman" w:hAnsi="Times New Roman" w:cs="Times New Roman"/>
          <w:b/>
          <w:sz w:val="24"/>
          <w:szCs w:val="24"/>
        </w:rPr>
      </w:pPr>
      <w:r w:rsidRPr="002F08F2">
        <w:rPr>
          <w:rFonts w:ascii="Times New Roman" w:hAnsi="Times New Roman" w:cs="Times New Roman"/>
          <w:b/>
          <w:sz w:val="24"/>
          <w:szCs w:val="24"/>
        </w:rPr>
        <w:t xml:space="preserve">Мальцева Изабелла Алексеевна, </w:t>
      </w:r>
    </w:p>
    <w:p w14:paraId="6E381FA7"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r w:rsidRPr="002F08F2">
        <w:rPr>
          <w:rFonts w:ascii="Times New Roman" w:hAnsi="Times New Roman" w:cs="Times New Roman"/>
          <w:sz w:val="24"/>
          <w:szCs w:val="24"/>
        </w:rPr>
        <w:t>бакалавр 2 курса, кафедра экономики</w:t>
      </w:r>
    </w:p>
    <w:p w14:paraId="77AF947F" w14:textId="77777777" w:rsidR="005E757C" w:rsidRPr="002F08F2" w:rsidRDefault="005E757C" w:rsidP="006A10F6">
      <w:pPr>
        <w:spacing w:after="0" w:line="240" w:lineRule="auto"/>
        <w:ind w:left="113" w:right="85" w:firstLine="709"/>
        <w:jc w:val="center"/>
        <w:rPr>
          <w:rFonts w:ascii="Times New Roman" w:hAnsi="Times New Roman" w:cs="Times New Roman"/>
          <w:i/>
          <w:sz w:val="24"/>
          <w:szCs w:val="24"/>
        </w:rPr>
      </w:pPr>
    </w:p>
    <w:p w14:paraId="6D1C2B0F" w14:textId="77777777" w:rsidR="006A10F6" w:rsidRPr="002F08F2" w:rsidRDefault="006A10F6" w:rsidP="006A10F6">
      <w:pPr>
        <w:spacing w:after="0" w:line="240" w:lineRule="auto"/>
        <w:ind w:left="113" w:right="85" w:firstLine="709"/>
        <w:jc w:val="center"/>
        <w:rPr>
          <w:rFonts w:ascii="Times New Roman" w:hAnsi="Times New Roman" w:cs="Times New Roman"/>
          <w:i/>
          <w:sz w:val="24"/>
          <w:szCs w:val="24"/>
        </w:rPr>
      </w:pPr>
      <w:r w:rsidRPr="002F08F2">
        <w:rPr>
          <w:rFonts w:ascii="Times New Roman" w:hAnsi="Times New Roman" w:cs="Times New Roman"/>
          <w:i/>
          <w:sz w:val="24"/>
          <w:szCs w:val="24"/>
        </w:rPr>
        <w:t>Владивостокский государственный университет экономики и сервиса</w:t>
      </w:r>
    </w:p>
    <w:p w14:paraId="26DFF034" w14:textId="77777777" w:rsidR="006A10F6" w:rsidRPr="002F08F2" w:rsidRDefault="006A10F6" w:rsidP="006A10F6">
      <w:pPr>
        <w:spacing w:after="0" w:line="240" w:lineRule="auto"/>
        <w:ind w:left="113" w:right="85" w:firstLine="709"/>
        <w:jc w:val="center"/>
        <w:rPr>
          <w:rFonts w:ascii="Times New Roman" w:hAnsi="Times New Roman" w:cs="Times New Roman"/>
          <w:i/>
          <w:sz w:val="24"/>
          <w:szCs w:val="24"/>
        </w:rPr>
      </w:pPr>
      <w:r w:rsidRPr="002F08F2">
        <w:rPr>
          <w:rFonts w:ascii="Times New Roman" w:hAnsi="Times New Roman" w:cs="Times New Roman"/>
          <w:i/>
          <w:sz w:val="24"/>
          <w:szCs w:val="24"/>
        </w:rPr>
        <w:t>Россия. Владивосток</w:t>
      </w:r>
    </w:p>
    <w:p w14:paraId="38ECD459" w14:textId="77777777" w:rsidR="005E757C" w:rsidRPr="002F08F2" w:rsidRDefault="005E757C" w:rsidP="006A10F6">
      <w:pPr>
        <w:spacing w:after="0" w:line="240" w:lineRule="auto"/>
        <w:ind w:left="113" w:right="85" w:firstLine="709"/>
        <w:jc w:val="center"/>
        <w:rPr>
          <w:rFonts w:ascii="Times New Roman" w:hAnsi="Times New Roman" w:cs="Times New Roman"/>
          <w:sz w:val="24"/>
          <w:szCs w:val="24"/>
        </w:rPr>
      </w:pPr>
    </w:p>
    <w:p w14:paraId="4BD937DD"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r w:rsidRPr="002F08F2">
        <w:rPr>
          <w:rFonts w:ascii="Times New Roman" w:hAnsi="Times New Roman" w:cs="Times New Roman"/>
          <w:sz w:val="24"/>
          <w:szCs w:val="24"/>
        </w:rPr>
        <w:t>E-mail:izabellamaltseva@gmail.com; тел.:+79089645093</w:t>
      </w:r>
    </w:p>
    <w:p w14:paraId="6C9AD426"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r w:rsidRPr="002F08F2">
        <w:rPr>
          <w:rFonts w:ascii="Times New Roman" w:hAnsi="Times New Roman" w:cs="Times New Roman"/>
          <w:sz w:val="24"/>
          <w:szCs w:val="24"/>
        </w:rPr>
        <w:t>ул. Гоголя 41, г. Владивосток, Приморский край, Россия, 690014</w:t>
      </w:r>
    </w:p>
    <w:p w14:paraId="6EC59BF1"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p>
    <w:p w14:paraId="03FD7557" w14:textId="77777777" w:rsidR="006A10F6" w:rsidRPr="002F08F2" w:rsidRDefault="006A10F6" w:rsidP="006A10F6">
      <w:pPr>
        <w:spacing w:after="0" w:line="240" w:lineRule="auto"/>
        <w:ind w:left="113" w:right="85" w:firstLine="709"/>
        <w:jc w:val="center"/>
        <w:rPr>
          <w:rFonts w:ascii="Times New Roman" w:hAnsi="Times New Roman" w:cs="Times New Roman"/>
          <w:b/>
          <w:sz w:val="24"/>
          <w:szCs w:val="24"/>
        </w:rPr>
      </w:pPr>
      <w:r w:rsidRPr="002F08F2">
        <w:rPr>
          <w:rFonts w:ascii="Times New Roman" w:hAnsi="Times New Roman" w:cs="Times New Roman"/>
          <w:b/>
          <w:sz w:val="24"/>
          <w:szCs w:val="24"/>
        </w:rPr>
        <w:t xml:space="preserve">Резниченко Алина Витальевна, </w:t>
      </w:r>
    </w:p>
    <w:p w14:paraId="1DFBF6A9"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r w:rsidRPr="002F08F2">
        <w:rPr>
          <w:rFonts w:ascii="Times New Roman" w:hAnsi="Times New Roman" w:cs="Times New Roman"/>
          <w:sz w:val="24"/>
          <w:szCs w:val="24"/>
        </w:rPr>
        <w:t>бакалавр 2 курса, кафедра экономики</w:t>
      </w:r>
    </w:p>
    <w:p w14:paraId="66962885" w14:textId="77777777" w:rsidR="005E757C" w:rsidRPr="002F08F2" w:rsidRDefault="005E757C" w:rsidP="006A10F6">
      <w:pPr>
        <w:spacing w:after="0" w:line="240" w:lineRule="auto"/>
        <w:ind w:left="113" w:right="85" w:firstLine="709"/>
        <w:jc w:val="center"/>
        <w:rPr>
          <w:rFonts w:ascii="Times New Roman" w:hAnsi="Times New Roman" w:cs="Times New Roman"/>
          <w:i/>
          <w:sz w:val="24"/>
          <w:szCs w:val="24"/>
        </w:rPr>
      </w:pPr>
    </w:p>
    <w:p w14:paraId="360C8B96" w14:textId="77777777" w:rsidR="006A10F6" w:rsidRPr="002F08F2" w:rsidRDefault="006A10F6" w:rsidP="006A10F6">
      <w:pPr>
        <w:spacing w:after="0" w:line="240" w:lineRule="auto"/>
        <w:ind w:left="113" w:right="85" w:firstLine="709"/>
        <w:jc w:val="center"/>
        <w:rPr>
          <w:rFonts w:ascii="Times New Roman" w:hAnsi="Times New Roman" w:cs="Times New Roman"/>
          <w:i/>
          <w:sz w:val="24"/>
          <w:szCs w:val="24"/>
        </w:rPr>
      </w:pPr>
      <w:r w:rsidRPr="002F08F2">
        <w:rPr>
          <w:rFonts w:ascii="Times New Roman" w:hAnsi="Times New Roman" w:cs="Times New Roman"/>
          <w:i/>
          <w:sz w:val="24"/>
          <w:szCs w:val="24"/>
        </w:rPr>
        <w:t>Владивостокский государственный университет экономики и сервиса</w:t>
      </w:r>
    </w:p>
    <w:p w14:paraId="100EB21C" w14:textId="77777777" w:rsidR="006A10F6" w:rsidRPr="002F08F2" w:rsidRDefault="006A10F6" w:rsidP="006A10F6">
      <w:pPr>
        <w:spacing w:after="0" w:line="240" w:lineRule="auto"/>
        <w:ind w:left="113" w:right="85" w:firstLine="709"/>
        <w:jc w:val="center"/>
        <w:rPr>
          <w:rFonts w:ascii="Times New Roman" w:hAnsi="Times New Roman" w:cs="Times New Roman"/>
          <w:i/>
          <w:sz w:val="24"/>
          <w:szCs w:val="24"/>
        </w:rPr>
      </w:pPr>
      <w:r w:rsidRPr="002F08F2">
        <w:rPr>
          <w:rFonts w:ascii="Times New Roman" w:hAnsi="Times New Roman" w:cs="Times New Roman"/>
          <w:i/>
          <w:sz w:val="24"/>
          <w:szCs w:val="24"/>
        </w:rPr>
        <w:t>Россия. Владивосток</w:t>
      </w:r>
    </w:p>
    <w:p w14:paraId="569D64D9" w14:textId="77777777" w:rsidR="005E757C" w:rsidRPr="002F08F2" w:rsidRDefault="005E757C" w:rsidP="006A10F6">
      <w:pPr>
        <w:spacing w:after="0" w:line="240" w:lineRule="auto"/>
        <w:ind w:left="113" w:right="85" w:firstLine="709"/>
        <w:jc w:val="center"/>
        <w:rPr>
          <w:rFonts w:ascii="Times New Roman" w:hAnsi="Times New Roman" w:cs="Times New Roman"/>
          <w:sz w:val="24"/>
          <w:szCs w:val="24"/>
        </w:rPr>
      </w:pPr>
    </w:p>
    <w:p w14:paraId="28598700"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r w:rsidRPr="002F08F2">
        <w:rPr>
          <w:rFonts w:ascii="Times New Roman" w:hAnsi="Times New Roman" w:cs="Times New Roman"/>
          <w:sz w:val="24"/>
          <w:szCs w:val="24"/>
        </w:rPr>
        <w:t>E-mail:buton_sp@mail.ru; тел.:+79084442788</w:t>
      </w:r>
    </w:p>
    <w:p w14:paraId="7D0C0AC1"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r w:rsidRPr="002F08F2">
        <w:rPr>
          <w:rFonts w:ascii="Times New Roman" w:hAnsi="Times New Roman" w:cs="Times New Roman"/>
          <w:sz w:val="24"/>
          <w:szCs w:val="24"/>
        </w:rPr>
        <w:t>ул. Гоголя 41, г. Владивосток, Приморский край, Россия, 690014</w:t>
      </w:r>
    </w:p>
    <w:p w14:paraId="39E0584D" w14:textId="77777777" w:rsidR="006A10F6" w:rsidRPr="002F08F2" w:rsidRDefault="006A10F6" w:rsidP="006A10F6">
      <w:pPr>
        <w:spacing w:after="0" w:line="240" w:lineRule="auto"/>
        <w:ind w:left="113" w:right="85" w:firstLine="709"/>
        <w:jc w:val="center"/>
        <w:rPr>
          <w:rFonts w:ascii="Times New Roman" w:hAnsi="Times New Roman" w:cs="Times New Roman"/>
          <w:sz w:val="24"/>
          <w:szCs w:val="24"/>
        </w:rPr>
      </w:pPr>
    </w:p>
    <w:p w14:paraId="72D0ACCB" w14:textId="77777777" w:rsidR="002F08F2" w:rsidRPr="00100B26" w:rsidRDefault="006A10F6" w:rsidP="00100B26">
      <w:pPr>
        <w:spacing w:after="0" w:line="240" w:lineRule="auto"/>
        <w:ind w:left="113" w:right="85" w:firstLine="709"/>
        <w:jc w:val="both"/>
        <w:rPr>
          <w:rFonts w:ascii="Times New Roman" w:hAnsi="Times New Roman" w:cs="Times New Roman"/>
          <w:i/>
          <w:sz w:val="24"/>
          <w:szCs w:val="24"/>
        </w:rPr>
      </w:pPr>
      <w:r w:rsidRPr="002F08F2">
        <w:rPr>
          <w:rFonts w:ascii="Times New Roman" w:hAnsi="Times New Roman" w:cs="Times New Roman"/>
          <w:i/>
          <w:sz w:val="24"/>
          <w:szCs w:val="24"/>
        </w:rPr>
        <w:t xml:space="preserve">Для современной России актуальной является проблема конкурентоспособности банковских услуг. В статье приведены результаты маркетинговых исследований. Выводы были сделаны на основе мнений потребителей банковских услуг города Владивостока и Приморского края. Результаты могут быть использованы в целях модернизации существующих концепций деятельности банков, а также для выявления более </w:t>
      </w:r>
      <w:r w:rsidR="005E757C" w:rsidRPr="002F08F2">
        <w:rPr>
          <w:rFonts w:ascii="Times New Roman" w:hAnsi="Times New Roman" w:cs="Times New Roman"/>
          <w:i/>
          <w:sz w:val="24"/>
          <w:szCs w:val="24"/>
        </w:rPr>
        <w:t>выгодной маркетинговой тактики.</w:t>
      </w:r>
    </w:p>
    <w:p w14:paraId="469938CB" w14:textId="77777777" w:rsidR="006A10F6" w:rsidRPr="002F08F2" w:rsidRDefault="006A10F6" w:rsidP="006A10F6">
      <w:pPr>
        <w:spacing w:after="0" w:line="240" w:lineRule="auto"/>
        <w:ind w:left="113" w:right="85" w:firstLine="709"/>
        <w:jc w:val="both"/>
        <w:rPr>
          <w:rFonts w:ascii="Times New Roman" w:hAnsi="Times New Roman" w:cs="Times New Roman"/>
          <w:i/>
          <w:sz w:val="24"/>
          <w:szCs w:val="24"/>
        </w:rPr>
      </w:pPr>
      <w:r w:rsidRPr="002F08F2">
        <w:rPr>
          <w:rFonts w:ascii="Times New Roman" w:hAnsi="Times New Roman" w:cs="Times New Roman"/>
          <w:b/>
          <w:i/>
          <w:sz w:val="24"/>
          <w:szCs w:val="24"/>
        </w:rPr>
        <w:lastRenderedPageBreak/>
        <w:t>Ключевые слова и словосочетания</w:t>
      </w:r>
      <w:r w:rsidRPr="002F08F2">
        <w:rPr>
          <w:rFonts w:ascii="Times New Roman" w:hAnsi="Times New Roman" w:cs="Times New Roman"/>
          <w:i/>
          <w:sz w:val="24"/>
          <w:szCs w:val="24"/>
        </w:rPr>
        <w:t>: маркетинговое исследование, конкурентоспособность, банковские услуги.</w:t>
      </w:r>
    </w:p>
    <w:p w14:paraId="0BB1A27E" w14:textId="77777777" w:rsidR="006A10F6" w:rsidRPr="002F08F2" w:rsidRDefault="006A10F6" w:rsidP="006A10F6">
      <w:pPr>
        <w:spacing w:after="0" w:line="240" w:lineRule="auto"/>
        <w:ind w:left="113" w:right="85" w:firstLine="709"/>
        <w:jc w:val="both"/>
        <w:rPr>
          <w:rFonts w:ascii="Times New Roman" w:hAnsi="Times New Roman" w:cs="Times New Roman"/>
          <w:sz w:val="24"/>
          <w:szCs w:val="24"/>
        </w:rPr>
      </w:pPr>
    </w:p>
    <w:p w14:paraId="72857A90" w14:textId="77777777" w:rsidR="006A10F6" w:rsidRPr="002F08F2" w:rsidRDefault="005E757C" w:rsidP="006A10F6">
      <w:pPr>
        <w:spacing w:after="0" w:line="240" w:lineRule="auto"/>
        <w:ind w:left="113" w:right="85" w:firstLine="709"/>
        <w:jc w:val="center"/>
        <w:rPr>
          <w:rFonts w:ascii="Times New Roman" w:hAnsi="Times New Roman" w:cs="Times New Roman"/>
          <w:b/>
          <w:sz w:val="24"/>
          <w:szCs w:val="24"/>
          <w:lang w:val="en-US"/>
        </w:rPr>
      </w:pPr>
      <w:r w:rsidRPr="002F08F2">
        <w:rPr>
          <w:rFonts w:ascii="Times New Roman" w:hAnsi="Times New Roman" w:cs="Times New Roman"/>
          <w:b/>
          <w:color w:val="212121"/>
          <w:sz w:val="24"/>
          <w:szCs w:val="24"/>
          <w:highlight w:val="white"/>
          <w:lang w:val="en-US"/>
        </w:rPr>
        <w:t>ANALYSIS OF THE COMPETITIVENESS OF ENTERPRISES IN THE BANKING SERVICES MARKET OF PRIMORSKY KRAI.</w:t>
      </w:r>
    </w:p>
    <w:p w14:paraId="0F8B125C" w14:textId="77777777" w:rsidR="006A10F6" w:rsidRPr="002F08F2" w:rsidRDefault="006A10F6" w:rsidP="006A10F6">
      <w:pPr>
        <w:spacing w:after="0" w:line="240" w:lineRule="auto"/>
        <w:ind w:left="113" w:right="85" w:firstLine="709"/>
        <w:jc w:val="center"/>
        <w:rPr>
          <w:rFonts w:ascii="Times New Roman" w:hAnsi="Times New Roman" w:cs="Times New Roman"/>
          <w:b/>
          <w:sz w:val="24"/>
          <w:szCs w:val="24"/>
          <w:lang w:val="en-US"/>
        </w:rPr>
      </w:pPr>
    </w:p>
    <w:p w14:paraId="44D47874" w14:textId="77777777" w:rsidR="006A10F6" w:rsidRPr="002F08F2" w:rsidRDefault="006A10F6" w:rsidP="005E757C">
      <w:pPr>
        <w:spacing w:after="0" w:line="240" w:lineRule="auto"/>
        <w:ind w:right="85" w:firstLine="709"/>
        <w:jc w:val="both"/>
        <w:rPr>
          <w:rFonts w:ascii="Times New Roman" w:hAnsi="Times New Roman" w:cs="Times New Roman"/>
          <w:i/>
          <w:sz w:val="24"/>
          <w:szCs w:val="24"/>
          <w:lang w:val="en-US"/>
        </w:rPr>
      </w:pPr>
      <w:r w:rsidRPr="002F08F2">
        <w:rPr>
          <w:rFonts w:ascii="Times New Roman" w:hAnsi="Times New Roman" w:cs="Times New Roman"/>
          <w:i/>
          <w:sz w:val="24"/>
          <w:szCs w:val="24"/>
          <w:lang w:val="en-US"/>
        </w:rPr>
        <w:t>In this article mentioned the results of marketing researches. Results were made based on the opinion of consumers of banking services of Vladivostok and Primorsky Krai. This results might be used in order to modernize the conception of Banking activity and to identify mo</w:t>
      </w:r>
      <w:r w:rsidR="005E757C" w:rsidRPr="002F08F2">
        <w:rPr>
          <w:rFonts w:ascii="Times New Roman" w:hAnsi="Times New Roman" w:cs="Times New Roman"/>
          <w:i/>
          <w:sz w:val="24"/>
          <w:szCs w:val="24"/>
          <w:lang w:val="en-US"/>
        </w:rPr>
        <w:t>re profitable marketing tactic.</w:t>
      </w:r>
    </w:p>
    <w:p w14:paraId="61CDD6D5" w14:textId="77777777" w:rsidR="006A10F6" w:rsidRPr="002F08F2" w:rsidRDefault="006A10F6" w:rsidP="00100B26">
      <w:pPr>
        <w:spacing w:after="0" w:line="240" w:lineRule="auto"/>
        <w:ind w:right="85" w:firstLine="708"/>
        <w:jc w:val="both"/>
        <w:rPr>
          <w:rFonts w:ascii="Times New Roman" w:hAnsi="Times New Roman" w:cs="Times New Roman"/>
          <w:i/>
          <w:sz w:val="24"/>
          <w:szCs w:val="24"/>
          <w:lang w:val="en-US"/>
        </w:rPr>
      </w:pPr>
      <w:r w:rsidRPr="002F08F2">
        <w:rPr>
          <w:rFonts w:ascii="Times New Roman" w:hAnsi="Times New Roman" w:cs="Times New Roman"/>
          <w:b/>
          <w:i/>
          <w:sz w:val="24"/>
          <w:szCs w:val="24"/>
          <w:lang w:val="en-US"/>
        </w:rPr>
        <w:t>Keywords</w:t>
      </w:r>
      <w:r w:rsidRPr="002F08F2">
        <w:rPr>
          <w:rFonts w:ascii="Times New Roman" w:hAnsi="Times New Roman" w:cs="Times New Roman"/>
          <w:i/>
          <w:sz w:val="24"/>
          <w:szCs w:val="24"/>
          <w:lang w:val="en-US"/>
        </w:rPr>
        <w:t>: marketing research, competitiveness, banking researches.</w:t>
      </w:r>
    </w:p>
    <w:p w14:paraId="41C60458" w14:textId="77777777" w:rsidR="006A10F6" w:rsidRPr="002F08F2" w:rsidRDefault="006A10F6" w:rsidP="006A10F6">
      <w:pPr>
        <w:spacing w:after="0" w:line="240" w:lineRule="auto"/>
        <w:ind w:right="85" w:firstLine="709"/>
        <w:jc w:val="both"/>
        <w:rPr>
          <w:rFonts w:ascii="Times New Roman" w:hAnsi="Times New Roman" w:cs="Times New Roman"/>
          <w:iCs/>
          <w:sz w:val="24"/>
          <w:szCs w:val="24"/>
          <w:lang w:val="en-US"/>
        </w:rPr>
      </w:pPr>
    </w:p>
    <w:p w14:paraId="73EB3451" w14:textId="77777777" w:rsidR="006A10F6" w:rsidRPr="002F08F2" w:rsidRDefault="006A10F6" w:rsidP="006A10F6">
      <w:pPr>
        <w:spacing w:after="0" w:line="240" w:lineRule="auto"/>
        <w:ind w:right="85" w:firstLine="709"/>
        <w:jc w:val="both"/>
        <w:rPr>
          <w:rFonts w:ascii="Times New Roman" w:hAnsi="Times New Roman" w:cs="Times New Roman"/>
          <w:iCs/>
          <w:sz w:val="24"/>
          <w:szCs w:val="24"/>
        </w:rPr>
      </w:pPr>
      <w:r w:rsidRPr="002F08F2">
        <w:rPr>
          <w:rFonts w:ascii="Times New Roman" w:hAnsi="Times New Roman" w:cs="Times New Roman"/>
          <w:iCs/>
          <w:sz w:val="24"/>
          <w:szCs w:val="24"/>
        </w:rPr>
        <w:t>Кризисные явления сказались на рынке банковских услуг не лучшим образом. Кредитные организации пересматривают структуру организации изнутри предприятия, ищут новые методы и принципы кредитования. Потребители, в свою очередь, меняют отношение к тем или иным банкам и отдают предпочтения тем, на кого в прошлом, обращали все меньше внимания.</w:t>
      </w:r>
    </w:p>
    <w:p w14:paraId="5628A0F6" w14:textId="77777777" w:rsidR="006A10F6" w:rsidRPr="002F08F2" w:rsidRDefault="006A10F6" w:rsidP="006A10F6">
      <w:pPr>
        <w:spacing w:after="0" w:line="240" w:lineRule="auto"/>
        <w:ind w:right="85" w:firstLine="709"/>
        <w:jc w:val="both"/>
        <w:rPr>
          <w:rFonts w:ascii="Times New Roman" w:hAnsi="Times New Roman" w:cs="Times New Roman"/>
          <w:iCs/>
          <w:sz w:val="24"/>
          <w:szCs w:val="24"/>
        </w:rPr>
      </w:pPr>
      <w:r w:rsidRPr="002F08F2">
        <w:rPr>
          <w:rFonts w:ascii="Times New Roman" w:hAnsi="Times New Roman" w:cs="Times New Roman"/>
          <w:iCs/>
          <w:sz w:val="24"/>
          <w:szCs w:val="24"/>
        </w:rPr>
        <w:t>Исходя из сложившейся ситуации, тема оценки банковских услуг потребителями остается актуальной для России в наши дни, что обуславливает выбор темы привлекательности банковских услуг и их оценки.</w:t>
      </w:r>
    </w:p>
    <w:p w14:paraId="07C73C38"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 xml:space="preserve">Рейтинг банков Владивостока и Приморского края составлен по данным активов нетто банков и из официальных источников, а также на основании отзывов клиентов. Всего во Владивостоке 49 банков, которые могут предложить 741 кредитную программу, из которых 213- ипотечного кредитования и 191- автокредит. </w:t>
      </w:r>
    </w:p>
    <w:p w14:paraId="45B75A6B"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Целью исследовательской работы является сравнение банков по потребительскому мнению и по экономическим показателям. В роли метода для исследования нами было выбрано анкетирование в социальных сетях. Исходя из анонимности опроса, ответы были более приближены к правде. Для того, чтобы складывающаяся картина рейтинга была наиболее правдива, в опросе участвовали потребители банковских услуг в возрасте от 18 до 87 лет.</w:t>
      </w:r>
    </w:p>
    <w:p w14:paraId="5443210E" w14:textId="77777777" w:rsidR="006A10F6" w:rsidRPr="002F08F2" w:rsidRDefault="006A10F6" w:rsidP="006A10F6">
      <w:pPr>
        <w:spacing w:line="240" w:lineRule="auto"/>
        <w:ind w:left="113" w:right="85" w:firstLine="567"/>
        <w:jc w:val="both"/>
        <w:rPr>
          <w:rFonts w:ascii="Times New Roman" w:hAnsi="Times New Roman" w:cs="Times New Roman"/>
          <w:sz w:val="24"/>
          <w:szCs w:val="24"/>
        </w:rPr>
      </w:pPr>
      <w:r w:rsidRPr="002F08F2">
        <w:rPr>
          <w:rFonts w:ascii="Times New Roman" w:hAnsi="Times New Roman" w:cs="Times New Roman"/>
          <w:noProof/>
          <w:sz w:val="24"/>
          <w:szCs w:val="24"/>
          <w:lang w:eastAsia="ru-RU"/>
        </w:rPr>
        <w:drawing>
          <wp:anchor distT="0" distB="0" distL="114300" distR="115443" simplePos="0" relativeHeight="251667456" behindDoc="0" locked="0" layoutInCell="1" allowOverlap="1" wp14:anchorId="5035E534" wp14:editId="07777777">
            <wp:simplePos x="0" y="0"/>
            <wp:positionH relativeFrom="column">
              <wp:posOffset>243840</wp:posOffset>
            </wp:positionH>
            <wp:positionV relativeFrom="paragraph">
              <wp:posOffset>481330</wp:posOffset>
            </wp:positionV>
            <wp:extent cx="5991352" cy="3343275"/>
            <wp:effectExtent l="0" t="0" r="0" b="0"/>
            <wp:wrapTopAndBottom/>
            <wp:docPr id="72" name="Shap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Shape 115"/>
                    <pic:cNvPicPr preferRelativeResize="0"/>
                  </pic:nvPicPr>
                  <pic:blipFill>
                    <a:blip r:embed="rId99" cstate="print">
                      <a:alphaModFix/>
                      <a:extLst>
                        <a:ext uri="{28A0092B-C50C-407E-A947-70E740481C1C}">
                          <a14:useLocalDpi xmlns:a14="http://schemas.microsoft.com/office/drawing/2010/main" val="0"/>
                        </a:ext>
                      </a:extLst>
                    </a:blip>
                    <a:stretch>
                      <a:fillRect/>
                    </a:stretch>
                  </pic:blipFill>
                  <pic:spPr>
                    <a:xfrm>
                      <a:off x="0" y="0"/>
                      <a:ext cx="5991225" cy="3343275"/>
                    </a:xfrm>
                    <a:prstGeom prst="rect">
                      <a:avLst/>
                    </a:prstGeom>
                    <a:noFill/>
                    <a:ln>
                      <a:noFill/>
                    </a:ln>
                  </pic:spPr>
                </pic:pic>
              </a:graphicData>
            </a:graphic>
          </wp:anchor>
        </w:drawing>
      </w:r>
      <w:r w:rsidRPr="002F08F2">
        <w:rPr>
          <w:rFonts w:ascii="Times New Roman" w:hAnsi="Times New Roman" w:cs="Times New Roman"/>
          <w:sz w:val="24"/>
          <w:szCs w:val="24"/>
        </w:rPr>
        <w:t>На данной диаграмме предоставлен рейтинг банков исходя из мнения потребителей не только приморского края, но и России в целом.</w:t>
      </w:r>
    </w:p>
    <w:p w14:paraId="3B31AECF" w14:textId="77777777" w:rsidR="006A10F6" w:rsidRPr="002F08F2" w:rsidRDefault="006A10F6" w:rsidP="006A10F6">
      <w:pPr>
        <w:spacing w:line="240" w:lineRule="auto"/>
        <w:ind w:left="113" w:right="85" w:firstLine="567"/>
        <w:jc w:val="center"/>
        <w:rPr>
          <w:rFonts w:ascii="Times New Roman" w:hAnsi="Times New Roman" w:cs="Times New Roman"/>
          <w:iCs/>
          <w:sz w:val="24"/>
          <w:szCs w:val="24"/>
        </w:rPr>
      </w:pPr>
      <w:r w:rsidRPr="002F08F2">
        <w:rPr>
          <w:rFonts w:ascii="Times New Roman" w:hAnsi="Times New Roman" w:cs="Times New Roman"/>
          <w:iCs/>
          <w:sz w:val="24"/>
          <w:szCs w:val="24"/>
        </w:rPr>
        <w:lastRenderedPageBreak/>
        <w:t xml:space="preserve">Рисунок 1 – Народный рейтинг банков </w:t>
      </w:r>
      <w:r w:rsidRPr="002F08F2">
        <w:rPr>
          <w:rFonts w:ascii="Times New Roman" w:hAnsi="Times New Roman" w:cs="Times New Roman"/>
          <w:sz w:val="24"/>
          <w:szCs w:val="24"/>
        </w:rPr>
        <w:t>[1]</w:t>
      </w:r>
    </w:p>
    <w:p w14:paraId="487FF77A"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Топ три главенствующих банка это Тинькофф банк, Авангард и Хоум кредит банк, последние места в данном списке занимают такие банки, как Райффайзен банк, Сбербанк и Газпромбанк. На первый взгляд такой рейтинг может вызвать недоумение у Приморцев, ведь Сбербанк, занимающий предпоследнее место в рейтинге остальных предприятий предоставляющих банковские услуги, выбранный по мнению самих потребителей, заставляет задуматься над тем, на какие факторы опирались потребители банковских услуг при выборе своего банка.</w:t>
      </w:r>
    </w:p>
    <w:p w14:paraId="634B1701"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 xml:space="preserve">Статистика показывает, что 80% потребителей воспользуются услугами банка, который находится на слуху и лишь 20% подойдут к выбору осознанно. Исходя из этого, именно Сбербанк должен занимать лидирующие позиции в данном топе [2]. Хотелось бы привести ряд критериев, с опорой на которые, потребители выбрали в топ 3 именно эти банки, а никакие другие. </w:t>
      </w:r>
    </w:p>
    <w:p w14:paraId="4A99FEA8" w14:textId="77777777" w:rsidR="006A10F6" w:rsidRPr="002F08F2" w:rsidRDefault="006A10F6" w:rsidP="00202D58">
      <w:pPr>
        <w:pStyle w:val="a7"/>
        <w:numPr>
          <w:ilvl w:val="0"/>
          <w:numId w:val="24"/>
        </w:numPr>
        <w:ind w:left="0" w:right="85" w:firstLine="709"/>
        <w:jc w:val="both"/>
        <w:rPr>
          <w:rFonts w:ascii="Times New Roman" w:hAnsi="Times New Roman" w:cs="Times New Roman"/>
        </w:rPr>
      </w:pPr>
      <w:r w:rsidRPr="002F08F2">
        <w:rPr>
          <w:rFonts w:ascii="Times New Roman" w:hAnsi="Times New Roman" w:cs="Times New Roman"/>
        </w:rPr>
        <w:t>Первый и самый важный критерий - история банка (по мнению специалистов, чем дольше существует банк, тем стабильнее его деятельность, ввиду преодоления им страшных экономических явлений, таких как финансовый кризис, гиперинфляция и многое другое, соответственно, можно рассчитывать на его жизнеспособность в далеком будущем)</w:t>
      </w:r>
    </w:p>
    <w:p w14:paraId="7972CA2A" w14:textId="77777777" w:rsidR="006A10F6" w:rsidRPr="002F08F2" w:rsidRDefault="006A10F6" w:rsidP="00202D58">
      <w:pPr>
        <w:pStyle w:val="a7"/>
        <w:numPr>
          <w:ilvl w:val="0"/>
          <w:numId w:val="24"/>
        </w:numPr>
        <w:ind w:left="0" w:right="85" w:firstLine="709"/>
        <w:jc w:val="both"/>
        <w:rPr>
          <w:rFonts w:ascii="Times New Roman" w:hAnsi="Times New Roman" w:cs="Times New Roman"/>
        </w:rPr>
      </w:pPr>
      <w:r w:rsidRPr="002F08F2">
        <w:rPr>
          <w:rFonts w:ascii="Times New Roman" w:hAnsi="Times New Roman" w:cs="Times New Roman"/>
        </w:rPr>
        <w:t xml:space="preserve">Следующий критерий - это репутация и имидж. </w:t>
      </w:r>
    </w:p>
    <w:p w14:paraId="1560112E" w14:textId="77777777" w:rsidR="006A10F6" w:rsidRPr="002F08F2" w:rsidRDefault="006A10F6" w:rsidP="00202D58">
      <w:pPr>
        <w:pStyle w:val="a7"/>
        <w:numPr>
          <w:ilvl w:val="0"/>
          <w:numId w:val="24"/>
        </w:numPr>
        <w:spacing w:after="200"/>
        <w:ind w:left="113" w:right="85" w:firstLine="567"/>
        <w:jc w:val="both"/>
        <w:rPr>
          <w:rFonts w:ascii="Times New Roman" w:hAnsi="Times New Roman" w:cs="Times New Roman"/>
        </w:rPr>
      </w:pPr>
      <w:r w:rsidRPr="002F08F2">
        <w:rPr>
          <w:rFonts w:ascii="Times New Roman" w:hAnsi="Times New Roman" w:cs="Times New Roman"/>
        </w:rPr>
        <w:t>Рейтинг банка</w:t>
      </w:r>
    </w:p>
    <w:p w14:paraId="0FAEE81F" w14:textId="77777777" w:rsidR="006A10F6" w:rsidRPr="002F08F2" w:rsidRDefault="006A10F6" w:rsidP="00202D58">
      <w:pPr>
        <w:pStyle w:val="a7"/>
        <w:numPr>
          <w:ilvl w:val="0"/>
          <w:numId w:val="24"/>
        </w:numPr>
        <w:ind w:left="0" w:right="85" w:firstLine="709"/>
        <w:jc w:val="both"/>
        <w:rPr>
          <w:rFonts w:ascii="Times New Roman" w:hAnsi="Times New Roman" w:cs="Times New Roman"/>
        </w:rPr>
      </w:pPr>
      <w:r w:rsidRPr="002F08F2">
        <w:rPr>
          <w:rFonts w:ascii="Times New Roman" w:hAnsi="Times New Roman" w:cs="Times New Roman"/>
        </w:rPr>
        <w:t xml:space="preserve">И, наконец, уровень обслуживания. На этом пункте мы бы хотели заострить внимание. Обратившись к Тинькофф банку и отследив развитость системы общения с клиентами, можно сделать вывод о том, что данная организация уделяет большое количество внимания и ресурсов для улучшения качества обслуживания своих клиентов. Естественно, потребители будут выбирать тот банк, у которого самый удобный сервис связи, высокая скорость решения проблем потребителя и уважительное отношение к клиентам. Чего мы не можем сказать про Сбербанк. Сервис общения данного банка с клиентами переполнен недостатками, начиная от телефонии, заканчивая отношением сервиса к клиентам. Исходя из всего вышесказанного, главенствующая позиция Тинькоффбанка по мнению потребителей совершенно оправдана и соответствует реальности. </w:t>
      </w:r>
    </w:p>
    <w:p w14:paraId="21808392"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Итак, по результатам проведенного нами опроса, был составлен рейтинг факторов, наиболее и наименее предпочтительных для клиентов при выборе того или иного банка.</w:t>
      </w:r>
    </w:p>
    <w:p w14:paraId="4267F419" w14:textId="77777777" w:rsidR="006A10F6" w:rsidRPr="002F08F2" w:rsidRDefault="006A10F6" w:rsidP="006A10F6">
      <w:pPr>
        <w:widowControl w:val="0"/>
        <w:autoSpaceDE w:val="0"/>
        <w:autoSpaceDN w:val="0"/>
        <w:adjustRightInd w:val="0"/>
        <w:spacing w:after="0"/>
        <w:jc w:val="right"/>
        <w:rPr>
          <w:rFonts w:ascii="Times New Roman" w:hAnsi="Times New Roman" w:cs="Times New Roman"/>
          <w:i/>
          <w:sz w:val="24"/>
          <w:szCs w:val="24"/>
        </w:rPr>
      </w:pPr>
    </w:p>
    <w:p w14:paraId="5AB6362E" w14:textId="77777777" w:rsidR="006A10F6" w:rsidRPr="002F08F2" w:rsidRDefault="006A10F6" w:rsidP="006A10F6">
      <w:pPr>
        <w:widowControl w:val="0"/>
        <w:autoSpaceDE w:val="0"/>
        <w:autoSpaceDN w:val="0"/>
        <w:adjustRightInd w:val="0"/>
        <w:spacing w:after="0" w:line="240" w:lineRule="auto"/>
        <w:jc w:val="right"/>
        <w:rPr>
          <w:rFonts w:ascii="Times New Roman" w:hAnsi="Times New Roman" w:cs="Times New Roman"/>
          <w:i/>
          <w:sz w:val="24"/>
          <w:szCs w:val="24"/>
        </w:rPr>
      </w:pPr>
      <w:r w:rsidRPr="002F08F2">
        <w:rPr>
          <w:rFonts w:ascii="Times New Roman" w:hAnsi="Times New Roman" w:cs="Times New Roman"/>
          <w:i/>
          <w:sz w:val="24"/>
          <w:szCs w:val="24"/>
        </w:rPr>
        <w:t>Таблица 1</w:t>
      </w:r>
    </w:p>
    <w:p w14:paraId="328E9CA2" w14:textId="77777777" w:rsidR="006A10F6" w:rsidRPr="002F08F2" w:rsidRDefault="006A10F6" w:rsidP="006A10F6">
      <w:pPr>
        <w:widowControl w:val="0"/>
        <w:autoSpaceDE w:val="0"/>
        <w:autoSpaceDN w:val="0"/>
        <w:adjustRightInd w:val="0"/>
        <w:spacing w:after="0" w:line="240" w:lineRule="auto"/>
        <w:jc w:val="center"/>
        <w:rPr>
          <w:rFonts w:ascii="Times New Roman" w:hAnsi="Times New Roman" w:cs="Times New Roman"/>
          <w:b/>
          <w:sz w:val="24"/>
          <w:szCs w:val="24"/>
        </w:rPr>
      </w:pPr>
      <w:r w:rsidRPr="002F08F2">
        <w:rPr>
          <w:rFonts w:ascii="Times New Roman" w:hAnsi="Times New Roman" w:cs="Times New Roman"/>
          <w:b/>
          <w:sz w:val="24"/>
          <w:szCs w:val="24"/>
        </w:rPr>
        <w:t>Процентное соотношение факторов</w:t>
      </w:r>
    </w:p>
    <w:p w14:paraId="2307325F" w14:textId="77777777" w:rsidR="005E757C" w:rsidRPr="002F08F2" w:rsidRDefault="005E757C" w:rsidP="006A10F6">
      <w:pPr>
        <w:widowControl w:val="0"/>
        <w:autoSpaceDE w:val="0"/>
        <w:autoSpaceDN w:val="0"/>
        <w:adjustRightInd w:val="0"/>
        <w:spacing w:after="0" w:line="240" w:lineRule="auto"/>
        <w:jc w:val="center"/>
        <w:rPr>
          <w:rFonts w:ascii="Times New Roman" w:hAnsi="Times New Roman" w:cs="Times New Roman"/>
          <w:b/>
          <w:sz w:val="24"/>
          <w:szCs w:val="24"/>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5"/>
        <w:gridCol w:w="5104"/>
      </w:tblGrid>
      <w:tr w:rsidR="006A10F6" w:rsidRPr="002F08F2" w14:paraId="28E3E110" w14:textId="77777777" w:rsidTr="006A10F6">
        <w:trPr>
          <w:jc w:val="center"/>
        </w:trPr>
        <w:tc>
          <w:tcPr>
            <w:tcW w:w="4535" w:type="dxa"/>
          </w:tcPr>
          <w:p w14:paraId="7E7A4FF8"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Факторы</w:t>
            </w:r>
          </w:p>
        </w:tc>
        <w:tc>
          <w:tcPr>
            <w:tcW w:w="5104" w:type="dxa"/>
          </w:tcPr>
          <w:p w14:paraId="423A6127"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Среднее значение, %</w:t>
            </w:r>
          </w:p>
        </w:tc>
      </w:tr>
      <w:tr w:rsidR="006A10F6" w:rsidRPr="002F08F2" w14:paraId="40A97B3C" w14:textId="77777777" w:rsidTr="006A10F6">
        <w:trPr>
          <w:jc w:val="center"/>
        </w:trPr>
        <w:tc>
          <w:tcPr>
            <w:tcW w:w="4535" w:type="dxa"/>
          </w:tcPr>
          <w:p w14:paraId="4463FE12"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Процентная ставка</w:t>
            </w:r>
          </w:p>
        </w:tc>
        <w:tc>
          <w:tcPr>
            <w:tcW w:w="5104" w:type="dxa"/>
          </w:tcPr>
          <w:p w14:paraId="48758079"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highlight w:val="white"/>
              </w:rPr>
              <w:t>29</w:t>
            </w:r>
          </w:p>
        </w:tc>
      </w:tr>
      <w:tr w:rsidR="006A10F6" w:rsidRPr="002F08F2" w14:paraId="11D58CA5" w14:textId="77777777" w:rsidTr="006A10F6">
        <w:trPr>
          <w:jc w:val="center"/>
        </w:trPr>
        <w:tc>
          <w:tcPr>
            <w:tcW w:w="4535" w:type="dxa"/>
          </w:tcPr>
          <w:p w14:paraId="72B8B494"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Скидки и бонусы</w:t>
            </w:r>
          </w:p>
        </w:tc>
        <w:tc>
          <w:tcPr>
            <w:tcW w:w="5104" w:type="dxa"/>
          </w:tcPr>
          <w:p w14:paraId="42124560"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9</w:t>
            </w:r>
          </w:p>
        </w:tc>
      </w:tr>
      <w:tr w:rsidR="006A10F6" w:rsidRPr="002F08F2" w14:paraId="4A76EC28" w14:textId="77777777" w:rsidTr="006A10F6">
        <w:trPr>
          <w:jc w:val="center"/>
        </w:trPr>
        <w:tc>
          <w:tcPr>
            <w:tcW w:w="4535" w:type="dxa"/>
          </w:tcPr>
          <w:p w14:paraId="27BFD9CD"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Штрафы за просроченный платеж</w:t>
            </w:r>
          </w:p>
        </w:tc>
        <w:tc>
          <w:tcPr>
            <w:tcW w:w="5104" w:type="dxa"/>
          </w:tcPr>
          <w:p w14:paraId="394C502F"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12</w:t>
            </w:r>
          </w:p>
        </w:tc>
      </w:tr>
      <w:tr w:rsidR="006A10F6" w:rsidRPr="002F08F2" w14:paraId="418AF5CB" w14:textId="77777777" w:rsidTr="006A10F6">
        <w:trPr>
          <w:jc w:val="center"/>
        </w:trPr>
        <w:tc>
          <w:tcPr>
            <w:tcW w:w="4535" w:type="dxa"/>
          </w:tcPr>
          <w:p w14:paraId="3A088F28"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Процент переплаты</w:t>
            </w:r>
          </w:p>
        </w:tc>
        <w:tc>
          <w:tcPr>
            <w:tcW w:w="5104" w:type="dxa"/>
          </w:tcPr>
          <w:p w14:paraId="44C26413"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22</w:t>
            </w:r>
          </w:p>
        </w:tc>
      </w:tr>
      <w:tr w:rsidR="006A10F6" w:rsidRPr="002F08F2" w14:paraId="6D8190FA" w14:textId="77777777" w:rsidTr="006A10F6">
        <w:trPr>
          <w:jc w:val="center"/>
        </w:trPr>
        <w:tc>
          <w:tcPr>
            <w:tcW w:w="4535" w:type="dxa"/>
          </w:tcPr>
          <w:p w14:paraId="0E7422E9"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Скидка за хорошую кредитную историю</w:t>
            </w:r>
          </w:p>
        </w:tc>
        <w:tc>
          <w:tcPr>
            <w:tcW w:w="5104" w:type="dxa"/>
          </w:tcPr>
          <w:p w14:paraId="415384D1"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13</w:t>
            </w:r>
          </w:p>
        </w:tc>
      </w:tr>
      <w:tr w:rsidR="006A10F6" w:rsidRPr="002F08F2" w14:paraId="409FCD42" w14:textId="77777777" w:rsidTr="006A10F6">
        <w:trPr>
          <w:jc w:val="center"/>
        </w:trPr>
        <w:tc>
          <w:tcPr>
            <w:tcW w:w="4535" w:type="dxa"/>
          </w:tcPr>
          <w:p w14:paraId="4FB979E2"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Условия хранения вклада</w:t>
            </w:r>
          </w:p>
        </w:tc>
        <w:tc>
          <w:tcPr>
            <w:tcW w:w="5104" w:type="dxa"/>
          </w:tcPr>
          <w:p w14:paraId="4C2A823A" w14:textId="77777777" w:rsidR="006A10F6" w:rsidRPr="002F08F2" w:rsidRDefault="006A10F6" w:rsidP="006A10F6">
            <w:pPr>
              <w:spacing w:line="240" w:lineRule="auto"/>
              <w:ind w:right="85"/>
              <w:jc w:val="center"/>
              <w:rPr>
                <w:rFonts w:ascii="Times New Roman" w:hAnsi="Times New Roman" w:cs="Times New Roman"/>
                <w:sz w:val="24"/>
                <w:szCs w:val="24"/>
              </w:rPr>
            </w:pPr>
            <w:r w:rsidRPr="002F08F2">
              <w:rPr>
                <w:rFonts w:ascii="Times New Roman" w:hAnsi="Times New Roman" w:cs="Times New Roman"/>
                <w:sz w:val="24"/>
                <w:szCs w:val="24"/>
              </w:rPr>
              <w:t>15</w:t>
            </w:r>
          </w:p>
        </w:tc>
      </w:tr>
    </w:tbl>
    <w:p w14:paraId="313AE7F5" w14:textId="77777777" w:rsidR="00B92001" w:rsidRPr="002F08F2" w:rsidRDefault="00B92001" w:rsidP="006A10F6">
      <w:pPr>
        <w:spacing w:after="0" w:line="240" w:lineRule="auto"/>
        <w:ind w:left="113" w:right="85" w:firstLine="567"/>
        <w:jc w:val="both"/>
        <w:rPr>
          <w:rFonts w:ascii="Times New Roman" w:hAnsi="Times New Roman" w:cs="Times New Roman"/>
          <w:sz w:val="24"/>
          <w:szCs w:val="24"/>
        </w:rPr>
      </w:pPr>
    </w:p>
    <w:p w14:paraId="6616923A" w14:textId="77777777" w:rsidR="006A10F6" w:rsidRPr="002F08F2" w:rsidRDefault="006A10F6" w:rsidP="006A10F6">
      <w:pPr>
        <w:spacing w:after="0" w:line="240" w:lineRule="auto"/>
        <w:ind w:left="113" w:right="85" w:firstLine="567"/>
        <w:jc w:val="both"/>
        <w:rPr>
          <w:rFonts w:ascii="Times New Roman" w:hAnsi="Times New Roman" w:cs="Times New Roman"/>
          <w:sz w:val="24"/>
          <w:szCs w:val="24"/>
        </w:rPr>
      </w:pPr>
      <w:r w:rsidRPr="002F08F2">
        <w:rPr>
          <w:rFonts w:ascii="Times New Roman" w:hAnsi="Times New Roman" w:cs="Times New Roman"/>
          <w:sz w:val="24"/>
          <w:szCs w:val="24"/>
        </w:rPr>
        <w:t xml:space="preserve">Исходя из таблицы, можно сделать вывод о том, что большее внимание при выборе банка потребители уделяют процентной ставке, это в среднем составляет 29%, на втором </w:t>
      </w:r>
      <w:r w:rsidRPr="002F08F2">
        <w:rPr>
          <w:rFonts w:ascii="Times New Roman" w:hAnsi="Times New Roman" w:cs="Times New Roman"/>
          <w:sz w:val="24"/>
          <w:szCs w:val="24"/>
        </w:rPr>
        <w:lastRenderedPageBreak/>
        <w:t>месте стоит процент переплаты-22%, самым незначительным фактором являются скидки и бонусы, так как на них пришлось лишь 9% от общего количества. Таким образом, немаловажным показателем, наряду с совершенством механизма общения банка со своими потребителями и рекламной развитостью, является такой экономический показатель, как процентная ставка, проценты переплаты и другие.</w:t>
      </w:r>
    </w:p>
    <w:p w14:paraId="6A5F30EF"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Теперь необходимо рассмотреть рейтинг банков в соответствии с их активами.</w:t>
      </w:r>
    </w:p>
    <w:p w14:paraId="168F65D8" w14:textId="77777777" w:rsidR="006A10F6" w:rsidRPr="002F08F2" w:rsidRDefault="006A10F6" w:rsidP="005E757C">
      <w:pPr>
        <w:spacing w:after="0" w:line="240" w:lineRule="auto"/>
        <w:ind w:left="113" w:right="85" w:firstLine="29"/>
        <w:jc w:val="center"/>
        <w:rPr>
          <w:rFonts w:ascii="Times New Roman" w:hAnsi="Times New Roman" w:cs="Times New Roman"/>
          <w:sz w:val="24"/>
          <w:szCs w:val="24"/>
        </w:rPr>
      </w:pPr>
    </w:p>
    <w:p w14:paraId="423FAEDE" w14:textId="77777777" w:rsidR="006A10F6" w:rsidRPr="002F08F2" w:rsidRDefault="005E757C" w:rsidP="006A10F6">
      <w:pPr>
        <w:spacing w:after="0" w:line="240" w:lineRule="auto"/>
        <w:ind w:left="113" w:right="85" w:firstLine="567"/>
        <w:jc w:val="center"/>
        <w:rPr>
          <w:rFonts w:ascii="Times New Roman" w:hAnsi="Times New Roman" w:cs="Times New Roman"/>
          <w:sz w:val="24"/>
          <w:szCs w:val="24"/>
        </w:rPr>
      </w:pPr>
      <w:r w:rsidRPr="002F08F2">
        <w:rPr>
          <w:rFonts w:ascii="Times New Roman" w:hAnsi="Times New Roman" w:cs="Times New Roman"/>
          <w:noProof/>
          <w:sz w:val="24"/>
          <w:szCs w:val="24"/>
          <w:lang w:eastAsia="ru-RU"/>
        </w:rPr>
        <w:drawing>
          <wp:anchor distT="0" distB="0" distL="114300" distR="114300" simplePos="0" relativeHeight="251668480" behindDoc="0" locked="0" layoutInCell="1" allowOverlap="1" wp14:anchorId="38A4F385" wp14:editId="07777777">
            <wp:simplePos x="0" y="0"/>
            <wp:positionH relativeFrom="column">
              <wp:posOffset>394335</wp:posOffset>
            </wp:positionH>
            <wp:positionV relativeFrom="paragraph">
              <wp:posOffset>344805</wp:posOffset>
            </wp:positionV>
            <wp:extent cx="5353050" cy="3464560"/>
            <wp:effectExtent l="0" t="0" r="0" b="2540"/>
            <wp:wrapTopAndBottom/>
            <wp:docPr id="73" name="Shap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Shape 122"/>
                    <pic:cNvPicPr preferRelativeResize="0"/>
                  </pic:nvPicPr>
                  <pic:blipFill rotWithShape="1">
                    <a:blip r:embed="rId100" cstate="print">
                      <a:alphaModFix/>
                      <a:extLst>
                        <a:ext uri="{28A0092B-C50C-407E-A947-70E740481C1C}">
                          <a14:useLocalDpi xmlns:a14="http://schemas.microsoft.com/office/drawing/2010/main" val="0"/>
                        </a:ext>
                      </a:extLst>
                    </a:blip>
                    <a:srcRect l="3846" t="4351"/>
                    <a:stretch/>
                  </pic:blipFill>
                  <pic:spPr bwMode="auto">
                    <a:xfrm>
                      <a:off x="0" y="0"/>
                      <a:ext cx="5353050" cy="3464560"/>
                    </a:xfrm>
                    <a:prstGeom prst="rect">
                      <a:avLst/>
                    </a:prstGeom>
                    <a:noFill/>
                    <a:ln>
                      <a:noFill/>
                    </a:ln>
                    <a:extLst>
                      <a:ext uri="{53640926-AAD7-44D8-BBD7-CCE9431645EC}">
                        <a14:shadowObscured xmlns:a14="http://schemas.microsoft.com/office/drawing/2010/main"/>
                      </a:ext>
                    </a:extLst>
                  </pic:spPr>
                </pic:pic>
              </a:graphicData>
            </a:graphic>
          </wp:anchor>
        </w:drawing>
      </w:r>
      <w:r w:rsidR="006A10F6" w:rsidRPr="002F08F2">
        <w:rPr>
          <w:rFonts w:ascii="Times New Roman" w:hAnsi="Times New Roman" w:cs="Times New Roman"/>
          <w:sz w:val="24"/>
          <w:szCs w:val="24"/>
        </w:rPr>
        <w:t>Рисунок 2 – Рейтинг банков Владивостока [1]</w:t>
      </w:r>
    </w:p>
    <w:p w14:paraId="5051756C" w14:textId="77777777" w:rsidR="006A10F6" w:rsidRPr="002F08F2" w:rsidRDefault="006A10F6" w:rsidP="006A10F6">
      <w:pPr>
        <w:spacing w:after="0" w:line="240" w:lineRule="auto"/>
        <w:ind w:left="113" w:right="85" w:firstLine="567"/>
        <w:jc w:val="both"/>
        <w:rPr>
          <w:rFonts w:ascii="Times New Roman" w:hAnsi="Times New Roman" w:cs="Times New Roman"/>
          <w:sz w:val="24"/>
          <w:szCs w:val="24"/>
        </w:rPr>
      </w:pPr>
      <w:r w:rsidRPr="002F08F2">
        <w:rPr>
          <w:rFonts w:ascii="Times New Roman" w:hAnsi="Times New Roman" w:cs="Times New Roman"/>
          <w:sz w:val="24"/>
          <w:szCs w:val="24"/>
        </w:rPr>
        <w:t xml:space="preserve">Здесь вы можете наблюдать вполне ожидаемую картину. Топ 3 банков составляют Сбербанк, ВТБ и Газпромбанк. Самыми отсталыми в экономическом плане по сравнению со своими конкурентами оказались Росбанк, Совкомбанк и Национальный банк. Данные по активам нетто банков взяты с официального источника-информационного портала Банки.ру. </w:t>
      </w:r>
    </w:p>
    <w:p w14:paraId="416667E5"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t>Подводя итог, следует отметить и еще раз обратить ваше внимание на то, насколько рознятся рейтинги банков исходя из экономических факторов и мнения потребителей. Не стоит забывать о том, что наравне с такими важными показателями, как ставка процента, процент по вкладам и другие факторы, несомненно, оказывают огромное влияние на потребителя, однако не менее важным является факт развития сервиса общения со своим потребителем. Если банк, который находится на слуху, пользуется популярностью среди огромного количества пользователей, это не показывает его единогласное лидерство среди конкурентов [3]. Таким образом, исходя из проведенного исследования, можно вывести некоторые пункты, на которые стоит обратить внимание предприятиям, предоставляющим банковские услуги для того, чтобы улучшить качество обслуживания своих клиентов и как следствие, увеличить их количество.</w:t>
      </w:r>
    </w:p>
    <w:p w14:paraId="0FCA96EE" w14:textId="77777777" w:rsidR="006A10F6" w:rsidRPr="002F08F2" w:rsidRDefault="630840AF" w:rsidP="630840AF">
      <w:pPr>
        <w:pStyle w:val="a7"/>
        <w:numPr>
          <w:ilvl w:val="0"/>
          <w:numId w:val="25"/>
        </w:numPr>
        <w:shd w:val="clear" w:color="auto" w:fill="FFFFFF" w:themeFill="background1"/>
        <w:ind w:left="0" w:right="85" w:firstLine="709"/>
        <w:jc w:val="both"/>
        <w:rPr>
          <w:rFonts w:ascii="Times New Roman" w:hAnsi="Times New Roman" w:cs="Times New Roman"/>
        </w:rPr>
      </w:pPr>
      <w:r w:rsidRPr="630840AF">
        <w:rPr>
          <w:rFonts w:ascii="Times New Roman" w:hAnsi="Times New Roman" w:cs="Times New Roman"/>
        </w:rPr>
        <w:t>Отсутствие очередей и высокая скорость совершения операций</w:t>
      </w:r>
    </w:p>
    <w:p w14:paraId="0513468E" w14:textId="77777777" w:rsidR="006A10F6" w:rsidRPr="002F08F2" w:rsidRDefault="630840AF" w:rsidP="630840AF">
      <w:pPr>
        <w:pStyle w:val="a7"/>
        <w:numPr>
          <w:ilvl w:val="0"/>
          <w:numId w:val="25"/>
        </w:numPr>
        <w:shd w:val="clear" w:color="auto" w:fill="FFFFFF" w:themeFill="background1"/>
        <w:ind w:left="0" w:right="85" w:firstLine="709"/>
        <w:jc w:val="both"/>
        <w:rPr>
          <w:rFonts w:ascii="Times New Roman" w:hAnsi="Times New Roman" w:cs="Times New Roman"/>
        </w:rPr>
      </w:pPr>
      <w:r w:rsidRPr="630840AF">
        <w:rPr>
          <w:rFonts w:ascii="Times New Roman" w:hAnsi="Times New Roman" w:cs="Times New Roman"/>
        </w:rPr>
        <w:t>Комфортабельная зона ожидания с распечатанными информационными материалами, касающимися предложений конкретного банка</w:t>
      </w:r>
    </w:p>
    <w:p w14:paraId="1A6345EE" w14:textId="77777777" w:rsidR="006A10F6" w:rsidRPr="002F08F2" w:rsidRDefault="630840AF" w:rsidP="630840AF">
      <w:pPr>
        <w:pStyle w:val="a7"/>
        <w:numPr>
          <w:ilvl w:val="0"/>
          <w:numId w:val="25"/>
        </w:numPr>
        <w:shd w:val="clear" w:color="auto" w:fill="FFFFFF" w:themeFill="background1"/>
        <w:ind w:left="0" w:right="85" w:firstLine="709"/>
        <w:jc w:val="both"/>
        <w:rPr>
          <w:rFonts w:ascii="Times New Roman" w:hAnsi="Times New Roman" w:cs="Times New Roman"/>
        </w:rPr>
      </w:pPr>
      <w:r w:rsidRPr="630840AF">
        <w:rPr>
          <w:rFonts w:ascii="Times New Roman" w:hAnsi="Times New Roman" w:cs="Times New Roman"/>
        </w:rPr>
        <w:t>Умение банковскими сотрудниками детально проконсультировать клиента и вежливо ответить на все возникающие вопросы</w:t>
      </w:r>
    </w:p>
    <w:p w14:paraId="3613FF74" w14:textId="77777777" w:rsidR="006A10F6" w:rsidRPr="002F08F2" w:rsidRDefault="630840AF" w:rsidP="630840AF">
      <w:pPr>
        <w:pStyle w:val="a7"/>
        <w:numPr>
          <w:ilvl w:val="0"/>
          <w:numId w:val="25"/>
        </w:numPr>
        <w:shd w:val="clear" w:color="auto" w:fill="FFFFFF" w:themeFill="background1"/>
        <w:ind w:left="0" w:right="85" w:firstLine="709"/>
        <w:jc w:val="both"/>
        <w:rPr>
          <w:rFonts w:ascii="Times New Roman" w:hAnsi="Times New Roman" w:cs="Times New Roman"/>
        </w:rPr>
      </w:pPr>
      <w:r w:rsidRPr="630840AF">
        <w:rPr>
          <w:rFonts w:ascii="Times New Roman" w:hAnsi="Times New Roman" w:cs="Times New Roman"/>
        </w:rPr>
        <w:t>Наличие интернет-банкинга и возможности провести банковскую операцию не выходя из дома</w:t>
      </w:r>
    </w:p>
    <w:p w14:paraId="76867EDD" w14:textId="77777777" w:rsidR="006A10F6" w:rsidRPr="002F08F2" w:rsidRDefault="630840AF" w:rsidP="630840AF">
      <w:pPr>
        <w:pStyle w:val="a7"/>
        <w:numPr>
          <w:ilvl w:val="0"/>
          <w:numId w:val="25"/>
        </w:numPr>
        <w:shd w:val="clear" w:color="auto" w:fill="FFFFFF" w:themeFill="background1"/>
        <w:ind w:left="0" w:right="85" w:firstLine="709"/>
        <w:jc w:val="both"/>
        <w:rPr>
          <w:rFonts w:ascii="Times New Roman" w:hAnsi="Times New Roman" w:cs="Times New Roman"/>
        </w:rPr>
      </w:pPr>
      <w:r w:rsidRPr="630840AF">
        <w:rPr>
          <w:rFonts w:ascii="Times New Roman" w:hAnsi="Times New Roman" w:cs="Times New Roman"/>
        </w:rPr>
        <w:t>Обратная связь между банком и клиентами</w:t>
      </w:r>
    </w:p>
    <w:p w14:paraId="37BC6F75" w14:textId="77777777" w:rsidR="006A10F6" w:rsidRPr="002F08F2" w:rsidRDefault="006A10F6" w:rsidP="006A10F6">
      <w:pPr>
        <w:spacing w:after="0" w:line="240" w:lineRule="auto"/>
        <w:ind w:right="85" w:firstLine="709"/>
        <w:jc w:val="both"/>
        <w:rPr>
          <w:rFonts w:ascii="Times New Roman" w:hAnsi="Times New Roman" w:cs="Times New Roman"/>
          <w:sz w:val="24"/>
          <w:szCs w:val="24"/>
        </w:rPr>
      </w:pPr>
      <w:r w:rsidRPr="002F08F2">
        <w:rPr>
          <w:rFonts w:ascii="Times New Roman" w:hAnsi="Times New Roman" w:cs="Times New Roman"/>
          <w:sz w:val="24"/>
          <w:szCs w:val="24"/>
        </w:rPr>
        <w:lastRenderedPageBreak/>
        <w:t xml:space="preserve">В настоящий момент Тинькофф Банк демонстрирует самый высокий среди российских финансовых учреждений уровень рентабельности капитала, этот показатель у Тинькофф Банка составляет 51%, тогда как у того же Сбербанка только 22,8%. К тому же, владелец банка, по официальным данным, придерживается агрессивной тактики ведения бизнеса, что может послужить уверенной перспективой для продолжения деятельности данного банка еще многое количество лет. </w:t>
      </w:r>
    </w:p>
    <w:p w14:paraId="25DFF58D" w14:textId="77777777" w:rsidR="006A10F6" w:rsidRPr="002F08F2" w:rsidRDefault="006A10F6" w:rsidP="006A10F6">
      <w:pPr>
        <w:rPr>
          <w:rFonts w:ascii="Times New Roman" w:hAnsi="Times New Roman" w:cs="Times New Roman"/>
          <w:sz w:val="24"/>
          <w:szCs w:val="24"/>
        </w:rPr>
      </w:pPr>
      <w:r w:rsidRPr="002F08F2">
        <w:rPr>
          <w:rFonts w:ascii="Times New Roman" w:hAnsi="Times New Roman" w:cs="Times New Roman"/>
          <w:sz w:val="24"/>
          <w:szCs w:val="24"/>
        </w:rPr>
        <w:t xml:space="preserve"> ________________________________</w:t>
      </w:r>
    </w:p>
    <w:p w14:paraId="28CA77CF" w14:textId="77777777" w:rsidR="006A10F6" w:rsidRPr="002F08F2" w:rsidRDefault="006A10F6" w:rsidP="00202D58">
      <w:pPr>
        <w:numPr>
          <w:ilvl w:val="0"/>
          <w:numId w:val="26"/>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 Рейтинг  банков приморского края по активам нетто [Электронный ресурс] //Банки ру. - Режим доступа: </w:t>
      </w:r>
      <w:hyperlink r:id="rId101" w:history="1">
        <w:r w:rsidRPr="002F08F2">
          <w:rPr>
            <w:rFonts w:ascii="Times New Roman" w:eastAsia="Times New Roman" w:hAnsi="Times New Roman" w:cs="Times New Roman"/>
            <w:sz w:val="24"/>
            <w:szCs w:val="24"/>
            <w:lang w:eastAsia="ru-RU"/>
          </w:rPr>
          <w:t>http://www.banki.ru</w:t>
        </w:r>
      </w:hyperlink>
    </w:p>
    <w:p w14:paraId="4F6FBB20" w14:textId="77777777" w:rsidR="006A10F6" w:rsidRPr="002F08F2" w:rsidRDefault="006A10F6" w:rsidP="00202D58">
      <w:pPr>
        <w:numPr>
          <w:ilvl w:val="0"/>
          <w:numId w:val="26"/>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Банки Приморского края рейтинг надёжности 2018/ [Электронный ресурс] //OFFBANK_. – Режим доступа. – : </w:t>
      </w:r>
      <w:hyperlink r:id="rId102" w:history="1">
        <w:r w:rsidRPr="002F08F2">
          <w:rPr>
            <w:rFonts w:ascii="Times New Roman" w:eastAsia="Times New Roman" w:hAnsi="Times New Roman" w:cs="Times New Roman"/>
            <w:sz w:val="24"/>
            <w:szCs w:val="24"/>
            <w:lang w:eastAsia="ru-RU"/>
          </w:rPr>
          <w:t>https://www.offbank.ru/banki/_primorskogo-kraya.html</w:t>
        </w:r>
      </w:hyperlink>
    </w:p>
    <w:p w14:paraId="67B8D0B0" w14:textId="77777777" w:rsidR="006A10F6" w:rsidRPr="002F08F2" w:rsidRDefault="006A10F6" w:rsidP="00202D58">
      <w:pPr>
        <w:numPr>
          <w:ilvl w:val="0"/>
          <w:numId w:val="26"/>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Анализ рынка потребительского кредитования в Приморском крае [Электронный ресурс] // Международный журнал прикладных и фундаментальных исследований. - Режим доступа: </w:t>
      </w:r>
      <w:hyperlink r:id="rId103" w:history="1">
        <w:r w:rsidRPr="002F08F2">
          <w:rPr>
            <w:rFonts w:ascii="Times New Roman" w:eastAsia="Times New Roman" w:hAnsi="Times New Roman" w:cs="Times New Roman"/>
            <w:sz w:val="24"/>
            <w:szCs w:val="24"/>
            <w:lang w:eastAsia="ru-RU"/>
          </w:rPr>
          <w:t>https://applied-research.ru/ru/article/view?id=9811</w:t>
        </w:r>
      </w:hyperlink>
    </w:p>
    <w:p w14:paraId="460FA7C8" w14:textId="77777777" w:rsidR="00B7659B" w:rsidRDefault="00B7659B" w:rsidP="006A10F6">
      <w:pPr>
        <w:widowControl w:val="0"/>
        <w:autoSpaceDE w:val="0"/>
        <w:autoSpaceDN w:val="0"/>
        <w:adjustRightInd w:val="0"/>
        <w:spacing w:after="0" w:line="240" w:lineRule="auto"/>
        <w:rPr>
          <w:rFonts w:ascii="Times New Roman" w:eastAsia="MS ??" w:hAnsi="Times New Roman"/>
          <w:b/>
          <w:sz w:val="20"/>
          <w:szCs w:val="24"/>
          <w:lang w:eastAsia="ru-RU"/>
        </w:rPr>
      </w:pPr>
    </w:p>
    <w:p w14:paraId="76A5953D" w14:textId="77777777" w:rsidR="000B1300" w:rsidRDefault="000B1300" w:rsidP="006A10F6">
      <w:pPr>
        <w:widowControl w:val="0"/>
        <w:autoSpaceDE w:val="0"/>
        <w:autoSpaceDN w:val="0"/>
        <w:adjustRightInd w:val="0"/>
        <w:spacing w:after="0" w:line="240" w:lineRule="auto"/>
        <w:rPr>
          <w:rFonts w:ascii="Times New Roman" w:eastAsia="MS ??" w:hAnsi="Times New Roman" w:cs="Times New Roman"/>
          <w:b/>
          <w:sz w:val="24"/>
          <w:szCs w:val="24"/>
          <w:lang w:eastAsia="ru-RU"/>
        </w:rPr>
      </w:pPr>
    </w:p>
    <w:p w14:paraId="3C07BD89" w14:textId="77777777" w:rsidR="006D6F5D" w:rsidRDefault="006D6F5D" w:rsidP="006A10F6">
      <w:pPr>
        <w:widowControl w:val="0"/>
        <w:autoSpaceDE w:val="0"/>
        <w:autoSpaceDN w:val="0"/>
        <w:adjustRightInd w:val="0"/>
        <w:spacing w:after="0" w:line="240" w:lineRule="auto"/>
        <w:rPr>
          <w:rFonts w:ascii="Times New Roman" w:eastAsia="MS ??" w:hAnsi="Times New Roman" w:cs="Times New Roman"/>
          <w:b/>
          <w:sz w:val="24"/>
          <w:szCs w:val="24"/>
          <w:lang w:eastAsia="ru-RU"/>
        </w:rPr>
      </w:pPr>
    </w:p>
    <w:p w14:paraId="45E14CD9" w14:textId="77777777" w:rsidR="006A10F6" w:rsidRPr="002F08F2" w:rsidRDefault="006A10F6" w:rsidP="006A10F6">
      <w:pPr>
        <w:widowControl w:val="0"/>
        <w:autoSpaceDE w:val="0"/>
        <w:autoSpaceDN w:val="0"/>
        <w:adjustRightInd w:val="0"/>
        <w:spacing w:after="0" w:line="240" w:lineRule="auto"/>
        <w:rPr>
          <w:rFonts w:ascii="Times New Roman" w:eastAsia="MS ??" w:hAnsi="Times New Roman" w:cs="Times New Roman"/>
          <w:b/>
          <w:sz w:val="24"/>
          <w:szCs w:val="24"/>
          <w:lang w:eastAsia="ru-RU"/>
        </w:rPr>
      </w:pPr>
      <w:r w:rsidRPr="002F08F2">
        <w:rPr>
          <w:rFonts w:ascii="Times New Roman" w:eastAsia="MS ??" w:hAnsi="Times New Roman" w:cs="Times New Roman"/>
          <w:b/>
          <w:sz w:val="24"/>
          <w:szCs w:val="24"/>
          <w:lang w:eastAsia="ru-RU"/>
        </w:rPr>
        <w:t>Рубрика: Экономика и управление</w:t>
      </w:r>
    </w:p>
    <w:p w14:paraId="63FE3489" w14:textId="77777777" w:rsidR="00A20AF2" w:rsidRPr="002F08F2" w:rsidRDefault="00A20AF2" w:rsidP="006A10F6">
      <w:pPr>
        <w:widowControl w:val="0"/>
        <w:autoSpaceDE w:val="0"/>
        <w:autoSpaceDN w:val="0"/>
        <w:adjustRightInd w:val="0"/>
        <w:spacing w:after="0" w:line="240" w:lineRule="auto"/>
        <w:rPr>
          <w:rFonts w:ascii="Times New Roman" w:eastAsia="MS ??" w:hAnsi="Times New Roman" w:cs="Times New Roman"/>
          <w:sz w:val="24"/>
          <w:szCs w:val="24"/>
          <w:lang w:eastAsia="ru-RU"/>
        </w:rPr>
      </w:pPr>
    </w:p>
    <w:p w14:paraId="462F4678" w14:textId="77777777" w:rsidR="006A10F6" w:rsidRPr="002F08F2" w:rsidRDefault="006A10F6" w:rsidP="006A10F6">
      <w:pPr>
        <w:widowControl w:val="0"/>
        <w:autoSpaceDE w:val="0"/>
        <w:autoSpaceDN w:val="0"/>
        <w:adjustRightInd w:val="0"/>
        <w:spacing w:after="0" w:line="240" w:lineRule="auto"/>
        <w:rPr>
          <w:rFonts w:ascii="Times New Roman" w:eastAsia="MS ??" w:hAnsi="Times New Roman" w:cs="Times New Roman"/>
          <w:sz w:val="24"/>
          <w:szCs w:val="24"/>
          <w:lang w:eastAsia="ru-RU"/>
        </w:rPr>
      </w:pPr>
      <w:r w:rsidRPr="002F08F2">
        <w:rPr>
          <w:rFonts w:ascii="Times New Roman" w:eastAsia="MS ??" w:hAnsi="Times New Roman" w:cs="Times New Roman"/>
          <w:sz w:val="24"/>
          <w:szCs w:val="24"/>
          <w:lang w:eastAsia="ru-RU"/>
        </w:rPr>
        <w:t>УДК 33</w:t>
      </w:r>
    </w:p>
    <w:p w14:paraId="52B8818E" w14:textId="77777777" w:rsidR="00A20AF2" w:rsidRPr="002F08F2" w:rsidRDefault="00A20AF2" w:rsidP="006A10F6">
      <w:pPr>
        <w:widowControl w:val="0"/>
        <w:autoSpaceDE w:val="0"/>
        <w:autoSpaceDN w:val="0"/>
        <w:adjustRightInd w:val="0"/>
        <w:spacing w:after="0" w:line="240" w:lineRule="auto"/>
        <w:jc w:val="center"/>
        <w:rPr>
          <w:rFonts w:ascii="Times New Roman" w:eastAsia="MS ??" w:hAnsi="Times New Roman" w:cs="Times New Roman"/>
          <w:b/>
          <w:sz w:val="24"/>
          <w:szCs w:val="24"/>
          <w:lang w:eastAsia="ru-RU"/>
        </w:rPr>
      </w:pPr>
    </w:p>
    <w:p w14:paraId="47612DDB" w14:textId="77777777" w:rsidR="006A10F6" w:rsidRPr="002F08F2" w:rsidRDefault="003E2C73" w:rsidP="006A10F6">
      <w:pPr>
        <w:widowControl w:val="0"/>
        <w:autoSpaceDE w:val="0"/>
        <w:autoSpaceDN w:val="0"/>
        <w:adjustRightInd w:val="0"/>
        <w:spacing w:after="0" w:line="240" w:lineRule="auto"/>
        <w:jc w:val="center"/>
        <w:rPr>
          <w:rFonts w:ascii="Times New Roman" w:eastAsia="MS ??" w:hAnsi="Times New Roman" w:cs="Times New Roman"/>
          <w:b/>
          <w:sz w:val="24"/>
          <w:szCs w:val="24"/>
          <w:lang w:eastAsia="ru-RU"/>
        </w:rPr>
      </w:pPr>
      <w:r w:rsidRPr="002F08F2">
        <w:rPr>
          <w:rFonts w:ascii="Times New Roman" w:eastAsia="MS ??" w:hAnsi="Times New Roman" w:cs="Times New Roman"/>
          <w:b/>
          <w:sz w:val="24"/>
          <w:szCs w:val="24"/>
          <w:lang w:eastAsia="ru-RU"/>
        </w:rPr>
        <w:t>ПРОБЛЕМЫ И ПЕРСПЕКТИВЫ ПРИВЛЕЧЕНИЯ ИНОСТРАННЫХ ИНВЕСТИЦИЙ В ПРИМОРСКИЙ КРАЙ</w:t>
      </w:r>
    </w:p>
    <w:p w14:paraId="2A3FBCD1" w14:textId="77777777" w:rsidR="00A20AF2" w:rsidRPr="002F08F2" w:rsidRDefault="00A20AF2"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0C3DA634"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b/>
          <w:sz w:val="24"/>
          <w:szCs w:val="24"/>
          <w:lang w:eastAsia="ru-RU"/>
        </w:rPr>
        <w:t>Овсянкина Алина Эрнестовна</w:t>
      </w:r>
    </w:p>
    <w:p w14:paraId="71B47784" w14:textId="77777777" w:rsidR="006A10F6"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Бакалавр</w:t>
      </w:r>
    </w:p>
    <w:p w14:paraId="7EB1873D" w14:textId="77777777" w:rsidR="00100B26" w:rsidRPr="002F08F2" w:rsidRDefault="00100B2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74DAE3F9" w14:textId="77777777" w:rsidR="006A10F6" w:rsidRPr="002F08F2" w:rsidRDefault="006A10F6" w:rsidP="006D6F5D">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r w:rsidRPr="002F08F2">
        <w:rPr>
          <w:rFonts w:ascii="Times New Roman" w:eastAsia="SimSun" w:hAnsi="Times New Roman" w:cs="Times New Roman"/>
          <w:i/>
          <w:sz w:val="24"/>
          <w:szCs w:val="24"/>
          <w:lang w:eastAsia="ru-RU"/>
        </w:rPr>
        <w:t>Владивостокский государственный университет экономики и сервиса</w:t>
      </w:r>
    </w:p>
    <w:p w14:paraId="051033AD" w14:textId="77777777" w:rsidR="006A10F6" w:rsidRPr="002F08F2" w:rsidRDefault="006A10F6" w:rsidP="006D6F5D">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i/>
          <w:sz w:val="24"/>
          <w:szCs w:val="24"/>
          <w:lang w:eastAsia="ru-RU"/>
        </w:rPr>
        <w:t>Россия. Владивосток</w:t>
      </w:r>
    </w:p>
    <w:p w14:paraId="4A4A9837" w14:textId="77777777" w:rsidR="003E2C73" w:rsidRPr="002F08F2" w:rsidRDefault="003E2C73"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6E6F63B7" w14:textId="77777777" w:rsidR="00100B26" w:rsidRPr="00100B26" w:rsidRDefault="006A10F6" w:rsidP="00100B2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ул. Гоголя, 41, г. Владивосток, Приморский край, Россия, 690014</w:t>
      </w:r>
      <w:r w:rsidR="00100B26" w:rsidRPr="00100B26">
        <w:rPr>
          <w:rFonts w:ascii="Times New Roman" w:eastAsia="SimSun" w:hAnsi="Times New Roman" w:cs="Times New Roman"/>
          <w:sz w:val="24"/>
          <w:szCs w:val="24"/>
          <w:lang w:eastAsia="ru-RU"/>
        </w:rPr>
        <w:t xml:space="preserve"> </w:t>
      </w:r>
    </w:p>
    <w:p w14:paraId="3C88669B" w14:textId="77777777" w:rsidR="00100B26" w:rsidRPr="002F08F2" w:rsidRDefault="00100B26" w:rsidP="00100B2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val="en-US" w:eastAsia="ru-RU"/>
        </w:rPr>
      </w:pPr>
      <w:r w:rsidRPr="002F08F2">
        <w:rPr>
          <w:rFonts w:ascii="Times New Roman" w:eastAsia="SimSun" w:hAnsi="Times New Roman" w:cs="Times New Roman"/>
          <w:sz w:val="24"/>
          <w:szCs w:val="24"/>
          <w:lang w:val="en-US" w:eastAsia="ru-RU"/>
        </w:rPr>
        <w:t xml:space="preserve">E-mail: delika_99@mail.ru; </w:t>
      </w:r>
      <w:r w:rsidRPr="002F08F2">
        <w:rPr>
          <w:rFonts w:ascii="Times New Roman" w:eastAsia="SimSun" w:hAnsi="Times New Roman" w:cs="Times New Roman"/>
          <w:sz w:val="24"/>
          <w:szCs w:val="24"/>
          <w:lang w:eastAsia="ru-RU"/>
        </w:rPr>
        <w:t>тел</w:t>
      </w:r>
      <w:r w:rsidRPr="002F08F2">
        <w:rPr>
          <w:rFonts w:ascii="Times New Roman" w:eastAsia="SimSun" w:hAnsi="Times New Roman" w:cs="Times New Roman"/>
          <w:sz w:val="24"/>
          <w:szCs w:val="24"/>
          <w:lang w:val="en-US" w:eastAsia="ru-RU"/>
        </w:rPr>
        <w:t>.: +79242445494</w:t>
      </w:r>
    </w:p>
    <w:p w14:paraId="5624F43B" w14:textId="77777777" w:rsidR="006A10F6" w:rsidRPr="007E1000" w:rsidRDefault="006A10F6" w:rsidP="00100B26">
      <w:pPr>
        <w:widowControl w:val="0"/>
        <w:autoSpaceDE w:val="0"/>
        <w:autoSpaceDN w:val="0"/>
        <w:adjustRightInd w:val="0"/>
        <w:spacing w:after="0" w:line="240" w:lineRule="auto"/>
        <w:rPr>
          <w:rFonts w:ascii="Times New Roman" w:eastAsia="SimSun" w:hAnsi="Times New Roman" w:cs="Times New Roman"/>
          <w:sz w:val="24"/>
          <w:szCs w:val="24"/>
          <w:lang w:val="en-US" w:eastAsia="ru-RU"/>
        </w:rPr>
      </w:pPr>
    </w:p>
    <w:p w14:paraId="0A3DB2ED" w14:textId="77777777" w:rsidR="002F08F2" w:rsidRPr="00100B26" w:rsidRDefault="006A10F6" w:rsidP="00100B2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eastAsia="ru-RU"/>
        </w:rPr>
      </w:pPr>
      <w:r w:rsidRPr="002F08F2">
        <w:rPr>
          <w:rFonts w:ascii="Times New Roman" w:eastAsia="MS ??" w:hAnsi="Times New Roman" w:cs="Times New Roman"/>
          <w:i/>
          <w:sz w:val="24"/>
          <w:szCs w:val="24"/>
          <w:lang w:eastAsia="ru-RU"/>
        </w:rPr>
        <w:t>Аннотация. В данной статье рассматриваются проблемы и перспективы привлечения иностранных инвестиций в Приморский край. Дается понятие инвестициям, их роль для региона и страны в целом. Рассматривается экономическ</w:t>
      </w:r>
      <w:r w:rsidR="00100B26">
        <w:rPr>
          <w:rFonts w:ascii="Times New Roman" w:eastAsia="MS ??" w:hAnsi="Times New Roman" w:cs="Times New Roman"/>
          <w:i/>
          <w:sz w:val="24"/>
          <w:szCs w:val="24"/>
          <w:lang w:eastAsia="ru-RU"/>
        </w:rPr>
        <w:t xml:space="preserve">ое состояние приморского края. </w:t>
      </w:r>
    </w:p>
    <w:p w14:paraId="2BE9380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eastAsia="ru-RU"/>
        </w:rPr>
      </w:pPr>
      <w:r w:rsidRPr="002F08F2">
        <w:rPr>
          <w:rFonts w:ascii="Times New Roman" w:eastAsia="MS ??" w:hAnsi="Times New Roman" w:cs="Times New Roman"/>
          <w:b/>
          <w:i/>
          <w:sz w:val="24"/>
          <w:szCs w:val="24"/>
          <w:lang w:eastAsia="ru-RU"/>
        </w:rPr>
        <w:t>Ключевые слова</w:t>
      </w:r>
      <w:r w:rsidRPr="002F08F2">
        <w:rPr>
          <w:rFonts w:ascii="Times New Roman" w:eastAsia="MS ??" w:hAnsi="Times New Roman" w:cs="Times New Roman"/>
          <w:i/>
          <w:sz w:val="24"/>
          <w:szCs w:val="24"/>
          <w:lang w:eastAsia="ru-RU"/>
        </w:rPr>
        <w:t>: инвестиции, Приморский край, регион, экономика региона, перспективы развития.</w:t>
      </w:r>
    </w:p>
    <w:p w14:paraId="2A9F3CD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eastAsia="ru-RU"/>
        </w:rPr>
      </w:pPr>
    </w:p>
    <w:p w14:paraId="1BC03125" w14:textId="77777777" w:rsidR="006A10F6" w:rsidRPr="002F08F2" w:rsidRDefault="003E2C73" w:rsidP="006A10F6">
      <w:pPr>
        <w:widowControl w:val="0"/>
        <w:autoSpaceDE w:val="0"/>
        <w:autoSpaceDN w:val="0"/>
        <w:adjustRightInd w:val="0"/>
        <w:spacing w:after="0" w:line="240" w:lineRule="auto"/>
        <w:ind w:firstLine="709"/>
        <w:jc w:val="center"/>
        <w:rPr>
          <w:rFonts w:ascii="Times New Roman" w:eastAsia="MS ??" w:hAnsi="Times New Roman" w:cs="Times New Roman"/>
          <w:b/>
          <w:sz w:val="24"/>
          <w:szCs w:val="24"/>
          <w:lang w:val="en-US" w:eastAsia="ru-RU"/>
        </w:rPr>
      </w:pPr>
      <w:r w:rsidRPr="002F08F2">
        <w:rPr>
          <w:rFonts w:ascii="Times New Roman" w:eastAsia="MS ??" w:hAnsi="Times New Roman" w:cs="Times New Roman"/>
          <w:b/>
          <w:sz w:val="24"/>
          <w:szCs w:val="24"/>
          <w:lang w:val="en-US" w:eastAsia="ru-RU"/>
        </w:rPr>
        <w:t>PROBLEMS AND PROSPECTS OF ATTRACTING FOREIGN INVESTMENTS IN PRIMORSKY KRAI</w:t>
      </w:r>
    </w:p>
    <w:p w14:paraId="6C71870F" w14:textId="77777777" w:rsidR="003E2C73" w:rsidRPr="002F08F2" w:rsidRDefault="003E2C73" w:rsidP="006A10F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val="en-US" w:eastAsia="ru-RU"/>
        </w:rPr>
      </w:pPr>
    </w:p>
    <w:p w14:paraId="34DC9FF2" w14:textId="77777777" w:rsidR="002F08F2" w:rsidRPr="00100B26" w:rsidRDefault="006A10F6" w:rsidP="00100B2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val="en-US" w:eastAsia="ru-RU"/>
        </w:rPr>
      </w:pPr>
      <w:r w:rsidRPr="002F08F2">
        <w:rPr>
          <w:rFonts w:ascii="Times New Roman" w:eastAsia="MS ??" w:hAnsi="Times New Roman" w:cs="Times New Roman"/>
          <w:i/>
          <w:sz w:val="24"/>
          <w:szCs w:val="24"/>
          <w:lang w:val="en-US" w:eastAsia="ru-RU"/>
        </w:rPr>
        <w:t>Annotation. This article discusses the problems and prospects of attracting foreign investment in Primorsky Krai. The concept of investments, their role for the region and the country as a whole is given. The economic condition of</w:t>
      </w:r>
      <w:r w:rsidR="00100B26">
        <w:rPr>
          <w:rFonts w:ascii="Times New Roman" w:eastAsia="MS ??" w:hAnsi="Times New Roman" w:cs="Times New Roman"/>
          <w:i/>
          <w:sz w:val="24"/>
          <w:szCs w:val="24"/>
          <w:lang w:val="en-US" w:eastAsia="ru-RU"/>
        </w:rPr>
        <w:t xml:space="preserve"> Primorsky Krai is considered. </w:t>
      </w:r>
    </w:p>
    <w:p w14:paraId="42B0186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val="en-US" w:eastAsia="ru-RU"/>
        </w:rPr>
      </w:pPr>
      <w:r w:rsidRPr="002F08F2">
        <w:rPr>
          <w:rFonts w:ascii="Times New Roman" w:eastAsia="MS ??" w:hAnsi="Times New Roman" w:cs="Times New Roman"/>
          <w:b/>
          <w:i/>
          <w:sz w:val="24"/>
          <w:szCs w:val="24"/>
          <w:lang w:val="en-US" w:eastAsia="ru-RU"/>
        </w:rPr>
        <w:t>Key words</w:t>
      </w:r>
      <w:r w:rsidRPr="002F08F2">
        <w:rPr>
          <w:rFonts w:ascii="Times New Roman" w:eastAsia="MS ??" w:hAnsi="Times New Roman" w:cs="Times New Roman"/>
          <w:i/>
          <w:sz w:val="24"/>
          <w:szCs w:val="24"/>
          <w:lang w:val="en-US" w:eastAsia="ru-RU"/>
        </w:rPr>
        <w:t>: investments, Primorsky Krai, region, region economy, development prospects.</w:t>
      </w:r>
    </w:p>
    <w:p w14:paraId="7C11E962" w14:textId="77777777" w:rsidR="006A10F6" w:rsidRDefault="006A10F6" w:rsidP="006A10F6">
      <w:pPr>
        <w:widowControl w:val="0"/>
        <w:autoSpaceDE w:val="0"/>
        <w:autoSpaceDN w:val="0"/>
        <w:adjustRightInd w:val="0"/>
        <w:spacing w:after="0" w:line="240" w:lineRule="auto"/>
        <w:ind w:firstLine="709"/>
        <w:jc w:val="both"/>
        <w:rPr>
          <w:rFonts w:ascii="Times New Roman" w:eastAsia="MS ??" w:hAnsi="Times New Roman"/>
          <w:i/>
          <w:sz w:val="24"/>
          <w:szCs w:val="24"/>
          <w:lang w:val="en-US" w:eastAsia="ru-RU"/>
        </w:rPr>
      </w:pPr>
    </w:p>
    <w:p w14:paraId="763032BB"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color w:val="000000" w:themeColor="text1"/>
          <w:sz w:val="24"/>
          <w:szCs w:val="24"/>
          <w:lang w:eastAsia="ru-RU"/>
        </w:rPr>
      </w:pPr>
      <w:r w:rsidRPr="002F08F2">
        <w:rPr>
          <w:rFonts w:ascii="Times New Roman" w:eastAsia="MS ??" w:hAnsi="Times New Roman" w:cs="Times New Roman"/>
          <w:color w:val="000000" w:themeColor="text1"/>
          <w:sz w:val="24"/>
          <w:szCs w:val="24"/>
          <w:lang w:eastAsia="ru-RU"/>
        </w:rPr>
        <w:t xml:space="preserve">Актуальность данной темы определяется тем, что в развитии экономики любой страны важную роль играют иностранные инвестиции. </w:t>
      </w:r>
      <w:r w:rsidRPr="002F08F2">
        <w:rPr>
          <w:rFonts w:ascii="Times New Roman" w:eastAsia="SimSun" w:hAnsi="Times New Roman" w:cs="Times New Roman"/>
          <w:color w:val="000000" w:themeColor="text1"/>
          <w:sz w:val="24"/>
          <w:szCs w:val="24"/>
          <w:lang w:eastAsia="ru-RU"/>
        </w:rPr>
        <w:t xml:space="preserve">Привлечение инвестиций важно, как для всего государства, так и для его территориальных единиц, потому что невозможно развитие страны в целом, без развития отдаленных регионов. К такому региону можно </w:t>
      </w:r>
      <w:r w:rsidRPr="002F08F2">
        <w:rPr>
          <w:rFonts w:ascii="Times New Roman" w:eastAsia="SimSun" w:hAnsi="Times New Roman" w:cs="Times New Roman"/>
          <w:color w:val="000000" w:themeColor="text1"/>
          <w:sz w:val="24"/>
          <w:szCs w:val="24"/>
          <w:lang w:eastAsia="ru-RU"/>
        </w:rPr>
        <w:lastRenderedPageBreak/>
        <w:t>отнести Приморский край, про который и будет идти в речь в данной статье, для которого особо важно привлечь иностранные инвестиции для дальнейшего экономического развития.</w:t>
      </w:r>
    </w:p>
    <w:p w14:paraId="1EBB7014"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color w:val="000000" w:themeColor="text1"/>
          <w:sz w:val="24"/>
          <w:szCs w:val="24"/>
          <w:lang w:eastAsia="ru-RU"/>
        </w:rPr>
      </w:pPr>
      <w:r w:rsidRPr="002F08F2">
        <w:rPr>
          <w:rFonts w:ascii="Times New Roman" w:eastAsia="SimSun" w:hAnsi="Times New Roman" w:cs="Times New Roman"/>
          <w:color w:val="000000" w:themeColor="text1"/>
          <w:sz w:val="24"/>
          <w:szCs w:val="24"/>
          <w:lang w:eastAsia="ru-RU"/>
        </w:rPr>
        <w:t>Цель данного исследования – изучение проблем и перспектив региона для привлечения иностранных инвестиций. Исходя из поставленной цели, решаются следующие задачи:</w:t>
      </w:r>
    </w:p>
    <w:p w14:paraId="1737179A"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color w:val="000000" w:themeColor="text1"/>
          <w:sz w:val="24"/>
          <w:szCs w:val="24"/>
          <w:lang w:eastAsia="ru-RU"/>
        </w:rPr>
      </w:pPr>
      <w:r w:rsidRPr="002F08F2">
        <w:rPr>
          <w:rFonts w:ascii="Times New Roman" w:eastAsia="SimSun" w:hAnsi="Times New Roman" w:cs="Times New Roman"/>
          <w:color w:val="000000" w:themeColor="text1"/>
          <w:sz w:val="24"/>
          <w:szCs w:val="24"/>
          <w:lang w:eastAsia="ru-RU"/>
        </w:rPr>
        <w:t>- изучение экономики Приморского края, выявление перспектив привлечения инвестиций;</w:t>
      </w:r>
    </w:p>
    <w:p w14:paraId="4E784AFB"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color w:val="000000" w:themeColor="text1"/>
          <w:sz w:val="24"/>
          <w:szCs w:val="24"/>
          <w:lang w:eastAsia="ru-RU"/>
        </w:rPr>
      </w:pPr>
      <w:r w:rsidRPr="002F08F2">
        <w:rPr>
          <w:rFonts w:ascii="Times New Roman" w:eastAsia="SimSun" w:hAnsi="Times New Roman" w:cs="Times New Roman"/>
          <w:color w:val="000000" w:themeColor="text1"/>
          <w:sz w:val="24"/>
          <w:szCs w:val="24"/>
          <w:lang w:eastAsia="ru-RU"/>
        </w:rPr>
        <w:t>- решение проблем данного региона в привлечении иностранных инвестиций.</w:t>
      </w:r>
    </w:p>
    <w:p w14:paraId="3A442096"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color w:val="000000" w:themeColor="text1"/>
          <w:sz w:val="24"/>
          <w:szCs w:val="24"/>
          <w:lang w:eastAsia="ru-RU"/>
        </w:rPr>
      </w:pPr>
      <w:r w:rsidRPr="002F08F2">
        <w:rPr>
          <w:rFonts w:ascii="Times New Roman" w:eastAsia="SimSun" w:hAnsi="Times New Roman" w:cs="Times New Roman"/>
          <w:color w:val="000000" w:themeColor="text1"/>
          <w:sz w:val="24"/>
          <w:szCs w:val="24"/>
          <w:lang w:eastAsia="ru-RU"/>
        </w:rPr>
        <w:t>Что такое инвестиции? Для чего они нужны стране, региону? Это те вопросы, на которые нужно ответить, чтобы добиться цели нашего исследования.</w:t>
      </w:r>
    </w:p>
    <w:p w14:paraId="0315BA38" w14:textId="77777777" w:rsidR="006A10F6" w:rsidRPr="00100B26" w:rsidRDefault="006A10F6" w:rsidP="00100B26">
      <w:pPr>
        <w:widowControl w:val="0"/>
        <w:autoSpaceDE w:val="0"/>
        <w:autoSpaceDN w:val="0"/>
        <w:adjustRightInd w:val="0"/>
        <w:spacing w:after="0" w:line="240" w:lineRule="auto"/>
        <w:ind w:firstLine="709"/>
        <w:jc w:val="both"/>
        <w:rPr>
          <w:rFonts w:ascii="Times New Roman" w:eastAsia="SimSun" w:hAnsi="Times New Roman" w:cs="Times New Roman"/>
          <w:color w:val="000000" w:themeColor="text1"/>
          <w:sz w:val="24"/>
          <w:szCs w:val="24"/>
          <w:lang w:eastAsia="ru-RU"/>
        </w:rPr>
      </w:pPr>
      <w:r w:rsidRPr="002F08F2">
        <w:rPr>
          <w:rFonts w:ascii="Times New Roman" w:eastAsia="SimSun" w:hAnsi="Times New Roman" w:cs="Times New Roman"/>
          <w:bCs/>
          <w:color w:val="000000" w:themeColor="text1"/>
          <w:sz w:val="24"/>
          <w:szCs w:val="24"/>
          <w:lang w:eastAsia="ru-RU"/>
        </w:rPr>
        <w:t>Иностранные инвестиции</w:t>
      </w:r>
      <w:r w:rsidRPr="002F08F2">
        <w:rPr>
          <w:rFonts w:ascii="Times New Roman" w:eastAsia="SimSun" w:hAnsi="Times New Roman" w:cs="Times New Roman"/>
          <w:color w:val="000000" w:themeColor="text1"/>
          <w:sz w:val="24"/>
          <w:szCs w:val="24"/>
          <w:lang w:eastAsia="ru-RU"/>
        </w:rPr>
        <w:t xml:space="preserve"> - в российском законодательстве под иностранными </w:t>
      </w:r>
      <w:hyperlink r:id="rId104" w:tooltip="Инвестиции" w:history="1">
        <w:r w:rsidRPr="002F08F2">
          <w:rPr>
            <w:rStyle w:val="a4"/>
            <w:rFonts w:ascii="Times New Roman" w:eastAsia="SimSun" w:hAnsi="Times New Roman" w:cs="Times New Roman"/>
            <w:color w:val="000000" w:themeColor="text1"/>
            <w:sz w:val="24"/>
            <w:szCs w:val="24"/>
            <w:lang w:eastAsia="ru-RU"/>
          </w:rPr>
          <w:t>инвестициями</w:t>
        </w:r>
      </w:hyperlink>
      <w:r w:rsidRPr="002F08F2">
        <w:rPr>
          <w:rFonts w:ascii="Times New Roman" w:eastAsia="SimSun" w:hAnsi="Times New Roman" w:cs="Times New Roman"/>
          <w:color w:val="000000" w:themeColor="text1"/>
          <w:sz w:val="24"/>
          <w:szCs w:val="24"/>
          <w:lang w:eastAsia="ru-RU"/>
        </w:rPr>
        <w:t> понимаются все виды имущественных и интеллектуальных ценностей, вложенных </w:t>
      </w:r>
      <w:hyperlink r:id="rId105" w:tooltip="Иностранный инвестор (страница отсутствует)" w:history="1">
        <w:r w:rsidRPr="002F08F2">
          <w:rPr>
            <w:rStyle w:val="a4"/>
            <w:rFonts w:ascii="Times New Roman" w:eastAsia="SimSun" w:hAnsi="Times New Roman" w:cs="Times New Roman"/>
            <w:color w:val="000000" w:themeColor="text1"/>
            <w:sz w:val="24"/>
            <w:szCs w:val="24"/>
            <w:lang w:eastAsia="ru-RU"/>
          </w:rPr>
          <w:t>иностранными инвесторами</w:t>
        </w:r>
      </w:hyperlink>
      <w:r w:rsidRPr="002F08F2">
        <w:rPr>
          <w:rFonts w:ascii="Times New Roman" w:eastAsia="SimSun" w:hAnsi="Times New Roman" w:cs="Times New Roman"/>
          <w:color w:val="000000" w:themeColor="text1"/>
          <w:sz w:val="24"/>
          <w:szCs w:val="24"/>
          <w:lang w:eastAsia="ru-RU"/>
        </w:rPr>
        <w:t> в объекты </w:t>
      </w:r>
      <w:hyperlink r:id="rId106" w:tooltip="Предпринимательство" w:history="1">
        <w:r w:rsidRPr="002F08F2">
          <w:rPr>
            <w:rStyle w:val="a4"/>
            <w:rFonts w:ascii="Times New Roman" w:eastAsia="SimSun" w:hAnsi="Times New Roman" w:cs="Times New Roman"/>
            <w:color w:val="000000" w:themeColor="text1"/>
            <w:sz w:val="24"/>
            <w:szCs w:val="24"/>
            <w:lang w:eastAsia="ru-RU"/>
          </w:rPr>
          <w:t>предпринимательской</w:t>
        </w:r>
      </w:hyperlink>
      <w:r w:rsidRPr="002F08F2">
        <w:rPr>
          <w:rFonts w:ascii="Times New Roman" w:eastAsia="SimSun" w:hAnsi="Times New Roman" w:cs="Times New Roman"/>
          <w:color w:val="000000" w:themeColor="text1"/>
          <w:sz w:val="24"/>
          <w:szCs w:val="24"/>
          <w:lang w:eastAsia="ru-RU"/>
        </w:rPr>
        <w:t> и иных видов деятельности с целью получения </w:t>
      </w:r>
      <w:hyperlink r:id="rId107" w:tooltip="Прибыль" w:history="1">
        <w:r w:rsidRPr="002F08F2">
          <w:rPr>
            <w:rStyle w:val="a4"/>
            <w:rFonts w:ascii="Times New Roman" w:eastAsia="SimSun" w:hAnsi="Times New Roman" w:cs="Times New Roman"/>
            <w:color w:val="000000" w:themeColor="text1"/>
            <w:sz w:val="24"/>
            <w:szCs w:val="24"/>
            <w:lang w:eastAsia="ru-RU"/>
          </w:rPr>
          <w:t>прибыли</w:t>
        </w:r>
      </w:hyperlink>
      <w:r w:rsidRPr="002F08F2">
        <w:rPr>
          <w:rFonts w:ascii="Times New Roman" w:eastAsia="SimSun" w:hAnsi="Times New Roman" w:cs="Times New Roman"/>
          <w:color w:val="000000" w:themeColor="text1"/>
          <w:sz w:val="24"/>
          <w:szCs w:val="24"/>
          <w:lang w:eastAsia="ru-RU"/>
        </w:rPr>
        <w:t>. Объектами иностранных инвестиций могут являться: вновь создаваемые и модернизируемые основные фонды и оборотные средства во всех отраслях и сферах народного хозяйства, </w:t>
      </w:r>
      <w:hyperlink r:id="rId108" w:tooltip="Ценные бумаги" w:history="1">
        <w:r w:rsidRPr="002F08F2">
          <w:rPr>
            <w:rStyle w:val="a4"/>
            <w:rFonts w:ascii="Times New Roman" w:eastAsia="SimSun" w:hAnsi="Times New Roman" w:cs="Times New Roman"/>
            <w:color w:val="000000" w:themeColor="text1"/>
            <w:sz w:val="24"/>
            <w:szCs w:val="24"/>
            <w:lang w:eastAsia="ru-RU"/>
          </w:rPr>
          <w:t>ценные бумаги</w:t>
        </w:r>
      </w:hyperlink>
      <w:r w:rsidRPr="002F08F2">
        <w:rPr>
          <w:rFonts w:ascii="Times New Roman" w:eastAsia="SimSun" w:hAnsi="Times New Roman" w:cs="Times New Roman"/>
          <w:color w:val="000000" w:themeColor="text1"/>
          <w:sz w:val="24"/>
          <w:szCs w:val="24"/>
          <w:lang w:eastAsia="ru-RU"/>
        </w:rPr>
        <w:t>, целевые денежные вклады, научно-техническая продукция, интеллектуальные ценности, </w:t>
      </w:r>
      <w:hyperlink r:id="rId109" w:tooltip="Имущественное право (страница отсутствует)" w:history="1">
        <w:r w:rsidRPr="002F08F2">
          <w:rPr>
            <w:rStyle w:val="a4"/>
            <w:rFonts w:ascii="Times New Roman" w:eastAsia="SimSun" w:hAnsi="Times New Roman" w:cs="Times New Roman"/>
            <w:color w:val="000000" w:themeColor="text1"/>
            <w:sz w:val="24"/>
            <w:szCs w:val="24"/>
            <w:lang w:eastAsia="ru-RU"/>
          </w:rPr>
          <w:t>имущественные права</w:t>
        </w:r>
      </w:hyperlink>
      <w:r w:rsidRPr="002F08F2">
        <w:rPr>
          <w:rFonts w:ascii="Times New Roman" w:eastAsia="SimSun" w:hAnsi="Times New Roman" w:cs="Times New Roman"/>
          <w:color w:val="000000" w:themeColor="text1"/>
          <w:sz w:val="24"/>
          <w:szCs w:val="24"/>
          <w:lang w:eastAsia="ru-RU"/>
        </w:rPr>
        <w:t>. Другими словами, иностранные инвестиции - это некая помощь экономике других стран за приемлемый %. Привлечение инвестиций является неотъемлемой частью экономики любой страны, так как развитие экономики самостоятельными силами сложнее, чем с помощью иностранных коллег. Рассмотрим виды</w:t>
      </w:r>
      <w:r w:rsidR="00100B26">
        <w:rPr>
          <w:rFonts w:ascii="Times New Roman" w:eastAsia="SimSun" w:hAnsi="Times New Roman" w:cs="Times New Roman"/>
          <w:color w:val="000000" w:themeColor="text1"/>
          <w:sz w:val="24"/>
          <w:szCs w:val="24"/>
          <w:lang w:eastAsia="ru-RU"/>
        </w:rPr>
        <w:t xml:space="preserve"> инвестиций схематично (Рис.1.)</w:t>
      </w:r>
    </w:p>
    <w:sdt>
      <w:sdtPr>
        <w:rPr>
          <w:rFonts w:ascii="Times New Roman" w:eastAsia="SimSun" w:hAnsi="Times New Roman"/>
          <w:sz w:val="24"/>
          <w:szCs w:val="24"/>
          <w:lang w:eastAsia="ru-RU"/>
        </w:rPr>
        <w:id w:val="1144933575"/>
        <w:lock w:val="contentLocked"/>
        <w:placeholder>
          <w:docPart w:val="3EC78D3A0C2B43CCB8E99B662F9D0871"/>
        </w:placeholder>
        <w:group/>
      </w:sdtPr>
      <w:sdtContent>
        <w:p w14:paraId="575AB783"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5953A854"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noProof/>
              <w:sz w:val="24"/>
              <w:szCs w:val="24"/>
              <w:lang w:eastAsia="ru-RU"/>
            </w:rPr>
            <w:pict w14:anchorId="5F239BF8">
              <v:oval id="Овал 51" o:spid="_x0000_s1118" style="position:absolute;left:0;text-align:left;margin-left:142.2pt;margin-top:.25pt;width:147pt;height:51.75pt;z-index:251670528;visibility:visible;mso-height-relative:margin;v-text-anchor:middle" wrapcoords="8265 -313 6392 0 1322 3443 1322 4696 661 5948 -220 8765 -220 11583 331 15339 3527 19722 4078 20035 7494 21600 8155 21600 13335 21600 13996 21600 17412 20035 17963 19722 21159 15339 21820 10957 21820 9078 20829 5948 20278 3757 15208 0 13224 -313 8265 -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" fillcolor="white [3201]" strokecolor="black [3200]" strokeweight="2pt">
                <v:path arrowok="t"/>
                <v:textbox>
                  <w:txbxContent>
                    <w:p w14:paraId="2D4AE366" w14:textId="77777777" w:rsidR="007014C7" w:rsidRPr="00A363A0" w:rsidRDefault="007014C7" w:rsidP="006A10F6">
                      <w:pPr>
                        <w:jc w:val="center"/>
                        <w:rPr>
                          <w:rFonts w:ascii="Times New Roman" w:hAnsi="Times New Roman"/>
                          <w:sz w:val="24"/>
                          <w:szCs w:val="24"/>
                        </w:rPr>
                      </w:pPr>
                      <w:r w:rsidRPr="00A363A0">
                        <w:rPr>
                          <w:rFonts w:ascii="Times New Roman" w:hAnsi="Times New Roman"/>
                          <w:sz w:val="24"/>
                          <w:szCs w:val="24"/>
                        </w:rPr>
                        <w:t>Виды инвестиций</w:t>
                      </w:r>
                    </w:p>
                  </w:txbxContent>
                </v:textbox>
                <w10:wrap type="through"/>
              </v:oval>
            </w:pict>
          </w:r>
        </w:p>
        <w:p w14:paraId="246C2908"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1AA19132"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5BC88503"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noProof/>
              <w:sz w:val="24"/>
              <w:szCs w:val="24"/>
              <w:lang w:eastAsia="ru-RU"/>
            </w:rPr>
            <w:pict w14:anchorId="7783FDB7">
              <v:line id="Прямая соединительная линия 52" o:spid="_x0000_s1138" style="position:absolute;left:0;text-align:left;z-index:251671552;visibility:visible;mso-wrap-distance-left:3.17497mm;mso-wrap-distance-right:3.17497mm" from="216.45pt,10.35pt" to="216.4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" strokecolor="black [3040]">
                <o:lock v:ext="edit" shapetype="f"/>
              </v:line>
            </w:pict>
          </w:r>
        </w:p>
        <w:p w14:paraId="5775F54F"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noProof/>
              <w:sz w:val="24"/>
              <w:szCs w:val="24"/>
              <w:lang w:eastAsia="ru-RU"/>
            </w:rPr>
            <w:pict w14:anchorId="4CD2F6EB">
              <v:line id="Прямая соединительная линия 53" o:spid="_x0000_s1137" style="position:absolute;left:0;text-align:left;z-index:251675648;visibility:visible;mso-wrap-distance-left:3.17497mm;mso-wrap-distance-right:3.17497mm" from="411.45pt,7.05pt" to="411.45pt,22.05pt" wrapcoords="0 1 0 20 2 20 2 1 0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" strokecolor="black [3040]">
                <o:lock v:ext="edit" shapetype="f"/>
                <w10:wrap type="through"/>
              </v:line>
            </w:pict>
          </w:r>
          <w:r>
            <w:rPr>
              <w:rFonts w:ascii="Times New Roman" w:eastAsia="SimSun" w:hAnsi="Times New Roman"/>
              <w:noProof/>
              <w:sz w:val="24"/>
              <w:szCs w:val="24"/>
              <w:lang w:eastAsia="ru-RU"/>
            </w:rPr>
            <w:pict w14:anchorId="44710045">
              <v:line id="Прямая соединительная линия 54" o:spid="_x0000_s1136" style="position:absolute;left:0;text-align:left;z-index:251674624;visibility:visible;mso-wrap-distance-left:3.17497mm;mso-wrap-distance-right:3.17497mm" from="25.2pt,6.3pt" to="25.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" strokecolor="black [3040]">
                <o:lock v:ext="edit" shapetype="f"/>
              </v:line>
            </w:pict>
          </w:r>
          <w:r>
            <w:rPr>
              <w:rFonts w:ascii="Times New Roman" w:eastAsia="SimSun" w:hAnsi="Times New Roman"/>
              <w:noProof/>
              <w:sz w:val="24"/>
              <w:szCs w:val="24"/>
              <w:lang w:eastAsia="ru-RU"/>
            </w:rPr>
            <w:pict w14:anchorId="4E6249F2">
              <v:line id="Прямая соединительная линия 55" o:spid="_x0000_s1135" style="position:absolute;left:0;text-align:left;z-index:251673600;visibility:visible" from="23.7pt,6.3pt" to="412.2pt,7.05pt" wrapcoords="-42 -21600 -42 0 21642 0 21642 -21600 10800 -21600 -42 -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" strokecolor="black [3040]">
                <o:lock v:ext="edit" shapetype="f"/>
                <w10:wrap type="through"/>
              </v:line>
            </w:pict>
          </w:r>
        </w:p>
        <w:p w14:paraId="238C85B7"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noProof/>
              <w:sz w:val="24"/>
              <w:szCs w:val="24"/>
              <w:lang w:eastAsia="ru-RU"/>
            </w:rPr>
            <w:pict w14:anchorId="7A779D67">
              <v:rect id="Прямоугольник 56" o:spid="_x0000_s1119" style="position:absolute;left:0;text-align:left;margin-left:524.8pt;margin-top:10pt;width:114pt;height:31.5pt;z-index:-251650048;visibility:visible;mso-position-horizontal:right;mso-position-horizontal-relative:margin;v-text-anchor:middle" wrapcoords="-284 -514 -284 21600 21884 21600 21884 -514 -284 -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" fillcolor="white [3201]" strokecolor="black [3200]" strokeweight="2pt">
                <v:path arrowok="t"/>
                <v:textbox>
                  <w:txbxContent>
                    <w:p w14:paraId="0DB551F3" w14:textId="77777777" w:rsidR="007014C7" w:rsidRPr="00254B7A" w:rsidRDefault="007014C7" w:rsidP="006A10F6">
                      <w:pPr>
                        <w:jc w:val="center"/>
                        <w:rPr>
                          <w:rFonts w:ascii="Times New Roman" w:hAnsi="Times New Roman"/>
                          <w:sz w:val="24"/>
                          <w:szCs w:val="24"/>
                        </w:rPr>
                      </w:pPr>
                      <w:r>
                        <w:rPr>
                          <w:rFonts w:ascii="Times New Roman" w:hAnsi="Times New Roman"/>
                          <w:sz w:val="24"/>
                          <w:szCs w:val="24"/>
                        </w:rPr>
                        <w:t>интеллектуальные</w:t>
                      </w:r>
                    </w:p>
                  </w:txbxContent>
                </v:textbox>
                <w10:wrap type="tight" anchorx="margin"/>
              </v:rect>
            </w:pict>
          </w:r>
          <w:r>
            <w:rPr>
              <w:rFonts w:ascii="Times New Roman" w:eastAsia="SimSun" w:hAnsi="Times New Roman"/>
              <w:noProof/>
              <w:sz w:val="24"/>
              <w:szCs w:val="24"/>
              <w:lang w:eastAsia="ru-RU"/>
            </w:rPr>
            <w:pict w14:anchorId="59C70CB8">
              <v:rect id="Прямоугольник 57" o:spid="_x0000_s1120" style="position:absolute;left:0;text-align:left;margin-left:-31.5pt;margin-top:9.4pt;width:114pt;height:31.5pt;z-index:251676672;visibility:visible;v-text-anchor:middle" wrapcoords="-284 -514 -284 21600 21884 21600 21884 -514 -284 -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" fillcolor="white [3201]" strokecolor="black [3200]" strokeweight="2pt">
                <v:path arrowok="t"/>
                <v:textbox>
                  <w:txbxContent>
                    <w:p w14:paraId="4D0654A8" w14:textId="77777777" w:rsidR="007014C7" w:rsidRPr="00254B7A" w:rsidRDefault="007014C7" w:rsidP="006A10F6">
                      <w:pPr>
                        <w:jc w:val="center"/>
                        <w:rPr>
                          <w:rFonts w:ascii="Times New Roman" w:hAnsi="Times New Roman"/>
                          <w:sz w:val="24"/>
                          <w:szCs w:val="24"/>
                        </w:rPr>
                      </w:pPr>
                      <w:r>
                        <w:rPr>
                          <w:rFonts w:ascii="Times New Roman" w:hAnsi="Times New Roman"/>
                          <w:sz w:val="24"/>
                          <w:szCs w:val="24"/>
                        </w:rPr>
                        <w:t>прямые</w:t>
                      </w:r>
                    </w:p>
                  </w:txbxContent>
                </v:textbox>
                <w10:wrap type="through"/>
              </v:rect>
            </w:pict>
          </w:r>
          <w:r>
            <w:rPr>
              <w:rFonts w:ascii="Times New Roman" w:eastAsia="SimSun" w:hAnsi="Times New Roman"/>
              <w:noProof/>
              <w:sz w:val="24"/>
              <w:szCs w:val="24"/>
              <w:lang w:eastAsia="ru-RU"/>
            </w:rPr>
            <w:pict w14:anchorId="6B6F9618">
              <v:rect id="Прямоугольник 58" o:spid="_x0000_s1121" style="position:absolute;left:0;text-align:left;margin-left:160.95pt;margin-top:9.75pt;width:114pt;height:31.5pt;z-index:251672576;visibility:visible;v-text-anchor:middle" wrapcoords="-284 -514 -284 21600 21884 21600 21884 -514 -284 -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" fillcolor="white [3201]" strokecolor="black [3200]" strokeweight="2pt">
                <v:path arrowok="t"/>
                <v:textbox>
                  <w:txbxContent>
                    <w:p w14:paraId="3F1E8AE5" w14:textId="77777777" w:rsidR="007014C7" w:rsidRPr="00254B7A" w:rsidRDefault="007014C7" w:rsidP="006A10F6">
                      <w:pPr>
                        <w:jc w:val="center"/>
                        <w:rPr>
                          <w:rFonts w:ascii="Times New Roman" w:hAnsi="Times New Roman"/>
                          <w:sz w:val="24"/>
                          <w:szCs w:val="24"/>
                        </w:rPr>
                      </w:pPr>
                      <w:r w:rsidRPr="00254B7A">
                        <w:rPr>
                          <w:rFonts w:ascii="Times New Roman" w:hAnsi="Times New Roman"/>
                          <w:sz w:val="24"/>
                          <w:szCs w:val="24"/>
                        </w:rPr>
                        <w:t>финансовые</w:t>
                      </w:r>
                    </w:p>
                  </w:txbxContent>
                </v:textbox>
                <w10:wrap type="through"/>
              </v:rect>
            </w:pict>
          </w:r>
        </w:p>
        <w:p w14:paraId="6F6C9D5F"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3A3644DA"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4535D9CF"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noProof/>
              <w:sz w:val="24"/>
              <w:szCs w:val="24"/>
              <w:lang w:eastAsia="ru-RU"/>
            </w:rPr>
            <w:pict w14:anchorId="6824856E">
              <v:rect id="Прямоугольник 59" o:spid="_x0000_s1122" style="position:absolute;left:0;text-align:left;margin-left:-32.55pt;margin-top:16.35pt;width:115.5pt;height:118.5pt;z-index:25168076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" fillcolor="white [3201]" strokecolor="black [3200]" strokeweight="2pt">
                <v:path arrowok="t"/>
                <v:textbox>
                  <w:txbxContent>
                    <w:p w14:paraId="12F66190" w14:textId="77777777" w:rsidR="007014C7" w:rsidRPr="00794BE1" w:rsidRDefault="007014C7" w:rsidP="006A10F6">
                      <w:pPr>
                        <w:jc w:val="center"/>
                        <w:rPr>
                          <w:rFonts w:ascii="Times New Roman" w:hAnsi="Times New Roman"/>
                          <w:sz w:val="20"/>
                          <w:szCs w:val="20"/>
                        </w:rPr>
                      </w:pPr>
                      <w:r w:rsidRPr="00794BE1">
                        <w:rPr>
                          <w:rFonts w:ascii="Times New Roman" w:hAnsi="Times New Roman"/>
                          <w:sz w:val="20"/>
                          <w:szCs w:val="20"/>
                        </w:rPr>
                        <w:t>Долгосрочные финансовые вложения непосредственно в производство какой-либо продукции, включающие покупку, создание и расширение фондов предприятия</w:t>
                      </w:r>
                    </w:p>
                  </w:txbxContent>
                </v:textbox>
              </v:rect>
            </w:pict>
          </w:r>
          <w:r>
            <w:rPr>
              <w:rFonts w:ascii="Times New Roman" w:eastAsia="SimSun" w:hAnsi="Times New Roman"/>
              <w:noProof/>
              <w:sz w:val="24"/>
              <w:szCs w:val="24"/>
              <w:lang w:eastAsia="ru-RU"/>
            </w:rPr>
            <w:pict w14:anchorId="6D8C46C7">
              <v:line id="Прямая соединительная линия 60" o:spid="_x0000_s1134" style="position:absolute;left:0;text-align:left;z-index:251679744;visibility:visible;mso-wrap-distance-left:3.17497mm;mso-wrap-distance-right:3.17497mm" from="411.75pt,.4pt" to="411.7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" strokecolor="black [3040]">
                <o:lock v:ext="edit" shapetype="f"/>
              </v:line>
            </w:pict>
          </w:r>
          <w:r>
            <w:rPr>
              <w:rFonts w:ascii="Times New Roman" w:eastAsia="SimSun" w:hAnsi="Times New Roman"/>
              <w:noProof/>
              <w:sz w:val="24"/>
              <w:szCs w:val="24"/>
              <w:lang w:eastAsia="ru-RU"/>
            </w:rPr>
            <w:pict w14:anchorId="536FC584">
              <v:line id="Прямая соединительная линия 61" o:spid="_x0000_s1133" style="position:absolute;left:0;text-align:left;z-index:251678720;visibility:visible;mso-wrap-distance-left:3.17497mm;mso-wrap-distance-right:3.17497mm;mso-position-horizontal-relative:page" from="302.15pt,.4pt" to="302.1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" strokecolor="black [3040]">
                <o:lock v:ext="edit" shapetype="f"/>
                <w10:wrap anchorx="page"/>
              </v:line>
            </w:pict>
          </w:r>
          <w:r>
            <w:rPr>
              <w:rFonts w:ascii="Times New Roman" w:eastAsia="SimSun" w:hAnsi="Times New Roman"/>
              <w:noProof/>
              <w:sz w:val="24"/>
              <w:szCs w:val="24"/>
              <w:lang w:eastAsia="ru-RU"/>
            </w:rPr>
            <w:pict w14:anchorId="60BD16D0">
              <v:line id="Прямая соединительная линия 62" o:spid="_x0000_s1132" style="position:absolute;left:0;text-align:left;z-index:251677696;visibility:visible;mso-wrap-distance-left:3.17497mm;mso-wrap-distance-right:3.17497mm" from="25.5pt,.85pt" to="25.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" strokecolor="black [3040]">
                <o:lock v:ext="edit" shapetype="f"/>
              </v:line>
            </w:pict>
          </w:r>
        </w:p>
        <w:p w14:paraId="04C303A0"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noProof/>
              <w:sz w:val="24"/>
              <w:szCs w:val="24"/>
              <w:lang w:eastAsia="ru-RU"/>
            </w:rPr>
            <w:pict w14:anchorId="4BFE25FB">
              <v:rect id="Прямоугольник 63" o:spid="_x0000_s1123" style="position:absolute;left:0;text-align:left;margin-left:536.8pt;margin-top:2.55pt;width:115.5pt;height:118.5pt;z-index:251682816;visibility:visible;mso-position-horizontal:right;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" fillcolor="white [3201]" strokecolor="black [3200]" strokeweight="2pt">
                <v:path arrowok="t"/>
                <v:textbox>
                  <w:txbxContent>
                    <w:p w14:paraId="119A6551" w14:textId="77777777" w:rsidR="007014C7" w:rsidRPr="00794BE1" w:rsidRDefault="007014C7" w:rsidP="006A10F6">
                      <w:pPr>
                        <w:jc w:val="center"/>
                        <w:rPr>
                          <w:rFonts w:ascii="Times New Roman" w:hAnsi="Times New Roman"/>
                          <w:sz w:val="20"/>
                          <w:szCs w:val="20"/>
                        </w:rPr>
                      </w:pPr>
                      <w:r w:rsidRPr="00794BE1">
                        <w:rPr>
                          <w:rFonts w:ascii="Times New Roman" w:hAnsi="Times New Roman"/>
                          <w:sz w:val="20"/>
                          <w:szCs w:val="20"/>
                        </w:rPr>
                        <w:t>Вложение средств в нематериальные активы (лицензии, ноу-хау, торговые знаки, патенты и т.п.)</w:t>
                      </w:r>
                    </w:p>
                  </w:txbxContent>
                </v:textbox>
                <w10:wrap anchorx="margin"/>
              </v:rect>
            </w:pict>
          </w:r>
          <w:r>
            <w:rPr>
              <w:rFonts w:ascii="Times New Roman" w:eastAsia="SimSun" w:hAnsi="Times New Roman"/>
              <w:noProof/>
              <w:sz w:val="24"/>
              <w:szCs w:val="24"/>
              <w:lang w:eastAsia="ru-RU"/>
            </w:rPr>
            <w:pict w14:anchorId="6B3F3235">
              <v:rect id="Прямоугольник 64" o:spid="_x0000_s1124" style="position:absolute;left:0;text-align:left;margin-left:159.45pt;margin-top:2.55pt;width:115.5pt;height:119.25pt;z-index:25168179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" fillcolor="white [3201]" strokecolor="black [3200]" strokeweight="2pt">
                <v:path arrowok="t"/>
                <v:textbox>
                  <w:txbxContent>
                    <w:p w14:paraId="26C5B204" w14:textId="77777777" w:rsidR="007014C7" w:rsidRPr="00794BE1" w:rsidRDefault="007014C7" w:rsidP="006A10F6">
                      <w:pPr>
                        <w:jc w:val="center"/>
                        <w:rPr>
                          <w:rFonts w:ascii="Times New Roman" w:hAnsi="Times New Roman"/>
                          <w:sz w:val="20"/>
                          <w:szCs w:val="20"/>
                        </w:rPr>
                      </w:pPr>
                      <w:r w:rsidRPr="00794BE1">
                        <w:rPr>
                          <w:rFonts w:ascii="Times New Roman" w:hAnsi="Times New Roman"/>
                          <w:sz w:val="20"/>
                          <w:szCs w:val="20"/>
                        </w:rPr>
                        <w:t>Вложения в государственные ценные бумаги, облигации и иные ценные бумаги других организаций, а также предоставленные другим организациям займы</w:t>
                      </w:r>
                    </w:p>
                  </w:txbxContent>
                </v:textbox>
              </v:rect>
            </w:pict>
          </w:r>
        </w:p>
        <w:p w14:paraId="3B4902DB"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32842F1D"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5E2D69B6"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r>
            <w:rPr>
              <w:rFonts w:ascii="Times New Roman" w:eastAsia="SimSun" w:hAnsi="Times New Roman"/>
              <w:sz w:val="24"/>
              <w:szCs w:val="24"/>
              <w:lang w:eastAsia="ru-RU"/>
            </w:rPr>
            <w:t>мм</w:t>
          </w:r>
        </w:p>
        <w:p w14:paraId="711CDE5E"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6A2BC585" w14:textId="77777777" w:rsidR="006A10F6" w:rsidRDefault="007014C7"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sdtContent>
    </w:sdt>
    <w:p w14:paraId="49A616B1"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3B4B52B0"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6A8F822E" w14:textId="77777777" w:rsidR="006A10F6" w:rsidRDefault="006A10F6" w:rsidP="006A10F6">
      <w:pPr>
        <w:widowControl w:val="0"/>
        <w:autoSpaceDE w:val="0"/>
        <w:autoSpaceDN w:val="0"/>
        <w:adjustRightInd w:val="0"/>
        <w:spacing w:after="0" w:line="240" w:lineRule="auto"/>
        <w:ind w:firstLine="709"/>
        <w:jc w:val="both"/>
        <w:rPr>
          <w:rFonts w:ascii="Times New Roman" w:eastAsia="SimSun" w:hAnsi="Times New Roman"/>
          <w:sz w:val="24"/>
          <w:szCs w:val="24"/>
          <w:lang w:eastAsia="ru-RU"/>
        </w:rPr>
      </w:pPr>
    </w:p>
    <w:p w14:paraId="2EA75E83" w14:textId="77777777" w:rsidR="003E2C73" w:rsidRDefault="003E2C73" w:rsidP="006A10F6">
      <w:pPr>
        <w:widowControl w:val="0"/>
        <w:autoSpaceDE w:val="0"/>
        <w:autoSpaceDN w:val="0"/>
        <w:adjustRightInd w:val="0"/>
        <w:spacing w:after="120" w:line="240" w:lineRule="auto"/>
        <w:ind w:firstLine="709"/>
        <w:jc w:val="center"/>
        <w:rPr>
          <w:rFonts w:ascii="Times New Roman" w:eastAsia="SimSun" w:hAnsi="Times New Roman"/>
          <w:sz w:val="20"/>
          <w:szCs w:val="24"/>
          <w:lang w:eastAsia="ru-RU"/>
        </w:rPr>
      </w:pPr>
    </w:p>
    <w:p w14:paraId="3ED4238E" w14:textId="77777777" w:rsidR="006A10F6" w:rsidRPr="002F08F2" w:rsidRDefault="006A10F6" w:rsidP="002F08F2">
      <w:pPr>
        <w:widowControl w:val="0"/>
        <w:autoSpaceDE w:val="0"/>
        <w:autoSpaceDN w:val="0"/>
        <w:adjustRightInd w:val="0"/>
        <w:spacing w:after="12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Рис. 1. Виды инвестиций</w:t>
      </w:r>
    </w:p>
    <w:p w14:paraId="6CCC03D6"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Данная схема позволяет нам более подробно изучить разнообразие инвестиций и понять, что существует множество видов вложений, а, соответственно, и пути привлечения могут быть различными. Любые инвестиции важны для государств, но особо привлекательными являются прямые и финансовые. Однако для самих инвесторов выгоднее финансовые инвестиции, так как вложения в облигации позволяют получать доход немного опережающий инфляцию.</w:t>
      </w:r>
    </w:p>
    <w:p w14:paraId="50E0F276"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Изучив более подробно понятие и виды инвестиций, перейдем к Приморскому краю. Чтобы понять проблемы и перспективы привлечения инвестиций рассмотрим экономику края. </w:t>
      </w:r>
    </w:p>
    <w:p w14:paraId="187F81C9"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lastRenderedPageBreak/>
        <w:t xml:space="preserve">Приморье - стратегический субъект России. Приморье самый населенный регион ДФО – 1,95 млн. человек. Начиная с 1990 года, край потерял 15,6% населения. </w:t>
      </w:r>
    </w:p>
    <w:p w14:paraId="0CD74D5E"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Основные показатели социально-экономического развития края в 2017 году представлены в таблице 1 [5].</w:t>
      </w:r>
    </w:p>
    <w:p w14:paraId="4AC4FE2F"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p>
    <w:p w14:paraId="62513701" w14:textId="77777777" w:rsidR="006A10F6" w:rsidRPr="002F08F2" w:rsidRDefault="006A10F6" w:rsidP="002F08F2">
      <w:pPr>
        <w:widowControl w:val="0"/>
        <w:autoSpaceDE w:val="0"/>
        <w:autoSpaceDN w:val="0"/>
        <w:adjustRightInd w:val="0"/>
        <w:spacing w:after="0" w:line="240" w:lineRule="auto"/>
        <w:ind w:firstLine="709"/>
        <w:jc w:val="right"/>
        <w:rPr>
          <w:rFonts w:ascii="Times New Roman" w:eastAsia="SimSun" w:hAnsi="Times New Roman" w:cs="Times New Roman"/>
          <w:sz w:val="24"/>
          <w:szCs w:val="24"/>
          <w:lang w:eastAsia="ru-RU"/>
        </w:rPr>
      </w:pPr>
      <w:r w:rsidRPr="002F08F2">
        <w:rPr>
          <w:rFonts w:ascii="Times New Roman" w:eastAsia="SimSun" w:hAnsi="Times New Roman" w:cs="Times New Roman"/>
          <w:i/>
          <w:sz w:val="24"/>
          <w:szCs w:val="24"/>
          <w:lang w:eastAsia="ru-RU"/>
        </w:rPr>
        <w:t>Таблица 1</w:t>
      </w:r>
      <w:r w:rsidRPr="002F08F2">
        <w:rPr>
          <w:rFonts w:ascii="Times New Roman" w:eastAsia="SimSun" w:hAnsi="Times New Roman" w:cs="Times New Roman"/>
          <w:sz w:val="24"/>
          <w:szCs w:val="24"/>
          <w:lang w:eastAsia="ru-RU"/>
        </w:rPr>
        <w:t xml:space="preserve">   </w:t>
      </w:r>
    </w:p>
    <w:p w14:paraId="79524D8C"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b/>
          <w:sz w:val="24"/>
          <w:szCs w:val="24"/>
          <w:lang w:eastAsia="ru-RU"/>
        </w:rPr>
        <w:t>Основные показатели развития экономики Приморского края в % к предыдущему году, в сопоставимой оценке</w:t>
      </w:r>
      <w:r w:rsidRPr="002F08F2">
        <w:rPr>
          <w:rFonts w:ascii="Times New Roman" w:eastAsia="SimSun" w:hAnsi="Times New Roman" w:cs="Times New Roman"/>
          <w:sz w:val="24"/>
          <w:szCs w:val="24"/>
          <w:lang w:eastAsia="ru-RU"/>
        </w:rPr>
        <w:t xml:space="preserve"> </w:t>
      </w:r>
    </w:p>
    <w:tbl>
      <w:tblPr>
        <w:tblStyle w:val="a3"/>
        <w:tblW w:w="0" w:type="auto"/>
        <w:tblLook w:val="04A0" w:firstRow="1" w:lastRow="0" w:firstColumn="1" w:lastColumn="0" w:noHBand="0" w:noVBand="1"/>
      </w:tblPr>
      <w:tblGrid>
        <w:gridCol w:w="4672"/>
        <w:gridCol w:w="4673"/>
      </w:tblGrid>
      <w:tr w:rsidR="006A10F6" w:rsidRPr="002F08F2" w14:paraId="3FDB1266" w14:textId="77777777" w:rsidTr="006A10F6">
        <w:tc>
          <w:tcPr>
            <w:tcW w:w="4672" w:type="dxa"/>
          </w:tcPr>
          <w:p w14:paraId="5B09ED56" w14:textId="77777777" w:rsidR="006A10F6" w:rsidRPr="002F08F2" w:rsidRDefault="006A10F6" w:rsidP="002F08F2">
            <w:pPr>
              <w:pStyle w:val="15"/>
              <w:jc w:val="both"/>
              <w:rPr>
                <w:sz w:val="24"/>
                <w:szCs w:val="24"/>
              </w:rPr>
            </w:pPr>
          </w:p>
        </w:tc>
        <w:tc>
          <w:tcPr>
            <w:tcW w:w="4673" w:type="dxa"/>
          </w:tcPr>
          <w:p w14:paraId="72D325AA" w14:textId="77777777" w:rsidR="006A10F6" w:rsidRPr="002F08F2" w:rsidRDefault="006A10F6" w:rsidP="002F08F2">
            <w:pPr>
              <w:pStyle w:val="15"/>
              <w:jc w:val="both"/>
              <w:rPr>
                <w:sz w:val="24"/>
                <w:szCs w:val="24"/>
              </w:rPr>
            </w:pPr>
            <w:r w:rsidRPr="002F08F2">
              <w:rPr>
                <w:sz w:val="24"/>
                <w:szCs w:val="24"/>
              </w:rPr>
              <w:t>Январь – декабрь 2017 года</w:t>
            </w:r>
          </w:p>
        </w:tc>
      </w:tr>
      <w:tr w:rsidR="006A10F6" w:rsidRPr="002F08F2" w14:paraId="4B6E754C" w14:textId="77777777" w:rsidTr="006A10F6">
        <w:tc>
          <w:tcPr>
            <w:tcW w:w="4672" w:type="dxa"/>
            <w:vAlign w:val="center"/>
          </w:tcPr>
          <w:p w14:paraId="1508A1E8" w14:textId="77777777" w:rsidR="006A10F6" w:rsidRPr="002F08F2" w:rsidRDefault="006A10F6" w:rsidP="002F08F2">
            <w:pPr>
              <w:pStyle w:val="afb"/>
              <w:jc w:val="both"/>
              <w:rPr>
                <w:sz w:val="24"/>
                <w:szCs w:val="24"/>
              </w:rPr>
            </w:pPr>
            <w:r w:rsidRPr="002F08F2">
              <w:rPr>
                <w:sz w:val="24"/>
                <w:szCs w:val="24"/>
              </w:rPr>
              <w:t>Объем сельскохозяйственной продукции</w:t>
            </w:r>
          </w:p>
        </w:tc>
        <w:tc>
          <w:tcPr>
            <w:tcW w:w="4673" w:type="dxa"/>
            <w:vAlign w:val="center"/>
          </w:tcPr>
          <w:p w14:paraId="5523EB8F" w14:textId="77777777" w:rsidR="006A10F6" w:rsidRPr="002F08F2" w:rsidRDefault="006A10F6" w:rsidP="002F08F2">
            <w:pPr>
              <w:pStyle w:val="afb"/>
              <w:jc w:val="both"/>
              <w:rPr>
                <w:sz w:val="24"/>
                <w:szCs w:val="24"/>
              </w:rPr>
            </w:pPr>
            <w:r w:rsidRPr="002F08F2">
              <w:rPr>
                <w:sz w:val="24"/>
                <w:szCs w:val="24"/>
              </w:rPr>
              <w:t>111,8</w:t>
            </w:r>
          </w:p>
        </w:tc>
      </w:tr>
      <w:tr w:rsidR="006A10F6" w:rsidRPr="002F08F2" w14:paraId="02A5D591" w14:textId="77777777" w:rsidTr="006A10F6">
        <w:tc>
          <w:tcPr>
            <w:tcW w:w="4672" w:type="dxa"/>
            <w:vAlign w:val="center"/>
          </w:tcPr>
          <w:p w14:paraId="4B87B517" w14:textId="77777777" w:rsidR="006A10F6" w:rsidRPr="002F08F2" w:rsidRDefault="006A10F6" w:rsidP="002F08F2">
            <w:pPr>
              <w:pStyle w:val="afb"/>
              <w:jc w:val="both"/>
              <w:rPr>
                <w:sz w:val="24"/>
                <w:szCs w:val="24"/>
              </w:rPr>
            </w:pPr>
            <w:r w:rsidRPr="002F08F2">
              <w:rPr>
                <w:sz w:val="24"/>
                <w:szCs w:val="24"/>
              </w:rPr>
              <w:t>Индекс промышленного производства (добывающие и обрабатывающие производства, обеспечение электроэнергией, газом и паром, водоснабжение)</w:t>
            </w:r>
          </w:p>
        </w:tc>
        <w:tc>
          <w:tcPr>
            <w:tcW w:w="4673" w:type="dxa"/>
            <w:vAlign w:val="center"/>
          </w:tcPr>
          <w:p w14:paraId="05E699A4" w14:textId="77777777" w:rsidR="006A10F6" w:rsidRPr="002F08F2" w:rsidRDefault="006A10F6" w:rsidP="002F08F2">
            <w:pPr>
              <w:pStyle w:val="afb"/>
              <w:jc w:val="both"/>
              <w:rPr>
                <w:sz w:val="24"/>
                <w:szCs w:val="24"/>
              </w:rPr>
            </w:pPr>
            <w:r w:rsidRPr="002F08F2">
              <w:rPr>
                <w:sz w:val="24"/>
                <w:szCs w:val="24"/>
              </w:rPr>
              <w:t>116,7</w:t>
            </w:r>
          </w:p>
        </w:tc>
      </w:tr>
      <w:tr w:rsidR="006A10F6" w:rsidRPr="002F08F2" w14:paraId="353011AE" w14:textId="77777777" w:rsidTr="006A10F6">
        <w:tc>
          <w:tcPr>
            <w:tcW w:w="4672" w:type="dxa"/>
            <w:vAlign w:val="center"/>
          </w:tcPr>
          <w:p w14:paraId="3895157F" w14:textId="77777777" w:rsidR="006A10F6" w:rsidRPr="002F08F2" w:rsidRDefault="006A10F6" w:rsidP="002F08F2">
            <w:pPr>
              <w:pStyle w:val="afb"/>
              <w:jc w:val="both"/>
              <w:rPr>
                <w:sz w:val="24"/>
                <w:szCs w:val="24"/>
              </w:rPr>
            </w:pPr>
            <w:r w:rsidRPr="002F08F2">
              <w:rPr>
                <w:sz w:val="24"/>
                <w:szCs w:val="24"/>
              </w:rPr>
              <w:t>Оборот розничной торговли</w:t>
            </w:r>
          </w:p>
        </w:tc>
        <w:tc>
          <w:tcPr>
            <w:tcW w:w="4673" w:type="dxa"/>
            <w:vAlign w:val="center"/>
          </w:tcPr>
          <w:p w14:paraId="5FAA1EFC" w14:textId="77777777" w:rsidR="006A10F6" w:rsidRPr="002F08F2" w:rsidRDefault="006A10F6" w:rsidP="002F08F2">
            <w:pPr>
              <w:pStyle w:val="afb"/>
              <w:jc w:val="both"/>
              <w:rPr>
                <w:sz w:val="24"/>
                <w:szCs w:val="24"/>
              </w:rPr>
            </w:pPr>
            <w:r w:rsidRPr="002F08F2">
              <w:rPr>
                <w:sz w:val="24"/>
                <w:szCs w:val="24"/>
              </w:rPr>
              <w:t>103,8</w:t>
            </w:r>
          </w:p>
        </w:tc>
      </w:tr>
      <w:tr w:rsidR="006A10F6" w:rsidRPr="002F08F2" w14:paraId="59C34985" w14:textId="77777777" w:rsidTr="006A10F6">
        <w:tc>
          <w:tcPr>
            <w:tcW w:w="4672" w:type="dxa"/>
            <w:vAlign w:val="center"/>
          </w:tcPr>
          <w:p w14:paraId="060E2D48" w14:textId="77777777" w:rsidR="006A10F6" w:rsidRPr="002F08F2" w:rsidRDefault="006A10F6" w:rsidP="002F08F2">
            <w:pPr>
              <w:pStyle w:val="afb"/>
              <w:jc w:val="both"/>
              <w:rPr>
                <w:sz w:val="24"/>
                <w:szCs w:val="24"/>
              </w:rPr>
            </w:pPr>
            <w:r w:rsidRPr="002F08F2">
              <w:rPr>
                <w:sz w:val="24"/>
                <w:szCs w:val="24"/>
              </w:rPr>
              <w:t>Лесозаготовки</w:t>
            </w:r>
          </w:p>
        </w:tc>
        <w:tc>
          <w:tcPr>
            <w:tcW w:w="4673" w:type="dxa"/>
            <w:vAlign w:val="center"/>
          </w:tcPr>
          <w:p w14:paraId="3DD60609" w14:textId="77777777" w:rsidR="006A10F6" w:rsidRPr="002F08F2" w:rsidRDefault="006A10F6" w:rsidP="002F08F2">
            <w:pPr>
              <w:pStyle w:val="afb"/>
              <w:jc w:val="both"/>
              <w:rPr>
                <w:sz w:val="24"/>
                <w:szCs w:val="24"/>
              </w:rPr>
            </w:pPr>
            <w:r w:rsidRPr="002F08F2">
              <w:rPr>
                <w:sz w:val="24"/>
                <w:szCs w:val="24"/>
              </w:rPr>
              <w:t>105,5</w:t>
            </w:r>
          </w:p>
        </w:tc>
      </w:tr>
      <w:tr w:rsidR="006A10F6" w:rsidRPr="002F08F2" w14:paraId="572D68B9" w14:textId="77777777" w:rsidTr="006A10F6">
        <w:tc>
          <w:tcPr>
            <w:tcW w:w="4672" w:type="dxa"/>
            <w:vAlign w:val="center"/>
          </w:tcPr>
          <w:p w14:paraId="6E7330E4" w14:textId="77777777" w:rsidR="006A10F6" w:rsidRPr="002F08F2" w:rsidRDefault="006A10F6" w:rsidP="002F08F2">
            <w:pPr>
              <w:pStyle w:val="afb"/>
              <w:jc w:val="both"/>
              <w:rPr>
                <w:sz w:val="24"/>
                <w:szCs w:val="24"/>
              </w:rPr>
            </w:pPr>
            <w:r w:rsidRPr="002F08F2">
              <w:rPr>
                <w:sz w:val="24"/>
                <w:szCs w:val="24"/>
              </w:rPr>
              <w:t>Инвестиции в основной капитал за январь - сентябрь 2017 года</w:t>
            </w:r>
          </w:p>
        </w:tc>
        <w:tc>
          <w:tcPr>
            <w:tcW w:w="4673" w:type="dxa"/>
            <w:vAlign w:val="center"/>
          </w:tcPr>
          <w:p w14:paraId="48AFAED8" w14:textId="77777777" w:rsidR="006A10F6" w:rsidRPr="002F08F2" w:rsidRDefault="006A10F6" w:rsidP="002F08F2">
            <w:pPr>
              <w:pStyle w:val="afb"/>
              <w:jc w:val="both"/>
              <w:rPr>
                <w:sz w:val="24"/>
                <w:szCs w:val="24"/>
              </w:rPr>
            </w:pPr>
            <w:r w:rsidRPr="002F08F2">
              <w:rPr>
                <w:sz w:val="24"/>
                <w:szCs w:val="24"/>
              </w:rPr>
              <w:t>106,8</w:t>
            </w:r>
          </w:p>
        </w:tc>
      </w:tr>
      <w:tr w:rsidR="006A10F6" w:rsidRPr="002F08F2" w14:paraId="10CFC820" w14:textId="77777777" w:rsidTr="006A10F6">
        <w:tc>
          <w:tcPr>
            <w:tcW w:w="4672" w:type="dxa"/>
            <w:vAlign w:val="center"/>
          </w:tcPr>
          <w:p w14:paraId="0048059A" w14:textId="77777777" w:rsidR="006A10F6" w:rsidRPr="002F08F2" w:rsidRDefault="006A10F6" w:rsidP="002F08F2">
            <w:pPr>
              <w:pStyle w:val="afb"/>
              <w:jc w:val="both"/>
              <w:rPr>
                <w:sz w:val="24"/>
                <w:szCs w:val="24"/>
              </w:rPr>
            </w:pPr>
            <w:r w:rsidRPr="002F08F2">
              <w:rPr>
                <w:sz w:val="24"/>
                <w:szCs w:val="24"/>
              </w:rPr>
              <w:t>Объем услуг транспорта, в действующих ценах</w:t>
            </w:r>
          </w:p>
        </w:tc>
        <w:tc>
          <w:tcPr>
            <w:tcW w:w="4673" w:type="dxa"/>
            <w:vAlign w:val="center"/>
          </w:tcPr>
          <w:p w14:paraId="510356B1" w14:textId="77777777" w:rsidR="006A10F6" w:rsidRPr="002F08F2" w:rsidRDefault="006A10F6" w:rsidP="002F08F2">
            <w:pPr>
              <w:pStyle w:val="afb"/>
              <w:jc w:val="both"/>
              <w:rPr>
                <w:sz w:val="24"/>
                <w:szCs w:val="24"/>
              </w:rPr>
            </w:pPr>
            <w:r w:rsidRPr="002F08F2">
              <w:rPr>
                <w:sz w:val="24"/>
                <w:szCs w:val="24"/>
              </w:rPr>
              <w:t>101,2</w:t>
            </w:r>
          </w:p>
        </w:tc>
      </w:tr>
      <w:tr w:rsidR="006A10F6" w:rsidRPr="002F08F2" w14:paraId="1CDAD487" w14:textId="77777777" w:rsidTr="006A10F6">
        <w:tc>
          <w:tcPr>
            <w:tcW w:w="4672" w:type="dxa"/>
            <w:vAlign w:val="center"/>
          </w:tcPr>
          <w:p w14:paraId="141D2422" w14:textId="77777777" w:rsidR="006A10F6" w:rsidRPr="002F08F2" w:rsidRDefault="006A10F6" w:rsidP="002F08F2">
            <w:pPr>
              <w:pStyle w:val="afb"/>
              <w:jc w:val="both"/>
              <w:rPr>
                <w:sz w:val="24"/>
                <w:szCs w:val="24"/>
              </w:rPr>
            </w:pPr>
            <w:r w:rsidRPr="002F08F2">
              <w:rPr>
                <w:sz w:val="24"/>
                <w:szCs w:val="24"/>
              </w:rPr>
              <w:t>Объем услуг в сфере телекоммуникаций, в действующих ценах</w:t>
            </w:r>
          </w:p>
        </w:tc>
        <w:tc>
          <w:tcPr>
            <w:tcW w:w="4673" w:type="dxa"/>
            <w:vAlign w:val="center"/>
          </w:tcPr>
          <w:p w14:paraId="0F54EFDB" w14:textId="77777777" w:rsidR="006A10F6" w:rsidRPr="002F08F2" w:rsidRDefault="006A10F6" w:rsidP="002F08F2">
            <w:pPr>
              <w:pStyle w:val="afb"/>
              <w:jc w:val="both"/>
              <w:rPr>
                <w:sz w:val="24"/>
                <w:szCs w:val="24"/>
              </w:rPr>
            </w:pPr>
            <w:r w:rsidRPr="002F08F2">
              <w:rPr>
                <w:sz w:val="24"/>
                <w:szCs w:val="24"/>
              </w:rPr>
              <w:t>103,3</w:t>
            </w:r>
          </w:p>
        </w:tc>
      </w:tr>
      <w:tr w:rsidR="006A10F6" w:rsidRPr="002F08F2" w14:paraId="7209BCC2" w14:textId="77777777" w:rsidTr="006A10F6">
        <w:tc>
          <w:tcPr>
            <w:tcW w:w="4672" w:type="dxa"/>
            <w:vAlign w:val="center"/>
          </w:tcPr>
          <w:p w14:paraId="685CFB32" w14:textId="77777777" w:rsidR="006A10F6" w:rsidRPr="002F08F2" w:rsidRDefault="006A10F6" w:rsidP="002F08F2">
            <w:pPr>
              <w:pStyle w:val="afb"/>
              <w:jc w:val="both"/>
              <w:rPr>
                <w:sz w:val="24"/>
                <w:szCs w:val="24"/>
              </w:rPr>
            </w:pPr>
            <w:r w:rsidRPr="002F08F2">
              <w:rPr>
                <w:sz w:val="24"/>
                <w:szCs w:val="24"/>
              </w:rPr>
              <w:t>Рыболовство</w:t>
            </w:r>
          </w:p>
        </w:tc>
        <w:tc>
          <w:tcPr>
            <w:tcW w:w="4673" w:type="dxa"/>
            <w:vAlign w:val="center"/>
          </w:tcPr>
          <w:p w14:paraId="4BDEB70C" w14:textId="77777777" w:rsidR="006A10F6" w:rsidRPr="002F08F2" w:rsidRDefault="006A10F6" w:rsidP="002F08F2">
            <w:pPr>
              <w:pStyle w:val="afb"/>
              <w:jc w:val="both"/>
              <w:rPr>
                <w:sz w:val="24"/>
                <w:szCs w:val="24"/>
              </w:rPr>
            </w:pPr>
            <w:r w:rsidRPr="002F08F2">
              <w:rPr>
                <w:sz w:val="24"/>
                <w:szCs w:val="24"/>
              </w:rPr>
              <w:t>89,7</w:t>
            </w:r>
          </w:p>
        </w:tc>
      </w:tr>
      <w:tr w:rsidR="006A10F6" w:rsidRPr="002F08F2" w14:paraId="71D5A4C1" w14:textId="77777777" w:rsidTr="006A10F6">
        <w:tc>
          <w:tcPr>
            <w:tcW w:w="4672" w:type="dxa"/>
            <w:vAlign w:val="center"/>
          </w:tcPr>
          <w:p w14:paraId="68A0FA2F" w14:textId="77777777" w:rsidR="006A10F6" w:rsidRPr="002F08F2" w:rsidRDefault="006A10F6" w:rsidP="002F08F2">
            <w:pPr>
              <w:pStyle w:val="afb"/>
              <w:jc w:val="both"/>
              <w:rPr>
                <w:sz w:val="24"/>
                <w:szCs w:val="24"/>
              </w:rPr>
            </w:pPr>
            <w:r w:rsidRPr="002F08F2">
              <w:rPr>
                <w:sz w:val="24"/>
                <w:szCs w:val="24"/>
              </w:rPr>
              <w:t>Объем работ по виду деятельности «Строительство»</w:t>
            </w:r>
          </w:p>
        </w:tc>
        <w:tc>
          <w:tcPr>
            <w:tcW w:w="4673" w:type="dxa"/>
            <w:vAlign w:val="center"/>
          </w:tcPr>
          <w:p w14:paraId="4F177165" w14:textId="77777777" w:rsidR="006A10F6" w:rsidRPr="002F08F2" w:rsidRDefault="006A10F6" w:rsidP="002F08F2">
            <w:pPr>
              <w:pStyle w:val="afb"/>
              <w:jc w:val="both"/>
              <w:rPr>
                <w:sz w:val="24"/>
                <w:szCs w:val="24"/>
              </w:rPr>
            </w:pPr>
            <w:r w:rsidRPr="002F08F2">
              <w:rPr>
                <w:sz w:val="24"/>
                <w:szCs w:val="24"/>
              </w:rPr>
              <w:t>100,4</w:t>
            </w:r>
          </w:p>
        </w:tc>
      </w:tr>
      <w:tr w:rsidR="006A10F6" w:rsidRPr="002F08F2" w14:paraId="6BC850EE" w14:textId="77777777" w:rsidTr="006A10F6">
        <w:tc>
          <w:tcPr>
            <w:tcW w:w="4672" w:type="dxa"/>
            <w:vAlign w:val="center"/>
          </w:tcPr>
          <w:p w14:paraId="17D25DB3" w14:textId="77777777" w:rsidR="006A10F6" w:rsidRPr="002F08F2" w:rsidRDefault="006A10F6" w:rsidP="002F08F2">
            <w:pPr>
              <w:pStyle w:val="afb"/>
              <w:jc w:val="both"/>
              <w:rPr>
                <w:sz w:val="24"/>
                <w:szCs w:val="24"/>
              </w:rPr>
            </w:pPr>
            <w:r w:rsidRPr="002F08F2">
              <w:rPr>
                <w:sz w:val="24"/>
                <w:szCs w:val="24"/>
              </w:rPr>
              <w:t>Реальные располагаемые денежные доходы населения</w:t>
            </w:r>
          </w:p>
        </w:tc>
        <w:tc>
          <w:tcPr>
            <w:tcW w:w="4673" w:type="dxa"/>
            <w:vAlign w:val="center"/>
          </w:tcPr>
          <w:p w14:paraId="61ACE91B" w14:textId="77777777" w:rsidR="006A10F6" w:rsidRPr="002F08F2" w:rsidRDefault="006A10F6" w:rsidP="002F08F2">
            <w:pPr>
              <w:pStyle w:val="afb"/>
              <w:jc w:val="both"/>
              <w:rPr>
                <w:sz w:val="24"/>
                <w:szCs w:val="24"/>
              </w:rPr>
            </w:pPr>
            <w:r w:rsidRPr="002F08F2">
              <w:rPr>
                <w:sz w:val="24"/>
                <w:szCs w:val="24"/>
              </w:rPr>
              <w:t>100,1</w:t>
            </w:r>
          </w:p>
        </w:tc>
      </w:tr>
      <w:tr w:rsidR="006A10F6" w:rsidRPr="002F08F2" w14:paraId="53AB3162" w14:textId="77777777" w:rsidTr="006A10F6">
        <w:tc>
          <w:tcPr>
            <w:tcW w:w="4672" w:type="dxa"/>
            <w:vAlign w:val="center"/>
          </w:tcPr>
          <w:p w14:paraId="624BDEAA" w14:textId="77777777" w:rsidR="006A10F6" w:rsidRPr="002F08F2" w:rsidRDefault="006A10F6" w:rsidP="002F08F2">
            <w:pPr>
              <w:pStyle w:val="afb"/>
              <w:jc w:val="both"/>
              <w:rPr>
                <w:sz w:val="24"/>
                <w:szCs w:val="24"/>
              </w:rPr>
            </w:pPr>
            <w:r w:rsidRPr="002F08F2">
              <w:rPr>
                <w:sz w:val="24"/>
                <w:szCs w:val="24"/>
              </w:rPr>
              <w:t>Объем платных услуг</w:t>
            </w:r>
          </w:p>
        </w:tc>
        <w:tc>
          <w:tcPr>
            <w:tcW w:w="4673" w:type="dxa"/>
            <w:vAlign w:val="center"/>
          </w:tcPr>
          <w:p w14:paraId="009B6224" w14:textId="77777777" w:rsidR="006A10F6" w:rsidRPr="002F08F2" w:rsidRDefault="006A10F6" w:rsidP="002F08F2">
            <w:pPr>
              <w:pStyle w:val="afb"/>
              <w:jc w:val="both"/>
              <w:rPr>
                <w:sz w:val="24"/>
                <w:szCs w:val="24"/>
              </w:rPr>
            </w:pPr>
            <w:r w:rsidRPr="002F08F2">
              <w:rPr>
                <w:sz w:val="24"/>
                <w:szCs w:val="24"/>
              </w:rPr>
              <w:t>103,5</w:t>
            </w:r>
          </w:p>
        </w:tc>
      </w:tr>
    </w:tbl>
    <w:p w14:paraId="5812E170"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p>
    <w:p w14:paraId="6C34393A"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 январе - декабре 2017 года организациями, занятыми в добывающем и обрабатывающем секторах, производстве электроэнергии, газа и воды, произведено продукции (работ, услуг) на 16,7% больше, чем в январе - декабре 2016 года, так же рост производства достигнут в добыче прочих полезных ископаемых; в обрабатывающем секторе.</w:t>
      </w:r>
    </w:p>
    <w:p w14:paraId="2DE8DF84"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Снижение объемов отмечено в добыче угля и металлических руд. В общем объеме инвестиций в основной капитал доля инвестиций в машины и оборудование, включая хозяйственный инвентарь и другие объекты составили 39,5%, в здания (кроме жилых) и сооружения, расходы на улучшение земель 37,5%, в жилые здания и помещения 16,4%, в прочие 6,1% [6].</w:t>
      </w:r>
    </w:p>
    <w:p w14:paraId="758D4FF5"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По видам экономической деятельности наибольший удельный вес в общем объеме инвестиций крупных и средних организаций края составляют инвестиции в транспортировку и хранение (24,5%), обрабатывающие производства (19,5%), обеспечение электрической энергией, газом и паром; кондиционирование воздуха (13,1%), государственное управление и обеспечение военной безопасности; социальное обеспечение (10,8%), сельское, лесное хозяйство, охота, рыболовство и рыбоводство (7,9%) [6].</w:t>
      </w:r>
    </w:p>
    <w:p w14:paraId="4E38D47E"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Одним из важнейших факторов экономического роста являются инвестиции. </w:t>
      </w:r>
    </w:p>
    <w:p w14:paraId="5B268E06"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lastRenderedPageBreak/>
        <w:t>Свободный порт Владивосток является одним из ключевых проектов, реализуемых в настоящее время в южном Приморье и направленных на ускоренное социально-экономическое развитие города Владивостока, Приморского края и Дальневосточного региона в целом.</w:t>
      </w:r>
    </w:p>
    <w:p w14:paraId="769C8DFF"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Согласно Федеральному закону от 13 июля 2015 года № 212-ФЗ «О свободном порте Владивосток» [10], под свободным портом Владивосток понимается часть территории Приморского края, на которой устанавливаются меры государственной поддержки предпринимательской деятельности. Особый режим для территорий будет действовать на протяжении 70 лет.</w:t>
      </w:r>
    </w:p>
    <w:p w14:paraId="565C26ED"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Главной задачей СПВ как инструмента эффективного развития территории является установление особых мер государственной поддержки предпринимательской деятельности с целью первоочередного развития экспортно-импортных операций субъектов внешнеэкономической деятельности (ВЭД) и наращивания товарооборота, проходящего через российские восточные порты. </w:t>
      </w:r>
    </w:p>
    <w:p w14:paraId="2E1A1B6E"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Это неизбежно повлечет за собой новые инвестиции как от отечественных, так и иностранных субъектов ВЭД и комплексное развитие портовой инфраструктуры [12, с. 108].</w:t>
      </w:r>
    </w:p>
    <w:p w14:paraId="47616800"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Так же на территории приморского края есть такие проекты, как Территория опережающего развития, игорная зона и особая экономическая зона, которые позволяют инвесторам реализовывать различные схемы транзита, переработки и производства товаров на территории региона.</w:t>
      </w:r>
    </w:p>
    <w:p w14:paraId="614FC4B4"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 Ряд значимых для региона проектов уже находятся в стадии планирования. Так, в Уссурийском округе предполагается создать промышленный парк по высокотехнологичному производству тарного картона и гофрированной упаковки из вторичного сырья. В Ольгинском районе намерены перерабатывать природный мрамор, а также производить инновационный стройматериал – блочное пеностекло. В Артеме с помощью южнокорейских инвестиций наладят производство бытовой химии, в Большом Камне – сетевязальное производство [16]. </w:t>
      </w:r>
    </w:p>
    <w:p w14:paraId="06A94821"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Для Приморского края, безусловно, открытие новых проектов является хорошей перспективой развития, ведь чем больше проектов, тем больше приток инвестиций в край. Но с реализацией каждого проекта связаны и серьёзные проблемы, вызванные скорее внешними обстоятельствами — общим ухудшением финансово-экономической ситуации в стране, слабым интересом к России со стороны иностранных инвесторов. </w:t>
      </w:r>
    </w:p>
    <w:p w14:paraId="64EE0E7D"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Властям всех уровней следовало бы сосредоточить усилия на реализации в Приморском крае экономических режимов, установленных действующим законодательством, и поддерживать их стабильность. Также представляется целесообразным в 2016 г. ориентировать экономическую политику на увеличение нормы прибыли бизнеса с тем, чтобы соотношение инвестиционных рисков к прибыльности бизнеса в Приморском крае превысило аналогичные показатели в соседних странах Азиатско-Тихоокеанского региона [6].</w:t>
      </w:r>
    </w:p>
    <w:p w14:paraId="09B789C1" w14:textId="77777777" w:rsidR="006A10F6" w:rsidRPr="002F08F2" w:rsidRDefault="006A10F6"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 целом, подводя итог данной главе, можно отметить, что географическое положение Дальнего Востока в целом и Приморского края в частности, с одной стороны, практически отрезало регион от центральной России, тяжелые климатические условия обусловило особенности экономического развития. Но с другой стороны, данный фактор обусловил высокий уровень инвестиционной привлекательности региона и Приморского края. Край продолжает свое развитие, создавая крупные экономические проекты. Перспективы развития имеют место быть, пока существует интерес инвесторов к данному региону.</w:t>
      </w:r>
    </w:p>
    <w:p w14:paraId="278AFD40" w14:textId="77777777" w:rsidR="006A10F6" w:rsidRPr="002F08F2" w:rsidRDefault="007014C7" w:rsidP="002F08F2">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Pr>
          <w:rFonts w:ascii="Times New Roman" w:eastAsia="SimSun" w:hAnsi="Times New Roman" w:cs="Times New Roman"/>
          <w:noProof/>
          <w:sz w:val="24"/>
          <w:szCs w:val="24"/>
          <w:lang w:eastAsia="ru-RU"/>
        </w:rPr>
        <w:pict w14:anchorId="3A4C9967">
          <v:line id="Прямая соединительная линия 65" o:spid="_x0000_s1131" style="position:absolute;left:0;text-align:left;flip:y;z-index:251669504;visibility:visible" from="35.7pt,8pt" to="221.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" strokecolor="black [3040]">
            <o:lock v:ext="edit" shapetype="f"/>
          </v:line>
        </w:pict>
      </w:r>
    </w:p>
    <w:p w14:paraId="13A7440D" w14:textId="77777777" w:rsidR="006A10F6" w:rsidRPr="002F08F2" w:rsidRDefault="006A10F6" w:rsidP="002F08F2">
      <w:pPr>
        <w:numPr>
          <w:ilvl w:val="0"/>
          <w:numId w:val="27"/>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Просалова В. С., Лейченко С. С. Прогнозирование социального развития Приморского края. // Молодой ученый. — 2017. — №2. — С. 486-490.</w:t>
      </w:r>
    </w:p>
    <w:p w14:paraId="2EB180D0" w14:textId="77777777" w:rsidR="006A10F6" w:rsidRPr="002F08F2" w:rsidRDefault="006A10F6" w:rsidP="002F08F2">
      <w:pPr>
        <w:numPr>
          <w:ilvl w:val="0"/>
          <w:numId w:val="27"/>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Итоги социально-экономического развития Приморского края 2017 год/ [Электронный ресурс] – Режим доступа. – </w:t>
      </w:r>
      <w:hyperlink r:id="rId110" w:history="1">
        <w:r w:rsidRPr="002F08F2">
          <w:rPr>
            <w:rFonts w:ascii="Times New Roman" w:eastAsia="Times New Roman" w:hAnsi="Times New Roman" w:cs="Times New Roman"/>
            <w:sz w:val="24"/>
            <w:szCs w:val="24"/>
          </w:rPr>
          <w:t>http://primorsky.ru/authorities/executive-agencies/departments/economics/development/results/results2017.php</w:t>
        </w:r>
      </w:hyperlink>
    </w:p>
    <w:p w14:paraId="7B333399" w14:textId="77777777" w:rsidR="006A10F6" w:rsidRPr="002F08F2" w:rsidRDefault="006A10F6" w:rsidP="002F08F2">
      <w:pPr>
        <w:numPr>
          <w:ilvl w:val="0"/>
          <w:numId w:val="27"/>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lastRenderedPageBreak/>
        <w:t xml:space="preserve">О свободном порте Владивосток: Федеральный закон от 13.07.2015 N 212-ФЗ (ред. от 29.12.2017) [Электронный ресурс] – Режим доступа. – </w:t>
      </w:r>
      <w:hyperlink r:id="rId111" w:anchor="012148007799388472" w:history="1">
        <w:r w:rsidRPr="002F08F2">
          <w:rPr>
            <w:rFonts w:ascii="Times New Roman" w:eastAsia="Times New Roman" w:hAnsi="Times New Roman" w:cs="Times New Roman"/>
            <w:sz w:val="24"/>
            <w:szCs w:val="24"/>
          </w:rPr>
          <w:t>http://www.consultant.ru/cons/cgi/online.cgi?req=doc&amp;base=LAW&amp;n=287030&amp;fld=134&amp;dst=1000000001,0&amp;rnd=0.8694754244817058#012148007799388472</w:t>
        </w:r>
      </w:hyperlink>
    </w:p>
    <w:p w14:paraId="4F9DFF43" w14:textId="77777777" w:rsidR="006A10F6" w:rsidRPr="002F08F2" w:rsidRDefault="006A10F6" w:rsidP="002F08F2">
      <w:pPr>
        <w:numPr>
          <w:ilvl w:val="0"/>
          <w:numId w:val="27"/>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Красова Е.В. Свободный порт Владивосток: условия развития, перспективы, риски / Е. В. Красова // Экономические и социальные перемены: факты, тенденции, прогноз. - 2015. - № 6 (42). - С. 108-122.</w:t>
      </w:r>
    </w:p>
    <w:p w14:paraId="1EDE68B5" w14:textId="77777777" w:rsidR="006A10F6" w:rsidRPr="002F08F2" w:rsidRDefault="006A10F6" w:rsidP="002F08F2">
      <w:pPr>
        <w:numPr>
          <w:ilvl w:val="0"/>
          <w:numId w:val="27"/>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Шолик Н. 10 Ответов на самые актуальные вопросы о свободном порте Владивосток / Н. Шолик // Приморская газета. 2- 015. - № 78.  – С. 3.</w:t>
      </w:r>
    </w:p>
    <w:p w14:paraId="57297588" w14:textId="77777777" w:rsidR="006A10F6" w:rsidRPr="002F08F2" w:rsidRDefault="006A10F6" w:rsidP="002F08F2">
      <w:pPr>
        <w:numPr>
          <w:ilvl w:val="0"/>
          <w:numId w:val="27"/>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О внешнеэкономической деятельности Приморского края в 2015 году // [Электронный ресурс] — Режим доступа: http://www.mid.ru/ (дата обращения: 18.07.2016)</w:t>
      </w:r>
    </w:p>
    <w:p w14:paraId="29DB5971" w14:textId="77777777" w:rsidR="000B1300" w:rsidRDefault="000B1300" w:rsidP="006A10F6">
      <w:pPr>
        <w:widowControl w:val="0"/>
        <w:spacing w:line="240" w:lineRule="auto"/>
        <w:rPr>
          <w:rFonts w:ascii="Times New Roman" w:hAnsi="Times New Roman"/>
          <w:b/>
          <w:sz w:val="20"/>
          <w:szCs w:val="24"/>
        </w:rPr>
      </w:pPr>
    </w:p>
    <w:p w14:paraId="300394B7" w14:textId="77777777" w:rsidR="006A10F6" w:rsidRPr="002F08F2" w:rsidRDefault="006A10F6" w:rsidP="006A10F6">
      <w:pPr>
        <w:widowControl w:val="0"/>
        <w:spacing w:line="240" w:lineRule="auto"/>
        <w:rPr>
          <w:rFonts w:ascii="Times New Roman" w:hAnsi="Times New Roman" w:cs="Times New Roman"/>
          <w:b/>
          <w:sz w:val="24"/>
          <w:szCs w:val="24"/>
        </w:rPr>
      </w:pPr>
      <w:r w:rsidRPr="002F08F2">
        <w:rPr>
          <w:rFonts w:ascii="Times New Roman" w:hAnsi="Times New Roman" w:cs="Times New Roman"/>
          <w:b/>
          <w:sz w:val="24"/>
          <w:szCs w:val="24"/>
        </w:rPr>
        <w:t>Рубрика: Проблемы динамичного развития экономики и финансов в современном мире</w:t>
      </w:r>
    </w:p>
    <w:p w14:paraId="633DF44A" w14:textId="77777777" w:rsidR="006A10F6" w:rsidRPr="002F08F2" w:rsidRDefault="006A10F6" w:rsidP="006A10F6">
      <w:pPr>
        <w:widowControl w:val="0"/>
        <w:spacing w:line="240" w:lineRule="auto"/>
        <w:rPr>
          <w:rFonts w:ascii="Times New Roman" w:hAnsi="Times New Roman" w:cs="Times New Roman"/>
          <w:sz w:val="24"/>
          <w:szCs w:val="24"/>
        </w:rPr>
      </w:pPr>
      <w:r w:rsidRPr="002F08F2">
        <w:rPr>
          <w:rFonts w:ascii="Times New Roman" w:hAnsi="Times New Roman" w:cs="Times New Roman"/>
          <w:sz w:val="24"/>
          <w:szCs w:val="24"/>
        </w:rPr>
        <w:t>УДК336.151</w:t>
      </w:r>
    </w:p>
    <w:p w14:paraId="1D466BCA" w14:textId="77777777" w:rsidR="006A10F6" w:rsidRPr="002F08F2" w:rsidRDefault="0076600D" w:rsidP="006A10F6">
      <w:pPr>
        <w:spacing w:after="0" w:line="240" w:lineRule="auto"/>
        <w:ind w:firstLine="709"/>
        <w:jc w:val="center"/>
        <w:rPr>
          <w:rFonts w:ascii="Times New Roman" w:hAnsi="Times New Roman" w:cs="Times New Roman"/>
          <w:b/>
          <w:sz w:val="24"/>
          <w:szCs w:val="24"/>
        </w:rPr>
      </w:pPr>
      <w:r w:rsidRPr="002F08F2">
        <w:rPr>
          <w:rFonts w:ascii="Times New Roman" w:hAnsi="Times New Roman" w:cs="Times New Roman"/>
          <w:b/>
          <w:sz w:val="24"/>
          <w:szCs w:val="24"/>
        </w:rPr>
        <w:t>ПОКАЗАТЕЛИ БЮДЖЕТНОЙ ОБЕСПЕЧЕННОСТИ ПРИМОРСКОГО КРАЯ – КАК ОСНОВНОЙ ИНДИКАТОР СОЦИАЛЬНО-ЭКОНОМИЧЕСКОГО СОСТОЯНИЯ РЕГИОНА</w:t>
      </w:r>
    </w:p>
    <w:p w14:paraId="70F35735" w14:textId="77777777" w:rsidR="0076600D" w:rsidRPr="002F08F2" w:rsidRDefault="0076600D" w:rsidP="006A10F6">
      <w:pPr>
        <w:spacing w:line="240" w:lineRule="auto"/>
        <w:ind w:rightChars="13" w:right="29"/>
        <w:jc w:val="center"/>
        <w:rPr>
          <w:rFonts w:ascii="Times New Roman" w:hAnsi="Times New Roman" w:cs="Times New Roman"/>
          <w:color w:val="212121"/>
          <w:sz w:val="24"/>
          <w:szCs w:val="24"/>
          <w:lang w:eastAsia="ru-RU"/>
        </w:rPr>
      </w:pPr>
    </w:p>
    <w:p w14:paraId="765DB20D" w14:textId="77777777" w:rsidR="006A10F6" w:rsidRPr="002F08F2" w:rsidRDefault="006A10F6" w:rsidP="0076600D">
      <w:pPr>
        <w:spacing w:after="0" w:line="240" w:lineRule="auto"/>
        <w:ind w:rightChars="13" w:right="29"/>
        <w:jc w:val="center"/>
        <w:rPr>
          <w:rFonts w:ascii="Times New Roman" w:hAnsi="Times New Roman" w:cs="Times New Roman"/>
          <w:b/>
          <w:color w:val="212121"/>
          <w:sz w:val="24"/>
          <w:szCs w:val="24"/>
          <w:lang w:eastAsia="ru-RU"/>
        </w:rPr>
      </w:pPr>
      <w:r w:rsidRPr="002F08F2">
        <w:rPr>
          <w:rFonts w:ascii="Times New Roman" w:hAnsi="Times New Roman" w:cs="Times New Roman"/>
          <w:b/>
          <w:color w:val="212121"/>
          <w:sz w:val="24"/>
          <w:szCs w:val="24"/>
          <w:lang w:eastAsia="ru-RU"/>
        </w:rPr>
        <w:t>Полонская Влада</w:t>
      </w:r>
    </w:p>
    <w:p w14:paraId="0AB4E9F1" w14:textId="77777777" w:rsidR="006A10F6" w:rsidRPr="002F08F2" w:rsidRDefault="006A10F6" w:rsidP="0076600D">
      <w:pPr>
        <w:spacing w:after="0" w:line="240" w:lineRule="auto"/>
        <w:ind w:rightChars="13" w:right="29"/>
        <w:jc w:val="center"/>
        <w:rPr>
          <w:rFonts w:ascii="Times New Roman" w:hAnsi="Times New Roman" w:cs="Times New Roman"/>
          <w:color w:val="212121"/>
          <w:sz w:val="24"/>
          <w:szCs w:val="24"/>
          <w:lang w:eastAsia="ru-RU"/>
        </w:rPr>
      </w:pPr>
      <w:r w:rsidRPr="002F08F2">
        <w:rPr>
          <w:rFonts w:ascii="Times New Roman" w:hAnsi="Times New Roman" w:cs="Times New Roman"/>
          <w:color w:val="212121"/>
          <w:sz w:val="24"/>
          <w:szCs w:val="24"/>
          <w:lang w:eastAsia="ru-RU"/>
        </w:rPr>
        <w:t>Магистрант</w:t>
      </w:r>
      <w:r w:rsidR="00D03294" w:rsidRPr="002F08F2">
        <w:rPr>
          <w:rFonts w:ascii="Times New Roman" w:hAnsi="Times New Roman" w:cs="Times New Roman"/>
          <w:color w:val="212121"/>
          <w:sz w:val="24"/>
          <w:szCs w:val="24"/>
          <w:lang w:eastAsia="ru-RU"/>
        </w:rPr>
        <w:t xml:space="preserve"> </w:t>
      </w:r>
      <w:r w:rsidRPr="002F08F2">
        <w:rPr>
          <w:rFonts w:ascii="Times New Roman" w:hAnsi="Times New Roman" w:cs="Times New Roman"/>
          <w:color w:val="212121"/>
          <w:sz w:val="24"/>
          <w:szCs w:val="24"/>
          <w:lang w:eastAsia="ru-RU"/>
        </w:rPr>
        <w:t>2 ку</w:t>
      </w:r>
      <w:r w:rsidRPr="002F08F2">
        <w:rPr>
          <w:rFonts w:ascii="Times New Roman" w:hAnsi="Times New Roman" w:cs="Times New Roman"/>
          <w:color w:val="212121"/>
          <w:sz w:val="24"/>
          <w:szCs w:val="24"/>
          <w:lang w:val="en-US" w:eastAsia="ru-RU"/>
        </w:rPr>
        <w:t>p</w:t>
      </w:r>
      <w:r w:rsidRPr="002F08F2">
        <w:rPr>
          <w:rFonts w:ascii="Times New Roman" w:hAnsi="Times New Roman" w:cs="Times New Roman"/>
          <w:color w:val="212121"/>
          <w:sz w:val="24"/>
          <w:szCs w:val="24"/>
          <w:lang w:eastAsia="ru-RU"/>
        </w:rPr>
        <w:t>с</w:t>
      </w:r>
      <w:r w:rsidRPr="002F08F2">
        <w:rPr>
          <w:rFonts w:ascii="Times New Roman" w:hAnsi="Times New Roman" w:cs="Times New Roman"/>
          <w:color w:val="212121"/>
          <w:sz w:val="24"/>
          <w:szCs w:val="24"/>
          <w:lang w:val="en-US" w:eastAsia="ru-RU"/>
        </w:rPr>
        <w:t>a</w:t>
      </w:r>
      <w:r w:rsidRPr="002F08F2">
        <w:rPr>
          <w:rFonts w:ascii="Times New Roman" w:hAnsi="Times New Roman" w:cs="Times New Roman"/>
          <w:color w:val="212121"/>
          <w:sz w:val="24"/>
          <w:szCs w:val="24"/>
          <w:lang w:eastAsia="ru-RU"/>
        </w:rPr>
        <w:t>, г</w:t>
      </w:r>
      <w:r w:rsidRPr="002F08F2">
        <w:rPr>
          <w:rFonts w:ascii="Times New Roman" w:hAnsi="Times New Roman" w:cs="Times New Roman"/>
          <w:color w:val="212121"/>
          <w:sz w:val="24"/>
          <w:szCs w:val="24"/>
          <w:lang w:val="en-US" w:eastAsia="ru-RU"/>
        </w:rPr>
        <w:t>p</w:t>
      </w:r>
      <w:r w:rsidRPr="002F08F2">
        <w:rPr>
          <w:rFonts w:ascii="Times New Roman" w:hAnsi="Times New Roman" w:cs="Times New Roman"/>
          <w:color w:val="212121"/>
          <w:sz w:val="24"/>
          <w:szCs w:val="24"/>
          <w:lang w:eastAsia="ru-RU"/>
        </w:rPr>
        <w:t>упп</w:t>
      </w:r>
      <w:r w:rsidRPr="002F08F2">
        <w:rPr>
          <w:rFonts w:ascii="Times New Roman" w:hAnsi="Times New Roman" w:cs="Times New Roman"/>
          <w:color w:val="212121"/>
          <w:sz w:val="24"/>
          <w:szCs w:val="24"/>
          <w:lang w:val="en-US" w:eastAsia="ru-RU"/>
        </w:rPr>
        <w:t>a</w:t>
      </w:r>
      <w:r w:rsidR="00D03294" w:rsidRPr="002F08F2">
        <w:rPr>
          <w:rFonts w:ascii="Times New Roman" w:hAnsi="Times New Roman" w:cs="Times New Roman"/>
          <w:color w:val="212121"/>
          <w:sz w:val="24"/>
          <w:szCs w:val="24"/>
          <w:lang w:eastAsia="ru-RU"/>
        </w:rPr>
        <w:t xml:space="preserve"> </w:t>
      </w:r>
      <w:r w:rsidRPr="002F08F2">
        <w:rPr>
          <w:rFonts w:ascii="Times New Roman" w:hAnsi="Times New Roman" w:cs="Times New Roman"/>
          <w:color w:val="000000"/>
          <w:sz w:val="24"/>
          <w:szCs w:val="24"/>
        </w:rPr>
        <w:t>ЗМФК-16</w:t>
      </w:r>
      <w:r w:rsidRPr="002F08F2">
        <w:rPr>
          <w:rFonts w:ascii="Times New Roman" w:hAnsi="Times New Roman" w:cs="Times New Roman"/>
          <w:color w:val="212121"/>
          <w:sz w:val="24"/>
          <w:szCs w:val="24"/>
          <w:lang w:eastAsia="ru-RU"/>
        </w:rPr>
        <w:t xml:space="preserve">, </w:t>
      </w:r>
    </w:p>
    <w:p w14:paraId="4BD3620B" w14:textId="77777777" w:rsidR="006A10F6" w:rsidRPr="002F08F2"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lang w:eastAsia="ru-RU"/>
        </w:rPr>
      </w:pPr>
      <w:r w:rsidRPr="630840AF">
        <w:rPr>
          <w:rFonts w:ascii="Times New Roman" w:hAnsi="Times New Roman" w:cs="Times New Roman"/>
          <w:color w:val="212121"/>
          <w:sz w:val="24"/>
          <w:szCs w:val="24"/>
          <w:lang w:eastAsia="ru-RU"/>
        </w:rPr>
        <w:t>к</w:t>
      </w:r>
      <w:r w:rsidRPr="630840AF">
        <w:rPr>
          <w:rFonts w:ascii="Times New Roman" w:hAnsi="Times New Roman" w:cs="Times New Roman"/>
          <w:color w:val="212121"/>
          <w:sz w:val="24"/>
          <w:szCs w:val="24"/>
          <w:lang w:val="en-US" w:eastAsia="ru-RU"/>
        </w:rPr>
        <w:t>a</w:t>
      </w:r>
      <w:r w:rsidRPr="630840AF">
        <w:rPr>
          <w:rFonts w:ascii="Times New Roman" w:hAnsi="Times New Roman" w:cs="Times New Roman"/>
          <w:color w:val="212121"/>
          <w:sz w:val="24"/>
          <w:szCs w:val="24"/>
          <w:lang w:eastAsia="ru-RU"/>
        </w:rPr>
        <w:t>ф</w:t>
      </w:r>
      <w:r w:rsidRPr="630840AF">
        <w:rPr>
          <w:rFonts w:ascii="Times New Roman" w:hAnsi="Times New Roman" w:cs="Times New Roman"/>
          <w:color w:val="212121"/>
          <w:sz w:val="24"/>
          <w:szCs w:val="24"/>
          <w:lang w:val="en-US" w:eastAsia="ru-RU"/>
        </w:rPr>
        <w:t>e</w:t>
      </w:r>
      <w:r w:rsidRPr="630840AF">
        <w:rPr>
          <w:rFonts w:ascii="Times New Roman" w:hAnsi="Times New Roman" w:cs="Times New Roman"/>
          <w:color w:val="212121"/>
          <w:sz w:val="24"/>
          <w:szCs w:val="24"/>
          <w:lang w:eastAsia="ru-RU"/>
        </w:rPr>
        <w:t>д</w:t>
      </w:r>
      <w:r w:rsidRPr="630840AF">
        <w:rPr>
          <w:rFonts w:ascii="Times New Roman" w:hAnsi="Times New Roman" w:cs="Times New Roman"/>
          <w:color w:val="212121"/>
          <w:sz w:val="24"/>
          <w:szCs w:val="24"/>
          <w:lang w:val="en-US" w:eastAsia="ru-RU"/>
        </w:rPr>
        <w:t>pa</w:t>
      </w:r>
      <w:r w:rsidRPr="630840AF">
        <w:rPr>
          <w:rFonts w:ascii="Times New Roman" w:hAnsi="Times New Roman" w:cs="Times New Roman"/>
          <w:color w:val="212121"/>
          <w:sz w:val="24"/>
          <w:szCs w:val="24"/>
          <w:lang w:eastAsia="ru-RU"/>
        </w:rPr>
        <w:t xml:space="preserve"> экономики</w:t>
      </w:r>
    </w:p>
    <w:p w14:paraId="5D255343" w14:textId="77777777" w:rsidR="0076600D" w:rsidRPr="002F08F2" w:rsidRDefault="0076600D" w:rsidP="006A1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lang w:eastAsia="ru-RU"/>
        </w:rPr>
      </w:pPr>
    </w:p>
    <w:p w14:paraId="53F46CC2" w14:textId="77777777" w:rsidR="006A10F6" w:rsidRPr="002F08F2" w:rsidRDefault="006A10F6" w:rsidP="006A1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lang w:eastAsia="ru-RU"/>
        </w:rPr>
      </w:pPr>
      <w:r w:rsidRPr="002F08F2">
        <w:rPr>
          <w:rFonts w:ascii="Times New Roman" w:hAnsi="Times New Roman" w:cs="Times New Roman"/>
          <w:i/>
          <w:color w:val="212121"/>
          <w:sz w:val="24"/>
          <w:szCs w:val="24"/>
          <w:lang w:eastAsia="ru-RU"/>
        </w:rPr>
        <w:t>Влaдивoстoкский гoсудapствeнный университет экoнoмики и сepвисa</w:t>
      </w:r>
    </w:p>
    <w:p w14:paraId="158B609D" w14:textId="77777777" w:rsidR="006A10F6" w:rsidRPr="002F08F2" w:rsidRDefault="006A10F6" w:rsidP="006A1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i/>
          <w:color w:val="212121"/>
          <w:sz w:val="24"/>
          <w:szCs w:val="24"/>
          <w:lang w:eastAsia="ru-RU"/>
        </w:rPr>
      </w:pPr>
      <w:r w:rsidRPr="002F08F2">
        <w:rPr>
          <w:rFonts w:ascii="Times New Roman" w:hAnsi="Times New Roman" w:cs="Times New Roman"/>
          <w:i/>
          <w:color w:val="212121"/>
          <w:sz w:val="24"/>
          <w:szCs w:val="24"/>
          <w:lang w:eastAsia="ru-RU"/>
        </w:rPr>
        <w:t>Poссия. Влaдивoстoк</w:t>
      </w:r>
    </w:p>
    <w:p w14:paraId="552C276D" w14:textId="77777777" w:rsidR="0076600D" w:rsidRPr="002F08F2" w:rsidRDefault="0076600D" w:rsidP="006A1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12121"/>
          <w:sz w:val="24"/>
          <w:szCs w:val="24"/>
          <w:lang w:eastAsia="ru-RU"/>
        </w:rPr>
      </w:pPr>
    </w:p>
    <w:p w14:paraId="79CCD587" w14:textId="77777777" w:rsidR="006A10F6" w:rsidRPr="002F08F2" w:rsidRDefault="630840AF"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heme="minorEastAsia" w:hAnsi="Times New Roman" w:cs="Times New Roman"/>
          <w:color w:val="000000" w:themeColor="text1"/>
          <w:sz w:val="24"/>
          <w:szCs w:val="24"/>
          <w:lang w:eastAsia="zh-CN"/>
        </w:rPr>
      </w:pPr>
      <w:r w:rsidRPr="630840AF">
        <w:rPr>
          <w:rFonts w:ascii="Times New Roman" w:hAnsi="Times New Roman" w:cs="Times New Roman"/>
          <w:color w:val="000000" w:themeColor="text1"/>
          <w:sz w:val="24"/>
          <w:szCs w:val="24"/>
          <w:lang w:eastAsia="ru-RU"/>
        </w:rPr>
        <w:t>Е-</w:t>
      </w:r>
      <w:r w:rsidRPr="630840AF">
        <w:rPr>
          <w:rFonts w:ascii="Times New Roman" w:hAnsi="Times New Roman" w:cs="Times New Roman"/>
          <w:color w:val="000000" w:themeColor="text1"/>
          <w:sz w:val="24"/>
          <w:szCs w:val="24"/>
          <w:lang w:val="en-US" w:eastAsia="ru-RU"/>
        </w:rPr>
        <w:t>mail</w:t>
      </w:r>
      <w:r w:rsidRPr="630840AF">
        <w:rPr>
          <w:rFonts w:ascii="Times New Roman" w:hAnsi="Times New Roman" w:cs="Times New Roman"/>
          <w:color w:val="000000" w:themeColor="text1"/>
          <w:sz w:val="24"/>
          <w:szCs w:val="24"/>
          <w:lang w:eastAsia="ru-RU"/>
        </w:rPr>
        <w:t xml:space="preserve">: </w:t>
      </w:r>
      <w:hyperlink r:id="rId112">
        <w:r w:rsidRPr="630840AF">
          <w:rPr>
            <w:rStyle w:val="a4"/>
            <w:rFonts w:ascii="Times New Roman" w:hAnsi="Times New Roman" w:cs="Times New Roman"/>
            <w:color w:val="000000" w:themeColor="text1"/>
            <w:sz w:val="24"/>
            <w:szCs w:val="24"/>
            <w:lang w:val="en-US"/>
          </w:rPr>
          <w:t>vlada</w:t>
        </w:r>
        <w:r w:rsidRPr="630840AF">
          <w:rPr>
            <w:rStyle w:val="a4"/>
            <w:rFonts w:ascii="Times New Roman" w:hAnsi="Times New Roman" w:cs="Times New Roman"/>
            <w:color w:val="000000" w:themeColor="text1"/>
            <w:sz w:val="24"/>
            <w:szCs w:val="24"/>
          </w:rPr>
          <w:t>-</w:t>
        </w:r>
        <w:r w:rsidRPr="630840AF">
          <w:rPr>
            <w:rStyle w:val="a4"/>
            <w:rFonts w:ascii="Times New Roman" w:hAnsi="Times New Roman" w:cs="Times New Roman"/>
            <w:color w:val="000000" w:themeColor="text1"/>
            <w:sz w:val="24"/>
            <w:szCs w:val="24"/>
            <w:lang w:val="en-US"/>
          </w:rPr>
          <w:t>prim</w:t>
        </w:r>
        <w:r w:rsidRPr="630840AF">
          <w:rPr>
            <w:rStyle w:val="a4"/>
            <w:rFonts w:ascii="Times New Roman" w:hAnsi="Times New Roman" w:cs="Times New Roman"/>
            <w:color w:val="000000" w:themeColor="text1"/>
            <w:sz w:val="24"/>
            <w:szCs w:val="24"/>
          </w:rPr>
          <w:t>@</w:t>
        </w:r>
        <w:r w:rsidRPr="630840AF">
          <w:rPr>
            <w:rStyle w:val="a4"/>
            <w:rFonts w:ascii="Times New Roman" w:hAnsi="Times New Roman" w:cs="Times New Roman"/>
            <w:color w:val="000000" w:themeColor="text1"/>
            <w:sz w:val="24"/>
            <w:szCs w:val="24"/>
            <w:lang w:val="en-US"/>
          </w:rPr>
          <w:t>mail</w:t>
        </w:r>
        <w:r w:rsidRPr="630840AF">
          <w:rPr>
            <w:rStyle w:val="a4"/>
            <w:rFonts w:ascii="Times New Roman" w:hAnsi="Times New Roman" w:cs="Times New Roman"/>
            <w:color w:val="000000" w:themeColor="text1"/>
            <w:sz w:val="24"/>
            <w:szCs w:val="24"/>
          </w:rPr>
          <w:t>.</w:t>
        </w:r>
        <w:r w:rsidRPr="630840AF">
          <w:rPr>
            <w:rStyle w:val="a4"/>
            <w:rFonts w:ascii="Times New Roman" w:hAnsi="Times New Roman" w:cs="Times New Roman"/>
            <w:color w:val="000000" w:themeColor="text1"/>
            <w:sz w:val="24"/>
            <w:szCs w:val="24"/>
            <w:lang w:val="en-US"/>
          </w:rPr>
          <w:t>ru</w:t>
        </w:r>
      </w:hyperlink>
      <w:r w:rsidRPr="630840AF">
        <w:rPr>
          <w:rFonts w:ascii="Times New Roman" w:hAnsi="Times New Roman" w:cs="Times New Roman"/>
          <w:color w:val="000000" w:themeColor="text1"/>
          <w:sz w:val="24"/>
          <w:szCs w:val="24"/>
        </w:rPr>
        <w:t>, +79025247982</w:t>
      </w:r>
    </w:p>
    <w:p w14:paraId="113A2230" w14:textId="77777777" w:rsidR="006A10F6" w:rsidRDefault="006A10F6" w:rsidP="00100B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lang w:eastAsia="ru-RU"/>
        </w:rPr>
        <w:t>Ул. Г</w:t>
      </w:r>
      <w:r w:rsidRPr="002F08F2">
        <w:rPr>
          <w:rFonts w:ascii="Times New Roman" w:hAnsi="Times New Roman" w:cs="Times New Roman"/>
          <w:color w:val="000000" w:themeColor="text1"/>
          <w:sz w:val="24"/>
          <w:szCs w:val="24"/>
          <w:lang w:val="en-US" w:eastAsia="ru-RU"/>
        </w:rPr>
        <w:t>o</w:t>
      </w:r>
      <w:r w:rsidRPr="002F08F2">
        <w:rPr>
          <w:rFonts w:ascii="Times New Roman" w:hAnsi="Times New Roman" w:cs="Times New Roman"/>
          <w:color w:val="000000" w:themeColor="text1"/>
          <w:sz w:val="24"/>
          <w:szCs w:val="24"/>
          <w:lang w:eastAsia="ru-RU"/>
        </w:rPr>
        <w:t>г</w:t>
      </w:r>
      <w:r w:rsidRPr="002F08F2">
        <w:rPr>
          <w:rFonts w:ascii="Times New Roman" w:hAnsi="Times New Roman" w:cs="Times New Roman"/>
          <w:color w:val="000000" w:themeColor="text1"/>
          <w:sz w:val="24"/>
          <w:szCs w:val="24"/>
          <w:lang w:val="en-US" w:eastAsia="ru-RU"/>
        </w:rPr>
        <w:t>o</w:t>
      </w:r>
      <w:r w:rsidRPr="002F08F2">
        <w:rPr>
          <w:rFonts w:ascii="Times New Roman" w:hAnsi="Times New Roman" w:cs="Times New Roman"/>
          <w:color w:val="000000" w:themeColor="text1"/>
          <w:sz w:val="24"/>
          <w:szCs w:val="24"/>
          <w:lang w:eastAsia="ru-RU"/>
        </w:rPr>
        <w:t>ля, 41, г. Вл</w:t>
      </w:r>
      <w:r w:rsidRPr="002F08F2">
        <w:rPr>
          <w:rFonts w:ascii="Times New Roman" w:hAnsi="Times New Roman" w:cs="Times New Roman"/>
          <w:color w:val="000000" w:themeColor="text1"/>
          <w:sz w:val="24"/>
          <w:szCs w:val="24"/>
          <w:lang w:val="en-US" w:eastAsia="ru-RU"/>
        </w:rPr>
        <w:t>a</w:t>
      </w:r>
      <w:r w:rsidRPr="002F08F2">
        <w:rPr>
          <w:rFonts w:ascii="Times New Roman" w:hAnsi="Times New Roman" w:cs="Times New Roman"/>
          <w:color w:val="000000" w:themeColor="text1"/>
          <w:sz w:val="24"/>
          <w:szCs w:val="24"/>
          <w:lang w:eastAsia="ru-RU"/>
        </w:rPr>
        <w:t>див</w:t>
      </w:r>
      <w:r w:rsidRPr="002F08F2">
        <w:rPr>
          <w:rFonts w:ascii="Times New Roman" w:hAnsi="Times New Roman" w:cs="Times New Roman"/>
          <w:color w:val="000000" w:themeColor="text1"/>
          <w:sz w:val="24"/>
          <w:szCs w:val="24"/>
          <w:lang w:val="en-US" w:eastAsia="ru-RU"/>
        </w:rPr>
        <w:t>o</w:t>
      </w:r>
      <w:r w:rsidRPr="002F08F2">
        <w:rPr>
          <w:rFonts w:ascii="Times New Roman" w:hAnsi="Times New Roman" w:cs="Times New Roman"/>
          <w:color w:val="000000" w:themeColor="text1"/>
          <w:sz w:val="24"/>
          <w:szCs w:val="24"/>
          <w:lang w:eastAsia="ru-RU"/>
        </w:rPr>
        <w:t>ст</w:t>
      </w:r>
      <w:r w:rsidRPr="002F08F2">
        <w:rPr>
          <w:rFonts w:ascii="Times New Roman" w:hAnsi="Times New Roman" w:cs="Times New Roman"/>
          <w:color w:val="000000" w:themeColor="text1"/>
          <w:sz w:val="24"/>
          <w:szCs w:val="24"/>
          <w:lang w:val="en-US" w:eastAsia="ru-RU"/>
        </w:rPr>
        <w:t>o</w:t>
      </w:r>
      <w:r w:rsidRPr="002F08F2">
        <w:rPr>
          <w:rFonts w:ascii="Times New Roman" w:hAnsi="Times New Roman" w:cs="Times New Roman"/>
          <w:color w:val="000000" w:themeColor="text1"/>
          <w:sz w:val="24"/>
          <w:szCs w:val="24"/>
          <w:lang w:eastAsia="ru-RU"/>
        </w:rPr>
        <w:t>к, П</w:t>
      </w:r>
      <w:r w:rsidRPr="002F08F2">
        <w:rPr>
          <w:rFonts w:ascii="Times New Roman" w:hAnsi="Times New Roman" w:cs="Times New Roman"/>
          <w:color w:val="000000" w:themeColor="text1"/>
          <w:sz w:val="24"/>
          <w:szCs w:val="24"/>
          <w:lang w:val="en-US" w:eastAsia="ru-RU"/>
        </w:rPr>
        <w:t>p</w:t>
      </w:r>
      <w:r w:rsidRPr="002F08F2">
        <w:rPr>
          <w:rFonts w:ascii="Times New Roman" w:hAnsi="Times New Roman" w:cs="Times New Roman"/>
          <w:color w:val="000000" w:themeColor="text1"/>
          <w:sz w:val="24"/>
          <w:szCs w:val="24"/>
          <w:lang w:eastAsia="ru-RU"/>
        </w:rPr>
        <w:t>им</w:t>
      </w:r>
      <w:r w:rsidRPr="002F08F2">
        <w:rPr>
          <w:rFonts w:ascii="Times New Roman" w:hAnsi="Times New Roman" w:cs="Times New Roman"/>
          <w:color w:val="000000" w:themeColor="text1"/>
          <w:sz w:val="24"/>
          <w:szCs w:val="24"/>
          <w:lang w:val="en-US" w:eastAsia="ru-RU"/>
        </w:rPr>
        <w:t>op</w:t>
      </w:r>
      <w:r w:rsidRPr="002F08F2">
        <w:rPr>
          <w:rFonts w:ascii="Times New Roman" w:hAnsi="Times New Roman" w:cs="Times New Roman"/>
          <w:color w:val="000000" w:themeColor="text1"/>
          <w:sz w:val="24"/>
          <w:szCs w:val="24"/>
          <w:lang w:eastAsia="ru-RU"/>
        </w:rPr>
        <w:t>ский к</w:t>
      </w:r>
      <w:r w:rsidRPr="002F08F2">
        <w:rPr>
          <w:rFonts w:ascii="Times New Roman" w:hAnsi="Times New Roman" w:cs="Times New Roman"/>
          <w:color w:val="000000" w:themeColor="text1"/>
          <w:sz w:val="24"/>
          <w:szCs w:val="24"/>
          <w:lang w:val="en-US" w:eastAsia="ru-RU"/>
        </w:rPr>
        <w:t>pa</w:t>
      </w:r>
      <w:r w:rsidRPr="002F08F2">
        <w:rPr>
          <w:rFonts w:ascii="Times New Roman" w:hAnsi="Times New Roman" w:cs="Times New Roman"/>
          <w:color w:val="000000" w:themeColor="text1"/>
          <w:sz w:val="24"/>
          <w:szCs w:val="24"/>
          <w:lang w:eastAsia="ru-RU"/>
        </w:rPr>
        <w:t>й</w:t>
      </w:r>
      <w:r w:rsidRPr="002F08F2">
        <w:rPr>
          <w:rFonts w:ascii="Times New Roman" w:hAnsi="Times New Roman" w:cs="Times New Roman"/>
          <w:color w:val="000000" w:themeColor="text1"/>
          <w:sz w:val="24"/>
          <w:szCs w:val="24"/>
        </w:rPr>
        <w:t xml:space="preserve">, </w:t>
      </w:r>
      <w:r w:rsidRPr="002F08F2">
        <w:rPr>
          <w:rFonts w:ascii="Times New Roman" w:hAnsi="Times New Roman" w:cs="Times New Roman"/>
          <w:color w:val="000000" w:themeColor="text1"/>
          <w:sz w:val="24"/>
          <w:szCs w:val="24"/>
          <w:lang w:val="en-US"/>
        </w:rPr>
        <w:t>Po</w:t>
      </w:r>
      <w:r w:rsidR="00100B26">
        <w:rPr>
          <w:rFonts w:ascii="Times New Roman" w:hAnsi="Times New Roman" w:cs="Times New Roman"/>
          <w:color w:val="000000" w:themeColor="text1"/>
          <w:sz w:val="24"/>
          <w:szCs w:val="24"/>
        </w:rPr>
        <w:t>ссия, 690014</w:t>
      </w:r>
    </w:p>
    <w:p w14:paraId="1F8AFB83" w14:textId="77777777" w:rsidR="00100B26" w:rsidRDefault="00100B26" w:rsidP="00100B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themeColor="text1"/>
          <w:sz w:val="24"/>
          <w:szCs w:val="24"/>
        </w:rPr>
      </w:pPr>
    </w:p>
    <w:p w14:paraId="07B55938" w14:textId="77777777" w:rsidR="00100B26" w:rsidRPr="00100B26" w:rsidRDefault="00100B26" w:rsidP="00100B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i/>
          <w:iCs/>
          <w:color w:val="000000" w:themeColor="text1"/>
          <w:sz w:val="24"/>
          <w:szCs w:val="24"/>
        </w:rPr>
      </w:pPr>
      <w:r>
        <w:rPr>
          <w:rFonts w:ascii="Times New Roman" w:hAnsi="Times New Roman" w:cs="Times New Roman"/>
          <w:i/>
          <w:color w:val="000000" w:themeColor="text1"/>
          <w:sz w:val="24"/>
          <w:szCs w:val="24"/>
        </w:rPr>
        <w:tab/>
      </w:r>
      <w:r w:rsidRPr="00100B26">
        <w:rPr>
          <w:rFonts w:ascii="Times New Roman" w:hAnsi="Times New Roman" w:cs="Times New Roman"/>
          <w:i/>
          <w:color w:val="000000" w:themeColor="text1"/>
          <w:sz w:val="24"/>
          <w:szCs w:val="24"/>
        </w:rPr>
        <w:t xml:space="preserve">Аннотация: </w:t>
      </w:r>
      <w:r w:rsidRPr="00100B26">
        <w:rPr>
          <w:rFonts w:ascii="Times New Roman" w:hAnsi="Times New Roman" w:cs="Times New Roman"/>
          <w:i/>
          <w:iCs/>
          <w:color w:val="000000" w:themeColor="text1"/>
          <w:sz w:val="24"/>
          <w:szCs w:val="24"/>
        </w:rPr>
        <w:t>В статье рассмотрены вопросы, относящиеся к изучению показателя бюджетной обеспеченности региона– как основного индикатораегосоциально-экономического состояния. Актуальность статьи заключается в практической значимости произведенного анализа расходов и доходов консолидированного бюджета Приморского края за определенный период. Произведен анализ показателей бюджетной обеспеченности региона в целях определения задач для достижения  сбалансированности консолидированного бюджета.</w:t>
      </w:r>
    </w:p>
    <w:p w14:paraId="11AE7C56" w14:textId="77777777" w:rsidR="00100B26" w:rsidRPr="00100B26" w:rsidRDefault="00100B26" w:rsidP="630840A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i/>
          <w:iCs/>
          <w:color w:val="000000" w:themeColor="text1"/>
          <w:sz w:val="24"/>
          <w:szCs w:val="24"/>
        </w:rPr>
      </w:pPr>
      <w:r>
        <w:rPr>
          <w:rFonts w:ascii="Times New Roman" w:hAnsi="Times New Roman" w:cs="Times New Roman"/>
          <w:b/>
          <w:bCs/>
          <w:i/>
          <w:iCs/>
          <w:color w:val="000000" w:themeColor="text1"/>
          <w:sz w:val="24"/>
          <w:szCs w:val="24"/>
        </w:rPr>
        <w:tab/>
      </w:r>
      <w:r w:rsidRPr="630840AF">
        <w:rPr>
          <w:rFonts w:ascii="Times New Roman" w:hAnsi="Times New Roman" w:cs="Times New Roman"/>
          <w:b/>
          <w:bCs/>
          <w:i/>
          <w:iCs/>
          <w:color w:val="000000" w:themeColor="text1"/>
          <w:sz w:val="24"/>
          <w:szCs w:val="24"/>
        </w:rPr>
        <w:t xml:space="preserve">Ключевые слова: </w:t>
      </w:r>
      <w:r w:rsidRPr="630840AF">
        <w:rPr>
          <w:rFonts w:ascii="Times New Roman" w:hAnsi="Times New Roman" w:cs="Times New Roman"/>
          <w:i/>
          <w:iCs/>
          <w:color w:val="000000" w:themeColor="text1"/>
          <w:sz w:val="24"/>
          <w:szCs w:val="24"/>
        </w:rPr>
        <w:t>бюджетная обеспеченность, консолидированный бюджет, дотации.</w:t>
      </w:r>
    </w:p>
    <w:p w14:paraId="68342FE7" w14:textId="77777777" w:rsidR="006A10F6" w:rsidRPr="002F08F2" w:rsidRDefault="006A10F6" w:rsidP="006A10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p>
    <w:p w14:paraId="07ECE486" w14:textId="77777777" w:rsidR="0076600D" w:rsidRPr="002F08F2" w:rsidRDefault="0076600D" w:rsidP="006A10F6">
      <w:pPr>
        <w:spacing w:after="0" w:line="240" w:lineRule="auto"/>
        <w:ind w:firstLine="709"/>
        <w:jc w:val="center"/>
        <w:rPr>
          <w:rFonts w:ascii="Times New Roman" w:hAnsi="Times New Roman" w:cs="Times New Roman"/>
          <w:sz w:val="24"/>
          <w:szCs w:val="24"/>
          <w:lang w:val="en-US"/>
        </w:rPr>
      </w:pPr>
      <w:r w:rsidRPr="002F08F2">
        <w:rPr>
          <w:rFonts w:ascii="Times New Roman" w:hAnsi="Times New Roman" w:cs="Times New Roman"/>
          <w:b/>
          <w:sz w:val="24"/>
          <w:szCs w:val="24"/>
          <w:lang w:val="en-US"/>
        </w:rPr>
        <w:t>INDICATORS OF BUDGETARY PROVISION OF PRIMORSKYTERRITORY AS THE MAIN INDICATOR OF SOCIAL AND ECONOMIC CONDITION OF THE REGION</w:t>
      </w:r>
      <w:r w:rsidRPr="002F08F2">
        <w:rPr>
          <w:rFonts w:ascii="Times New Roman" w:hAnsi="Times New Roman" w:cs="Times New Roman"/>
          <w:b/>
          <w:sz w:val="24"/>
          <w:szCs w:val="24"/>
          <w:lang w:val="en-US"/>
        </w:rPr>
        <w:br/>
      </w:r>
    </w:p>
    <w:p w14:paraId="745E1CD4" w14:textId="77777777" w:rsidR="0076600D" w:rsidRPr="002F08F2" w:rsidRDefault="006A10F6" w:rsidP="0076600D">
      <w:pPr>
        <w:spacing w:after="0" w:line="240" w:lineRule="auto"/>
        <w:ind w:firstLine="709"/>
        <w:jc w:val="center"/>
        <w:rPr>
          <w:rFonts w:ascii="Times New Roman" w:hAnsi="Times New Roman" w:cs="Times New Roman"/>
          <w:b/>
          <w:sz w:val="24"/>
          <w:szCs w:val="24"/>
          <w:lang w:val="en-US"/>
        </w:rPr>
      </w:pPr>
      <w:r w:rsidRPr="002F08F2">
        <w:rPr>
          <w:rFonts w:ascii="Times New Roman" w:hAnsi="Times New Roman" w:cs="Times New Roman"/>
          <w:b/>
          <w:sz w:val="24"/>
          <w:szCs w:val="24"/>
          <w:lang w:val="en-US"/>
        </w:rPr>
        <w:t>Polonskaya</w:t>
      </w:r>
      <w:r w:rsidR="0076600D" w:rsidRPr="002F08F2">
        <w:rPr>
          <w:rFonts w:ascii="Times New Roman" w:hAnsi="Times New Roman" w:cs="Times New Roman"/>
          <w:b/>
          <w:sz w:val="24"/>
          <w:szCs w:val="24"/>
          <w:lang w:val="en-US"/>
        </w:rPr>
        <w:t xml:space="preserve"> </w:t>
      </w:r>
      <w:r w:rsidRPr="002F08F2">
        <w:rPr>
          <w:rFonts w:ascii="Times New Roman" w:hAnsi="Times New Roman" w:cs="Times New Roman"/>
          <w:b/>
          <w:sz w:val="24"/>
          <w:szCs w:val="24"/>
          <w:lang w:val="en-US"/>
        </w:rPr>
        <w:t>Vlada</w:t>
      </w:r>
      <w:r w:rsidRPr="002F08F2">
        <w:rPr>
          <w:rFonts w:ascii="Times New Roman" w:hAnsi="Times New Roman" w:cs="Times New Roman"/>
          <w:sz w:val="24"/>
          <w:szCs w:val="24"/>
          <w:lang w:val="en-US"/>
        </w:rPr>
        <w:br/>
        <w:t>Second year graduate student, group ZMFK-16,</w:t>
      </w:r>
      <w:r w:rsidRPr="002F08F2">
        <w:rPr>
          <w:rFonts w:ascii="Times New Roman" w:hAnsi="Times New Roman" w:cs="Times New Roman"/>
          <w:sz w:val="24"/>
          <w:szCs w:val="24"/>
          <w:lang w:val="en-US"/>
        </w:rPr>
        <w:br/>
        <w:t>Department of Economics</w:t>
      </w:r>
      <w:r w:rsidRPr="002F08F2">
        <w:rPr>
          <w:rFonts w:ascii="Times New Roman" w:hAnsi="Times New Roman" w:cs="Times New Roman"/>
          <w:sz w:val="24"/>
          <w:szCs w:val="24"/>
          <w:lang w:val="en-US"/>
        </w:rPr>
        <w:br/>
      </w:r>
    </w:p>
    <w:p w14:paraId="51620152" w14:textId="77777777" w:rsidR="0076600D" w:rsidRPr="002F08F2" w:rsidRDefault="006A10F6" w:rsidP="006A10F6">
      <w:pPr>
        <w:spacing w:after="0" w:line="240" w:lineRule="auto"/>
        <w:ind w:firstLine="709"/>
        <w:jc w:val="center"/>
        <w:rPr>
          <w:rFonts w:ascii="Times New Roman" w:hAnsi="Times New Roman" w:cs="Times New Roman"/>
          <w:i/>
          <w:sz w:val="24"/>
          <w:szCs w:val="24"/>
          <w:lang w:val="en-US"/>
        </w:rPr>
      </w:pPr>
      <w:r w:rsidRPr="002F08F2">
        <w:rPr>
          <w:rFonts w:ascii="Times New Roman" w:hAnsi="Times New Roman" w:cs="Times New Roman"/>
          <w:i/>
          <w:sz w:val="24"/>
          <w:szCs w:val="24"/>
          <w:lang w:val="en-US"/>
        </w:rPr>
        <w:t>Vladivostok State University</w:t>
      </w:r>
      <w:r w:rsidR="0076600D" w:rsidRPr="002F08F2">
        <w:rPr>
          <w:rFonts w:ascii="Times New Roman" w:hAnsi="Times New Roman" w:cs="Times New Roman"/>
          <w:i/>
          <w:sz w:val="24"/>
          <w:szCs w:val="24"/>
          <w:lang w:val="en-US"/>
        </w:rPr>
        <w:t xml:space="preserve"> </w:t>
      </w:r>
      <w:r w:rsidRPr="002F08F2">
        <w:rPr>
          <w:rFonts w:ascii="Times New Roman" w:hAnsi="Times New Roman" w:cs="Times New Roman"/>
          <w:i/>
          <w:sz w:val="24"/>
          <w:szCs w:val="24"/>
          <w:lang w:val="en-US"/>
        </w:rPr>
        <w:t>Economics and Service</w:t>
      </w:r>
      <w:r w:rsidRPr="002F08F2">
        <w:rPr>
          <w:rFonts w:ascii="Times New Roman" w:hAnsi="Times New Roman" w:cs="Times New Roman"/>
          <w:i/>
          <w:sz w:val="24"/>
          <w:szCs w:val="24"/>
          <w:lang w:val="en-US"/>
        </w:rPr>
        <w:br/>
        <w:t>Pose. Widow</w:t>
      </w:r>
      <w:r w:rsidRPr="002F08F2">
        <w:rPr>
          <w:rFonts w:ascii="Times New Roman" w:hAnsi="Times New Roman" w:cs="Times New Roman"/>
          <w:i/>
          <w:sz w:val="24"/>
          <w:szCs w:val="24"/>
          <w:lang w:val="en-US"/>
        </w:rPr>
        <w:br/>
      </w:r>
    </w:p>
    <w:p w14:paraId="5CD75E6A" w14:textId="77777777" w:rsidR="006A10F6" w:rsidRPr="00100B26" w:rsidRDefault="006A10F6" w:rsidP="00100B26">
      <w:pPr>
        <w:spacing w:after="0" w:line="240" w:lineRule="auto"/>
        <w:ind w:firstLine="709"/>
        <w:jc w:val="center"/>
        <w:rPr>
          <w:rFonts w:ascii="Times New Roman" w:hAnsi="Times New Roman" w:cs="Times New Roman"/>
          <w:sz w:val="24"/>
          <w:szCs w:val="24"/>
          <w:lang w:val="en-US"/>
        </w:rPr>
      </w:pPr>
      <w:r w:rsidRPr="002F08F2">
        <w:rPr>
          <w:rFonts w:ascii="Times New Roman" w:hAnsi="Times New Roman" w:cs="Times New Roman"/>
          <w:sz w:val="24"/>
          <w:szCs w:val="24"/>
          <w:lang w:val="en-US"/>
        </w:rPr>
        <w:t>E-mail: vlada-prim@mail.ru, +79025247982</w:t>
      </w:r>
      <w:r w:rsidRPr="002F08F2">
        <w:rPr>
          <w:rFonts w:ascii="Times New Roman" w:hAnsi="Times New Roman" w:cs="Times New Roman"/>
          <w:sz w:val="24"/>
          <w:szCs w:val="24"/>
          <w:lang w:val="en-US"/>
        </w:rPr>
        <w:br/>
        <w:t>41, Gogolya St., Vladivostok.Primorsky territory, Russia, 690014</w:t>
      </w:r>
    </w:p>
    <w:p w14:paraId="2FFAF230" w14:textId="77777777" w:rsidR="002F08F2" w:rsidRPr="00100B26" w:rsidRDefault="006A10F6" w:rsidP="00100B26">
      <w:pPr>
        <w:spacing w:after="0" w:line="240" w:lineRule="auto"/>
        <w:ind w:firstLine="709"/>
        <w:jc w:val="both"/>
        <w:rPr>
          <w:rFonts w:ascii="Times New Roman" w:hAnsi="Times New Roman" w:cs="Times New Roman"/>
          <w:i/>
          <w:sz w:val="24"/>
          <w:szCs w:val="24"/>
          <w:lang w:val="en-US"/>
        </w:rPr>
      </w:pPr>
      <w:r w:rsidRPr="002F08F2">
        <w:rPr>
          <w:rFonts w:ascii="Times New Roman" w:hAnsi="Times New Roman" w:cs="Times New Roman"/>
          <w:i/>
          <w:sz w:val="24"/>
          <w:szCs w:val="24"/>
          <w:lang w:val="en-US"/>
        </w:rPr>
        <w:lastRenderedPageBreak/>
        <w:t>Abstract:</w:t>
      </w:r>
      <w:r w:rsidR="0076600D" w:rsidRPr="002F08F2">
        <w:rPr>
          <w:rFonts w:ascii="Times New Roman" w:hAnsi="Times New Roman" w:cs="Times New Roman"/>
          <w:b/>
          <w:i/>
          <w:sz w:val="24"/>
          <w:szCs w:val="24"/>
          <w:lang w:val="en-US"/>
        </w:rPr>
        <w:t xml:space="preserve"> </w:t>
      </w:r>
      <w:r w:rsidRPr="002F08F2">
        <w:rPr>
          <w:rFonts w:ascii="Times New Roman" w:hAnsi="Times New Roman" w:cs="Times New Roman"/>
          <w:i/>
          <w:sz w:val="24"/>
          <w:szCs w:val="24"/>
          <w:lang w:val="en-US"/>
        </w:rPr>
        <w:t>The article deals with issues related to the study of the indicator of the budgetary security of the region - as the main indicator of its socioeconomic status. The relevance of the article is the practical significance of the analysis of expenditures and revenues of the consolidated budget of Primorsky territory for a certain period. The analysis of indicators of budgetary security of the region is carried out with a view of definition of problems for achievement of bala</w:t>
      </w:r>
      <w:r w:rsidR="00100B26">
        <w:rPr>
          <w:rFonts w:ascii="Times New Roman" w:hAnsi="Times New Roman" w:cs="Times New Roman"/>
          <w:i/>
          <w:sz w:val="24"/>
          <w:szCs w:val="24"/>
          <w:lang w:val="en-US"/>
        </w:rPr>
        <w:t>nce of the consolidated budget.</w:t>
      </w:r>
    </w:p>
    <w:p w14:paraId="081E1F7E" w14:textId="77777777" w:rsidR="006A10F6" w:rsidRPr="002F08F2" w:rsidRDefault="006A10F6" w:rsidP="006A10F6">
      <w:pPr>
        <w:spacing w:after="0" w:line="240" w:lineRule="auto"/>
        <w:ind w:firstLine="709"/>
        <w:jc w:val="both"/>
        <w:rPr>
          <w:rFonts w:ascii="Times New Roman" w:hAnsi="Times New Roman" w:cs="Times New Roman"/>
          <w:i/>
          <w:sz w:val="24"/>
          <w:szCs w:val="24"/>
          <w:lang w:val="en-US"/>
        </w:rPr>
      </w:pPr>
      <w:r w:rsidRPr="002F08F2">
        <w:rPr>
          <w:rFonts w:ascii="Times New Roman" w:hAnsi="Times New Roman" w:cs="Times New Roman"/>
          <w:b/>
          <w:i/>
          <w:sz w:val="24"/>
          <w:szCs w:val="24"/>
          <w:lang w:val="en-US"/>
        </w:rPr>
        <w:t>Keywords:</w:t>
      </w:r>
      <w:r w:rsidR="0076600D" w:rsidRPr="002F08F2">
        <w:rPr>
          <w:rFonts w:ascii="Times New Roman" w:hAnsi="Times New Roman" w:cs="Times New Roman"/>
          <w:b/>
          <w:i/>
          <w:sz w:val="24"/>
          <w:szCs w:val="24"/>
          <w:lang w:val="en-US"/>
        </w:rPr>
        <w:t xml:space="preserve"> </w:t>
      </w:r>
      <w:r w:rsidRPr="002F08F2">
        <w:rPr>
          <w:rFonts w:ascii="Times New Roman" w:hAnsi="Times New Roman" w:cs="Times New Roman"/>
          <w:i/>
          <w:sz w:val="24"/>
          <w:szCs w:val="24"/>
          <w:lang w:val="en-US"/>
        </w:rPr>
        <w:t>budgetary security, consolidated budget, subsidies for the equalization of budgetary security.</w:t>
      </w:r>
    </w:p>
    <w:p w14:paraId="40776332" w14:textId="77777777" w:rsidR="006A10F6" w:rsidRPr="002F08F2" w:rsidRDefault="006A10F6" w:rsidP="006A10F6">
      <w:pPr>
        <w:widowControl w:val="0"/>
        <w:spacing w:after="0" w:line="240" w:lineRule="auto"/>
        <w:rPr>
          <w:rFonts w:ascii="Times New Roman" w:hAnsi="Times New Roman" w:cs="Times New Roman"/>
          <w:sz w:val="24"/>
          <w:szCs w:val="24"/>
          <w:lang w:val="en-US"/>
        </w:rPr>
      </w:pPr>
    </w:p>
    <w:p w14:paraId="6324DC20"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
          <w:color w:val="000000" w:themeColor="text1"/>
          <w:sz w:val="24"/>
          <w:szCs w:val="24"/>
        </w:rPr>
        <w:t xml:space="preserve">Введение. </w:t>
      </w:r>
      <w:r w:rsidRPr="002F08F2">
        <w:rPr>
          <w:rFonts w:ascii="Times New Roman" w:hAnsi="Times New Roman" w:cs="Times New Roman"/>
          <w:color w:val="000000" w:themeColor="text1"/>
          <w:sz w:val="24"/>
          <w:szCs w:val="24"/>
          <w:lang w:eastAsia="ru-RU"/>
        </w:rPr>
        <w:t>В свете целей и задач современной государственной бюджетной политики, направленной на достижение сбалансированности и расширение потенциала национальной экономики, важную роль имеют показатели, способствующие объективной оценке социально-экономического состояния регионов и составляющих их субъектов и муниципальных образований Российской Федерации.Таким показателем, представляющим актуальность для исследования, является бюджетная обеспеченность региона.Показатель бюджетной обеспеченности может выступать основой для исследования социально-экономического положения региона, выявления слабых мест в использовании различного вида ресурсов, прежде всего бюджетных, формирования методов в целях улучшения общего уровня социально-экономического развития региона. На примере показателя бюджетной обеспеченности Приморского края произведен анализ с целью выявления эффективности использования средств консолидированных бюджетов региона.</w:t>
      </w:r>
    </w:p>
    <w:p w14:paraId="25DE1183"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
          <w:color w:val="000000" w:themeColor="text1"/>
          <w:sz w:val="24"/>
          <w:szCs w:val="24"/>
        </w:rPr>
        <w:t>Основная часть</w:t>
      </w:r>
      <w:r w:rsidRPr="002F08F2">
        <w:rPr>
          <w:rFonts w:ascii="Times New Roman" w:hAnsi="Times New Roman" w:cs="Times New Roman"/>
          <w:color w:val="000000" w:themeColor="text1"/>
          <w:sz w:val="24"/>
          <w:szCs w:val="24"/>
        </w:rPr>
        <w:t xml:space="preserve">. В целях исследования бюджетной обеспеченности Приморского края необходимо провести предварительный анализ эффективности исполнения консолидированного бюджета региона. </w:t>
      </w:r>
    </w:p>
    <w:p w14:paraId="1112EE61"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Данный анализ проведен на основании отчетных данных об исполнении консолидированного бюджета Приморского края, опубликованных на сайте департамента финансов Приморского края.В целях исследования использованы отчеты за каждый год исследуемого периода на 1 января года, следующего за отчетным [1].</w:t>
      </w:r>
    </w:p>
    <w:p w14:paraId="2D1FE6E3"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Для наглядности динамика исполнения консолидированного бюджета Приморского края приведена в диаграмме на рис. 1.</w:t>
      </w:r>
    </w:p>
    <w:p w14:paraId="107E9FD5"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p>
    <w:p w14:paraId="564A82CB" w14:textId="77777777" w:rsidR="006A10F6" w:rsidRPr="002F08F2" w:rsidRDefault="006A10F6" w:rsidP="006A10F6">
      <w:pPr>
        <w:spacing w:after="0" w:line="240" w:lineRule="auto"/>
        <w:ind w:firstLine="709"/>
        <w:jc w:val="center"/>
        <w:rPr>
          <w:rFonts w:ascii="Times New Roman" w:hAnsi="Times New Roman" w:cs="Times New Roman"/>
          <w:color w:val="000000" w:themeColor="text1"/>
          <w:sz w:val="24"/>
          <w:szCs w:val="24"/>
        </w:rPr>
      </w:pPr>
      <w:r w:rsidRPr="002F08F2">
        <w:rPr>
          <w:rFonts w:ascii="Times New Roman" w:hAnsi="Times New Roman" w:cs="Times New Roman"/>
          <w:noProof/>
          <w:color w:val="000000" w:themeColor="text1"/>
          <w:sz w:val="24"/>
          <w:szCs w:val="24"/>
          <w:lang w:eastAsia="ru-RU"/>
        </w:rPr>
        <w:drawing>
          <wp:inline distT="0" distB="0" distL="0" distR="0" wp14:anchorId="477E967E" wp14:editId="07777777">
            <wp:extent cx="5486400" cy="3200400"/>
            <wp:effectExtent l="0" t="0" r="0" b="0"/>
            <wp:docPr id="74" name="Диаграмма 7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p>
    <w:p w14:paraId="3CE28D4A" w14:textId="77777777" w:rsidR="006A10F6" w:rsidRPr="002F08F2" w:rsidRDefault="006A10F6" w:rsidP="006A10F6">
      <w:pPr>
        <w:spacing w:after="0" w:line="240" w:lineRule="auto"/>
        <w:ind w:firstLine="709"/>
        <w:jc w:val="center"/>
        <w:rPr>
          <w:rFonts w:ascii="Times New Roman" w:hAnsi="Times New Roman" w:cs="Times New Roman"/>
          <w:color w:val="000000" w:themeColor="text1"/>
          <w:sz w:val="24"/>
          <w:szCs w:val="24"/>
        </w:rPr>
      </w:pPr>
    </w:p>
    <w:p w14:paraId="55DE2D6A" w14:textId="77777777" w:rsidR="006A10F6" w:rsidRPr="002F08F2" w:rsidRDefault="006A10F6" w:rsidP="006A10F6">
      <w:pPr>
        <w:spacing w:after="0" w:line="240" w:lineRule="auto"/>
        <w:ind w:firstLine="709"/>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Рисунок 1 –Динамика исполнения консолидированного бюджета Приморского края за последние 7 лет</w:t>
      </w:r>
    </w:p>
    <w:p w14:paraId="03E60B2D"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p>
    <w:p w14:paraId="26E5F465"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Анализ динамики исполнения консолидированного бюджета Приморского края позволяет сделать выводы о преобладании показателя расхода над его доходами, следствием чего является возникновение дефицита бюджета края. </w:t>
      </w:r>
    </w:p>
    <w:p w14:paraId="1355F5B1"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Отметим, что за последние годы соотношение бюджетных доходов и расходов характеризуется негативными тенденциями, в частности появлением дефицита, обусловленного преобладанием расходной части бюджета Приморского края над доходной.</w:t>
      </w:r>
    </w:p>
    <w:p w14:paraId="31A7390E" w14:textId="77777777" w:rsidR="002F08F2" w:rsidRDefault="006A10F6" w:rsidP="00100B2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Произведем анализ показателей дефицита бюджета за исследуемый период. Показатели откл</w:t>
      </w:r>
      <w:r w:rsidR="00100B26">
        <w:rPr>
          <w:rFonts w:ascii="Times New Roman" w:hAnsi="Times New Roman" w:cs="Times New Roman"/>
          <w:color w:val="000000" w:themeColor="text1"/>
          <w:sz w:val="24"/>
          <w:szCs w:val="24"/>
        </w:rPr>
        <w:t>онений представлены в таблице 1.</w:t>
      </w:r>
    </w:p>
    <w:p w14:paraId="605CC5FB" w14:textId="77777777" w:rsidR="006A10F6" w:rsidRPr="002F08F2" w:rsidRDefault="006A10F6" w:rsidP="00100B26">
      <w:pPr>
        <w:pStyle w:val="afa"/>
        <w:rPr>
          <w:rFonts w:cs="Times New Roman"/>
          <w:sz w:val="24"/>
          <w:szCs w:val="24"/>
        </w:rPr>
      </w:pPr>
      <w:r w:rsidRPr="002F08F2">
        <w:rPr>
          <w:rFonts w:cs="Times New Roman"/>
          <w:sz w:val="24"/>
          <w:szCs w:val="24"/>
        </w:rPr>
        <w:t>Таблица 1</w:t>
      </w:r>
    </w:p>
    <w:p w14:paraId="4C11CCA0" w14:textId="77777777" w:rsidR="006A10F6" w:rsidRPr="002F08F2" w:rsidRDefault="006A10F6" w:rsidP="006A10F6">
      <w:pPr>
        <w:spacing w:after="0" w:line="240" w:lineRule="auto"/>
        <w:jc w:val="center"/>
        <w:rPr>
          <w:rFonts w:ascii="Times New Roman" w:hAnsi="Times New Roman" w:cs="Times New Roman"/>
          <w:b/>
          <w:color w:val="000000" w:themeColor="text1"/>
          <w:sz w:val="24"/>
          <w:szCs w:val="24"/>
        </w:rPr>
      </w:pPr>
      <w:r w:rsidRPr="002F08F2">
        <w:rPr>
          <w:rFonts w:ascii="Times New Roman" w:hAnsi="Times New Roman" w:cs="Times New Roman"/>
          <w:b/>
          <w:color w:val="000000" w:themeColor="text1"/>
          <w:sz w:val="24"/>
          <w:szCs w:val="24"/>
        </w:rPr>
        <w:t xml:space="preserve">Анализ показателей дефицита консолидированного бюджета Приморского края </w:t>
      </w:r>
    </w:p>
    <w:p w14:paraId="3C9FEBFF" w14:textId="77777777" w:rsidR="006A10F6" w:rsidRPr="002F08F2" w:rsidRDefault="006A10F6" w:rsidP="006A10F6">
      <w:pPr>
        <w:spacing w:after="0" w:line="240" w:lineRule="auto"/>
        <w:jc w:val="center"/>
        <w:rPr>
          <w:rFonts w:ascii="Times New Roman" w:hAnsi="Times New Roman" w:cs="Times New Roman"/>
          <w:b/>
          <w:color w:val="000000" w:themeColor="text1"/>
          <w:sz w:val="24"/>
          <w:szCs w:val="24"/>
        </w:rPr>
      </w:pPr>
      <w:r w:rsidRPr="002F08F2">
        <w:rPr>
          <w:rFonts w:ascii="Times New Roman" w:hAnsi="Times New Roman" w:cs="Times New Roman"/>
          <w:b/>
          <w:color w:val="000000" w:themeColor="text1"/>
          <w:sz w:val="24"/>
          <w:szCs w:val="24"/>
        </w:rPr>
        <w:t>за 2011 – 2017 годы</w:t>
      </w:r>
    </w:p>
    <w:tbl>
      <w:tblPr>
        <w:tblStyle w:val="a3"/>
        <w:tblW w:w="9464" w:type="dxa"/>
        <w:tblLayout w:type="fixed"/>
        <w:tblLook w:val="04A0" w:firstRow="1" w:lastRow="0" w:firstColumn="1" w:lastColumn="0" w:noHBand="0" w:noVBand="1"/>
      </w:tblPr>
      <w:tblGrid>
        <w:gridCol w:w="817"/>
        <w:gridCol w:w="3260"/>
        <w:gridCol w:w="3402"/>
        <w:gridCol w:w="992"/>
        <w:gridCol w:w="993"/>
      </w:tblGrid>
      <w:tr w:rsidR="006A10F6" w:rsidRPr="002F08F2" w14:paraId="00116CB3" w14:textId="77777777" w:rsidTr="006A10F6">
        <w:tc>
          <w:tcPr>
            <w:tcW w:w="817" w:type="dxa"/>
            <w:vMerge w:val="restart"/>
            <w:vAlign w:val="center"/>
          </w:tcPr>
          <w:p w14:paraId="468B59F7"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Годы</w:t>
            </w:r>
          </w:p>
        </w:tc>
        <w:tc>
          <w:tcPr>
            <w:tcW w:w="6662" w:type="dxa"/>
            <w:gridSpan w:val="2"/>
          </w:tcPr>
          <w:p w14:paraId="6C72A4C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Показатели(в млрд. руб.)</w:t>
            </w:r>
          </w:p>
        </w:tc>
        <w:tc>
          <w:tcPr>
            <w:tcW w:w="1985" w:type="dxa"/>
            <w:gridSpan w:val="2"/>
          </w:tcPr>
          <w:p w14:paraId="24EE7412"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Отклонение</w:t>
            </w:r>
          </w:p>
        </w:tc>
      </w:tr>
      <w:tr w:rsidR="006A10F6" w:rsidRPr="002F08F2" w14:paraId="6BBF24E6" w14:textId="77777777" w:rsidTr="006A10F6">
        <w:tc>
          <w:tcPr>
            <w:tcW w:w="817" w:type="dxa"/>
            <w:vMerge/>
          </w:tcPr>
          <w:p w14:paraId="41A1092D" w14:textId="77777777" w:rsidR="006A10F6" w:rsidRPr="002F08F2" w:rsidRDefault="006A10F6" w:rsidP="006A10F6">
            <w:pPr>
              <w:jc w:val="center"/>
              <w:rPr>
                <w:rFonts w:ascii="Times New Roman" w:hAnsi="Times New Roman" w:cs="Times New Roman"/>
                <w:color w:val="000000" w:themeColor="text1"/>
                <w:sz w:val="24"/>
                <w:szCs w:val="24"/>
              </w:rPr>
            </w:pPr>
          </w:p>
        </w:tc>
        <w:tc>
          <w:tcPr>
            <w:tcW w:w="3260" w:type="dxa"/>
          </w:tcPr>
          <w:p w14:paraId="112B81B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Доходы консолидированного бюджета Приморского края</w:t>
            </w:r>
          </w:p>
        </w:tc>
        <w:tc>
          <w:tcPr>
            <w:tcW w:w="3402" w:type="dxa"/>
          </w:tcPr>
          <w:p w14:paraId="4C28FC6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Расходы консолидированного бюджета Приморского края</w:t>
            </w:r>
          </w:p>
        </w:tc>
        <w:tc>
          <w:tcPr>
            <w:tcW w:w="992" w:type="dxa"/>
          </w:tcPr>
          <w:p w14:paraId="74BBE720"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абс.</w:t>
            </w:r>
          </w:p>
        </w:tc>
        <w:tc>
          <w:tcPr>
            <w:tcW w:w="993" w:type="dxa"/>
          </w:tcPr>
          <w:p w14:paraId="6462C09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w:t>
            </w:r>
          </w:p>
          <w:p w14:paraId="03CC5A65" w14:textId="77777777" w:rsidR="006A10F6" w:rsidRPr="002F08F2" w:rsidRDefault="006A10F6" w:rsidP="006A10F6">
            <w:pPr>
              <w:jc w:val="center"/>
              <w:rPr>
                <w:rFonts w:ascii="Times New Roman" w:hAnsi="Times New Roman" w:cs="Times New Roman"/>
                <w:color w:val="000000" w:themeColor="text1"/>
                <w:sz w:val="24"/>
                <w:szCs w:val="24"/>
              </w:rPr>
            </w:pPr>
          </w:p>
        </w:tc>
      </w:tr>
      <w:tr w:rsidR="006A10F6" w:rsidRPr="002F08F2" w14:paraId="226C25EF" w14:textId="77777777" w:rsidTr="006A10F6">
        <w:tc>
          <w:tcPr>
            <w:tcW w:w="817" w:type="dxa"/>
          </w:tcPr>
          <w:p w14:paraId="6EA8084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w:t>
            </w:r>
          </w:p>
        </w:tc>
        <w:tc>
          <w:tcPr>
            <w:tcW w:w="3260" w:type="dxa"/>
          </w:tcPr>
          <w:p w14:paraId="2CC21B90"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w:t>
            </w:r>
          </w:p>
        </w:tc>
        <w:tc>
          <w:tcPr>
            <w:tcW w:w="3402" w:type="dxa"/>
          </w:tcPr>
          <w:p w14:paraId="1B4AAD7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3</w:t>
            </w:r>
          </w:p>
        </w:tc>
        <w:tc>
          <w:tcPr>
            <w:tcW w:w="992" w:type="dxa"/>
          </w:tcPr>
          <w:p w14:paraId="3BC2995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4</w:t>
            </w:r>
          </w:p>
        </w:tc>
        <w:tc>
          <w:tcPr>
            <w:tcW w:w="993" w:type="dxa"/>
          </w:tcPr>
          <w:p w14:paraId="729DE7E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5</w:t>
            </w:r>
          </w:p>
        </w:tc>
      </w:tr>
      <w:tr w:rsidR="006A10F6" w:rsidRPr="002F08F2" w14:paraId="040EA334" w14:textId="77777777" w:rsidTr="006A10F6">
        <w:tc>
          <w:tcPr>
            <w:tcW w:w="817" w:type="dxa"/>
          </w:tcPr>
          <w:p w14:paraId="3132566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2011</w:t>
            </w:r>
          </w:p>
        </w:tc>
        <w:tc>
          <w:tcPr>
            <w:tcW w:w="3260" w:type="dxa"/>
          </w:tcPr>
          <w:p w14:paraId="37FF0ECB"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98,30</w:t>
            </w:r>
          </w:p>
        </w:tc>
        <w:tc>
          <w:tcPr>
            <w:tcW w:w="3402" w:type="dxa"/>
          </w:tcPr>
          <w:p w14:paraId="0D08604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122,22</w:t>
            </w:r>
          </w:p>
        </w:tc>
        <w:tc>
          <w:tcPr>
            <w:tcW w:w="992" w:type="dxa"/>
          </w:tcPr>
          <w:p w14:paraId="610A0CC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-23,91</w:t>
            </w:r>
          </w:p>
        </w:tc>
        <w:tc>
          <w:tcPr>
            <w:tcW w:w="993" w:type="dxa"/>
          </w:tcPr>
          <w:p w14:paraId="2DD99C7C"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80,42</w:t>
            </w:r>
          </w:p>
        </w:tc>
      </w:tr>
      <w:tr w:rsidR="006A10F6" w:rsidRPr="002F08F2" w14:paraId="31EA50BE" w14:textId="77777777" w:rsidTr="006A10F6">
        <w:tc>
          <w:tcPr>
            <w:tcW w:w="817" w:type="dxa"/>
          </w:tcPr>
          <w:p w14:paraId="00AB973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2012</w:t>
            </w:r>
          </w:p>
        </w:tc>
        <w:tc>
          <w:tcPr>
            <w:tcW w:w="3260" w:type="dxa"/>
          </w:tcPr>
          <w:p w14:paraId="2F42885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100,8</w:t>
            </w:r>
          </w:p>
        </w:tc>
        <w:tc>
          <w:tcPr>
            <w:tcW w:w="3402" w:type="dxa"/>
          </w:tcPr>
          <w:p w14:paraId="09C0658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122,97</w:t>
            </w:r>
          </w:p>
        </w:tc>
        <w:tc>
          <w:tcPr>
            <w:tcW w:w="992" w:type="dxa"/>
          </w:tcPr>
          <w:p w14:paraId="62B9CCC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-22,59</w:t>
            </w:r>
          </w:p>
        </w:tc>
        <w:tc>
          <w:tcPr>
            <w:tcW w:w="993" w:type="dxa"/>
          </w:tcPr>
          <w:p w14:paraId="14CD1F6C"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81,9</w:t>
            </w:r>
          </w:p>
        </w:tc>
      </w:tr>
      <w:tr w:rsidR="006A10F6" w:rsidRPr="002F08F2" w14:paraId="0FC473F6" w14:textId="77777777" w:rsidTr="006A10F6">
        <w:tc>
          <w:tcPr>
            <w:tcW w:w="817" w:type="dxa"/>
          </w:tcPr>
          <w:p w14:paraId="63C1023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2013</w:t>
            </w:r>
          </w:p>
        </w:tc>
        <w:tc>
          <w:tcPr>
            <w:tcW w:w="3260" w:type="dxa"/>
          </w:tcPr>
          <w:p w14:paraId="20E833F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113,38</w:t>
            </w:r>
          </w:p>
        </w:tc>
        <w:tc>
          <w:tcPr>
            <w:tcW w:w="3402" w:type="dxa"/>
          </w:tcPr>
          <w:p w14:paraId="381A37CC"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134,02</w:t>
            </w:r>
          </w:p>
        </w:tc>
        <w:tc>
          <w:tcPr>
            <w:tcW w:w="992" w:type="dxa"/>
          </w:tcPr>
          <w:p w14:paraId="3E27D92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-20,64</w:t>
            </w:r>
          </w:p>
        </w:tc>
        <w:tc>
          <w:tcPr>
            <w:tcW w:w="993" w:type="dxa"/>
          </w:tcPr>
          <w:p w14:paraId="2C6C26E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84,5</w:t>
            </w:r>
          </w:p>
        </w:tc>
      </w:tr>
      <w:tr w:rsidR="006A10F6" w:rsidRPr="002F08F2" w14:paraId="7CBBB500" w14:textId="77777777" w:rsidTr="006A10F6">
        <w:tc>
          <w:tcPr>
            <w:tcW w:w="817" w:type="dxa"/>
          </w:tcPr>
          <w:p w14:paraId="237DA26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2014</w:t>
            </w:r>
          </w:p>
        </w:tc>
        <w:tc>
          <w:tcPr>
            <w:tcW w:w="3260" w:type="dxa"/>
          </w:tcPr>
          <w:p w14:paraId="3953FDE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120,27</w:t>
            </w:r>
          </w:p>
        </w:tc>
        <w:tc>
          <w:tcPr>
            <w:tcW w:w="3402" w:type="dxa"/>
          </w:tcPr>
          <w:p w14:paraId="1542730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135,06</w:t>
            </w:r>
          </w:p>
        </w:tc>
        <w:tc>
          <w:tcPr>
            <w:tcW w:w="992" w:type="dxa"/>
          </w:tcPr>
          <w:p w14:paraId="407DCBC1"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-14,79</w:t>
            </w:r>
          </w:p>
        </w:tc>
        <w:tc>
          <w:tcPr>
            <w:tcW w:w="993" w:type="dxa"/>
          </w:tcPr>
          <w:p w14:paraId="4EF93A77"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89</w:t>
            </w:r>
          </w:p>
        </w:tc>
      </w:tr>
      <w:tr w:rsidR="006A10F6" w:rsidRPr="002F08F2" w14:paraId="4EC81DD0" w14:textId="77777777" w:rsidTr="006A10F6">
        <w:tc>
          <w:tcPr>
            <w:tcW w:w="817" w:type="dxa"/>
          </w:tcPr>
          <w:p w14:paraId="39606056"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2015</w:t>
            </w:r>
          </w:p>
        </w:tc>
        <w:tc>
          <w:tcPr>
            <w:tcW w:w="3260" w:type="dxa"/>
          </w:tcPr>
          <w:p w14:paraId="68DA6D80"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126,9</w:t>
            </w:r>
          </w:p>
        </w:tc>
        <w:tc>
          <w:tcPr>
            <w:tcW w:w="3402" w:type="dxa"/>
          </w:tcPr>
          <w:p w14:paraId="6AC7EF5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139,44</w:t>
            </w:r>
          </w:p>
        </w:tc>
        <w:tc>
          <w:tcPr>
            <w:tcW w:w="992" w:type="dxa"/>
          </w:tcPr>
          <w:p w14:paraId="7063D42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-12,54</w:t>
            </w:r>
          </w:p>
        </w:tc>
        <w:tc>
          <w:tcPr>
            <w:tcW w:w="993" w:type="dxa"/>
          </w:tcPr>
          <w:p w14:paraId="7E57E621"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91</w:t>
            </w:r>
          </w:p>
        </w:tc>
      </w:tr>
      <w:tr w:rsidR="006A10F6" w:rsidRPr="002F08F2" w14:paraId="0C8F33F1" w14:textId="77777777" w:rsidTr="006A10F6">
        <w:tc>
          <w:tcPr>
            <w:tcW w:w="817" w:type="dxa"/>
          </w:tcPr>
          <w:p w14:paraId="1B02224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2016</w:t>
            </w:r>
          </w:p>
        </w:tc>
        <w:tc>
          <w:tcPr>
            <w:tcW w:w="3260" w:type="dxa"/>
          </w:tcPr>
          <w:p w14:paraId="184828A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133,28</w:t>
            </w:r>
          </w:p>
        </w:tc>
        <w:tc>
          <w:tcPr>
            <w:tcW w:w="3402" w:type="dxa"/>
          </w:tcPr>
          <w:p w14:paraId="765FED12"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138,46</w:t>
            </w:r>
          </w:p>
        </w:tc>
        <w:tc>
          <w:tcPr>
            <w:tcW w:w="992" w:type="dxa"/>
          </w:tcPr>
          <w:p w14:paraId="723F5F76"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-5,18</w:t>
            </w:r>
          </w:p>
        </w:tc>
        <w:tc>
          <w:tcPr>
            <w:tcW w:w="993" w:type="dxa"/>
          </w:tcPr>
          <w:p w14:paraId="193A2F5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96,25</w:t>
            </w:r>
          </w:p>
        </w:tc>
      </w:tr>
      <w:tr w:rsidR="006A10F6" w:rsidRPr="002F08F2" w14:paraId="08BE827C" w14:textId="77777777" w:rsidTr="006A10F6">
        <w:tc>
          <w:tcPr>
            <w:tcW w:w="817" w:type="dxa"/>
          </w:tcPr>
          <w:p w14:paraId="5428B5E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2017</w:t>
            </w:r>
          </w:p>
        </w:tc>
        <w:tc>
          <w:tcPr>
            <w:tcW w:w="3260" w:type="dxa"/>
          </w:tcPr>
          <w:p w14:paraId="76DF5EE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143,74</w:t>
            </w:r>
          </w:p>
        </w:tc>
        <w:tc>
          <w:tcPr>
            <w:tcW w:w="3402" w:type="dxa"/>
          </w:tcPr>
          <w:p w14:paraId="0BACB3C7"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148,47</w:t>
            </w:r>
          </w:p>
        </w:tc>
        <w:tc>
          <w:tcPr>
            <w:tcW w:w="992" w:type="dxa"/>
          </w:tcPr>
          <w:p w14:paraId="5599422F"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-4,73</w:t>
            </w:r>
          </w:p>
        </w:tc>
        <w:tc>
          <w:tcPr>
            <w:tcW w:w="993" w:type="dxa"/>
          </w:tcPr>
          <w:p w14:paraId="70FAEF9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96,8</w:t>
            </w:r>
          </w:p>
        </w:tc>
      </w:tr>
    </w:tbl>
    <w:p w14:paraId="3330CECE"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Как видим, втаблице 1 приведены показатели дефицита бюджета (столбец 4), а также доля доходов консолидированного бюджета Приморского края по отношению к расходам (столбец 5) по каждому году исследуемого периода.</w:t>
      </w:r>
    </w:p>
    <w:p w14:paraId="0C9922DA"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На основании проведенного анализа можно сделать выводы о том, что показатели дефицита бюджета за период 2011-2017 гг. имеют тенденцию к уменьшению. Наиболее высокий показатель отмечается в 2011 году – 23,91 млрд. рублей. К 2017 году произошло снижение дефицита на 19,18 млрд. руб. [1].</w:t>
      </w:r>
    </w:p>
    <w:p w14:paraId="70952E83"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Данный факт объясняется повышением динамики доходов консолидированного бюджета края над динамикой его расходов (данные расчетов приведены в таблице 2).</w:t>
      </w:r>
    </w:p>
    <w:p w14:paraId="300C20E7" w14:textId="77777777" w:rsidR="006A10F6" w:rsidRPr="002F08F2" w:rsidRDefault="006A10F6" w:rsidP="00B92001">
      <w:pPr>
        <w:pStyle w:val="afa"/>
        <w:rPr>
          <w:rFonts w:cs="Times New Roman"/>
          <w:sz w:val="24"/>
          <w:szCs w:val="24"/>
        </w:rPr>
      </w:pPr>
      <w:r w:rsidRPr="002F08F2">
        <w:rPr>
          <w:rFonts w:cs="Times New Roman"/>
          <w:sz w:val="24"/>
          <w:szCs w:val="24"/>
        </w:rPr>
        <w:t>Таблица 2</w:t>
      </w:r>
    </w:p>
    <w:p w14:paraId="0414AA41" w14:textId="77777777" w:rsidR="006A10F6" w:rsidRPr="002F08F2" w:rsidRDefault="006A10F6" w:rsidP="006A10F6">
      <w:pPr>
        <w:spacing w:after="0" w:line="240" w:lineRule="auto"/>
        <w:jc w:val="center"/>
        <w:rPr>
          <w:rFonts w:ascii="Times New Roman" w:hAnsi="Times New Roman" w:cs="Times New Roman"/>
          <w:b/>
          <w:color w:val="000000" w:themeColor="text1"/>
          <w:sz w:val="24"/>
          <w:szCs w:val="24"/>
        </w:rPr>
      </w:pPr>
      <w:r w:rsidRPr="002F08F2">
        <w:rPr>
          <w:rFonts w:ascii="Times New Roman" w:hAnsi="Times New Roman" w:cs="Times New Roman"/>
          <w:b/>
          <w:color w:val="000000" w:themeColor="text1"/>
          <w:sz w:val="24"/>
          <w:szCs w:val="24"/>
        </w:rPr>
        <w:t>Динамика изменения доходов и расходов консолидированного бюджета Приморского края за период 2011-2017 годов</w:t>
      </w:r>
    </w:p>
    <w:tbl>
      <w:tblPr>
        <w:tblStyle w:val="a3"/>
        <w:tblW w:w="9750" w:type="dxa"/>
        <w:tblLayout w:type="fixed"/>
        <w:tblLook w:val="04A0" w:firstRow="1" w:lastRow="0" w:firstColumn="1" w:lastColumn="0" w:noHBand="0" w:noVBand="1"/>
      </w:tblPr>
      <w:tblGrid>
        <w:gridCol w:w="959"/>
        <w:gridCol w:w="992"/>
        <w:gridCol w:w="1276"/>
        <w:gridCol w:w="1245"/>
        <w:gridCol w:w="1306"/>
        <w:gridCol w:w="1207"/>
        <w:gridCol w:w="1345"/>
        <w:gridCol w:w="1420"/>
      </w:tblGrid>
      <w:tr w:rsidR="006A10F6" w:rsidRPr="002F08F2" w14:paraId="15889392" w14:textId="77777777" w:rsidTr="006A10F6">
        <w:tc>
          <w:tcPr>
            <w:tcW w:w="1951" w:type="dxa"/>
            <w:gridSpan w:val="2"/>
            <w:vAlign w:val="center"/>
          </w:tcPr>
          <w:p w14:paraId="58D5C657"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Сравниваемые годы</w:t>
            </w:r>
          </w:p>
        </w:tc>
        <w:tc>
          <w:tcPr>
            <w:tcW w:w="3827" w:type="dxa"/>
            <w:gridSpan w:val="3"/>
            <w:vAlign w:val="center"/>
          </w:tcPr>
          <w:p w14:paraId="5A8E2F8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Доходы консолидированного бюджета Приморского края </w:t>
            </w:r>
          </w:p>
          <w:p w14:paraId="38AA8E3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(млрд. руб.)</w:t>
            </w:r>
          </w:p>
        </w:tc>
        <w:tc>
          <w:tcPr>
            <w:tcW w:w="3972" w:type="dxa"/>
            <w:gridSpan w:val="3"/>
            <w:vAlign w:val="center"/>
          </w:tcPr>
          <w:p w14:paraId="6E40127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Расходы консолидированного бюджета Приморского края</w:t>
            </w:r>
          </w:p>
          <w:p w14:paraId="394CD85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(млрд. руб.)</w:t>
            </w:r>
          </w:p>
        </w:tc>
      </w:tr>
      <w:tr w:rsidR="006A10F6" w:rsidRPr="002F08F2" w14:paraId="3703862C" w14:textId="77777777" w:rsidTr="006A10F6">
        <w:tc>
          <w:tcPr>
            <w:tcW w:w="959" w:type="dxa"/>
            <w:vAlign w:val="center"/>
          </w:tcPr>
          <w:p w14:paraId="09D5E70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Преды-</w:t>
            </w:r>
          </w:p>
          <w:p w14:paraId="2F9333C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дущий</w:t>
            </w:r>
          </w:p>
        </w:tc>
        <w:tc>
          <w:tcPr>
            <w:tcW w:w="992" w:type="dxa"/>
            <w:vAlign w:val="center"/>
          </w:tcPr>
          <w:p w14:paraId="4608A952"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Отчет-</w:t>
            </w:r>
          </w:p>
          <w:p w14:paraId="3DE1E3C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ный</w:t>
            </w:r>
          </w:p>
        </w:tc>
        <w:tc>
          <w:tcPr>
            <w:tcW w:w="1276" w:type="dxa"/>
            <w:vAlign w:val="center"/>
          </w:tcPr>
          <w:p w14:paraId="78A1201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Предыду-</w:t>
            </w:r>
          </w:p>
          <w:p w14:paraId="41C9E1E0"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щий год</w:t>
            </w:r>
          </w:p>
        </w:tc>
        <w:tc>
          <w:tcPr>
            <w:tcW w:w="1245" w:type="dxa"/>
            <w:vAlign w:val="center"/>
          </w:tcPr>
          <w:p w14:paraId="5306A58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Отчетный год</w:t>
            </w:r>
          </w:p>
        </w:tc>
        <w:tc>
          <w:tcPr>
            <w:tcW w:w="1306" w:type="dxa"/>
            <w:shd w:val="clear" w:color="auto" w:fill="D9D9D9" w:themeFill="background1" w:themeFillShade="D9"/>
            <w:vAlign w:val="center"/>
          </w:tcPr>
          <w:p w14:paraId="20BB5771"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Показатель динамики %</w:t>
            </w:r>
          </w:p>
        </w:tc>
        <w:tc>
          <w:tcPr>
            <w:tcW w:w="1207" w:type="dxa"/>
            <w:vAlign w:val="center"/>
          </w:tcPr>
          <w:p w14:paraId="5968462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Предыду-щий год</w:t>
            </w:r>
          </w:p>
        </w:tc>
        <w:tc>
          <w:tcPr>
            <w:tcW w:w="1345" w:type="dxa"/>
            <w:vAlign w:val="center"/>
          </w:tcPr>
          <w:p w14:paraId="7755F7F6"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Отчетный год</w:t>
            </w:r>
          </w:p>
        </w:tc>
        <w:tc>
          <w:tcPr>
            <w:tcW w:w="1420" w:type="dxa"/>
            <w:shd w:val="clear" w:color="auto" w:fill="D9D9D9" w:themeFill="background1" w:themeFillShade="D9"/>
            <w:vAlign w:val="center"/>
          </w:tcPr>
          <w:p w14:paraId="305BF36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Показатель динамики %</w:t>
            </w:r>
          </w:p>
          <w:p w14:paraId="63ACB6A2" w14:textId="77777777" w:rsidR="006A10F6" w:rsidRPr="002F08F2" w:rsidRDefault="006A10F6" w:rsidP="006A10F6">
            <w:pPr>
              <w:jc w:val="center"/>
              <w:rPr>
                <w:rFonts w:ascii="Times New Roman" w:hAnsi="Times New Roman" w:cs="Times New Roman"/>
                <w:color w:val="000000" w:themeColor="text1"/>
                <w:sz w:val="24"/>
                <w:szCs w:val="24"/>
              </w:rPr>
            </w:pPr>
          </w:p>
        </w:tc>
      </w:tr>
      <w:tr w:rsidR="006A10F6" w:rsidRPr="002F08F2" w14:paraId="476B52EE" w14:textId="77777777" w:rsidTr="006A10F6">
        <w:trPr>
          <w:trHeight w:val="562"/>
        </w:trPr>
        <w:tc>
          <w:tcPr>
            <w:tcW w:w="959" w:type="dxa"/>
            <w:vAlign w:val="center"/>
          </w:tcPr>
          <w:p w14:paraId="60EEC29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2011</w:t>
            </w:r>
          </w:p>
        </w:tc>
        <w:tc>
          <w:tcPr>
            <w:tcW w:w="992" w:type="dxa"/>
            <w:vAlign w:val="center"/>
          </w:tcPr>
          <w:p w14:paraId="7EF4F5DC"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2012</w:t>
            </w:r>
          </w:p>
        </w:tc>
        <w:tc>
          <w:tcPr>
            <w:tcW w:w="1276" w:type="dxa"/>
            <w:vAlign w:val="center"/>
          </w:tcPr>
          <w:p w14:paraId="7C87BE2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98,3</w:t>
            </w:r>
          </w:p>
        </w:tc>
        <w:tc>
          <w:tcPr>
            <w:tcW w:w="1245" w:type="dxa"/>
            <w:vAlign w:val="center"/>
          </w:tcPr>
          <w:p w14:paraId="616CC73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100,8</w:t>
            </w:r>
          </w:p>
        </w:tc>
        <w:tc>
          <w:tcPr>
            <w:tcW w:w="1306" w:type="dxa"/>
            <w:shd w:val="clear" w:color="auto" w:fill="D9D9D9" w:themeFill="background1" w:themeFillShade="D9"/>
            <w:vAlign w:val="center"/>
          </w:tcPr>
          <w:p w14:paraId="0F7809B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1,02</w:t>
            </w:r>
          </w:p>
        </w:tc>
        <w:tc>
          <w:tcPr>
            <w:tcW w:w="1207" w:type="dxa"/>
            <w:vAlign w:val="center"/>
          </w:tcPr>
          <w:p w14:paraId="1CC9A83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122,22</w:t>
            </w:r>
          </w:p>
        </w:tc>
        <w:tc>
          <w:tcPr>
            <w:tcW w:w="1345" w:type="dxa"/>
            <w:vAlign w:val="center"/>
          </w:tcPr>
          <w:p w14:paraId="483C80D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122,97</w:t>
            </w:r>
          </w:p>
        </w:tc>
        <w:tc>
          <w:tcPr>
            <w:tcW w:w="1420" w:type="dxa"/>
            <w:shd w:val="clear" w:color="auto" w:fill="D9D9D9" w:themeFill="background1" w:themeFillShade="D9"/>
            <w:vAlign w:val="center"/>
          </w:tcPr>
          <w:p w14:paraId="33A66D2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w:t>
            </w:r>
          </w:p>
        </w:tc>
      </w:tr>
      <w:tr w:rsidR="006A10F6" w:rsidRPr="002F08F2" w14:paraId="33D73AD5" w14:textId="77777777" w:rsidTr="006A10F6">
        <w:tc>
          <w:tcPr>
            <w:tcW w:w="959" w:type="dxa"/>
          </w:tcPr>
          <w:p w14:paraId="029E81C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2012</w:t>
            </w:r>
          </w:p>
        </w:tc>
        <w:tc>
          <w:tcPr>
            <w:tcW w:w="992" w:type="dxa"/>
          </w:tcPr>
          <w:p w14:paraId="506B3AD7"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2013</w:t>
            </w:r>
          </w:p>
        </w:tc>
        <w:tc>
          <w:tcPr>
            <w:tcW w:w="1276" w:type="dxa"/>
          </w:tcPr>
          <w:p w14:paraId="779C079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100,8</w:t>
            </w:r>
          </w:p>
        </w:tc>
        <w:tc>
          <w:tcPr>
            <w:tcW w:w="1245" w:type="dxa"/>
          </w:tcPr>
          <w:p w14:paraId="668C9CE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113,38</w:t>
            </w:r>
          </w:p>
        </w:tc>
        <w:tc>
          <w:tcPr>
            <w:tcW w:w="1306" w:type="dxa"/>
            <w:shd w:val="clear" w:color="auto" w:fill="D9D9D9" w:themeFill="background1" w:themeFillShade="D9"/>
          </w:tcPr>
          <w:p w14:paraId="1BFF03B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1,12</w:t>
            </w:r>
          </w:p>
        </w:tc>
        <w:tc>
          <w:tcPr>
            <w:tcW w:w="1207" w:type="dxa"/>
          </w:tcPr>
          <w:p w14:paraId="537BACC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122,97</w:t>
            </w:r>
          </w:p>
        </w:tc>
        <w:tc>
          <w:tcPr>
            <w:tcW w:w="1345" w:type="dxa"/>
          </w:tcPr>
          <w:p w14:paraId="1E01590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134,02</w:t>
            </w:r>
          </w:p>
        </w:tc>
        <w:tc>
          <w:tcPr>
            <w:tcW w:w="1420" w:type="dxa"/>
            <w:shd w:val="clear" w:color="auto" w:fill="D9D9D9" w:themeFill="background1" w:themeFillShade="D9"/>
          </w:tcPr>
          <w:p w14:paraId="2D9BBA84"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1,08</w:t>
            </w:r>
          </w:p>
        </w:tc>
      </w:tr>
      <w:tr w:rsidR="006A10F6" w:rsidRPr="002F08F2" w14:paraId="67E3063E" w14:textId="77777777" w:rsidTr="006A10F6">
        <w:tc>
          <w:tcPr>
            <w:tcW w:w="959" w:type="dxa"/>
          </w:tcPr>
          <w:p w14:paraId="6BDF8C5F"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2013</w:t>
            </w:r>
          </w:p>
        </w:tc>
        <w:tc>
          <w:tcPr>
            <w:tcW w:w="992" w:type="dxa"/>
          </w:tcPr>
          <w:p w14:paraId="642B154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2014</w:t>
            </w:r>
          </w:p>
        </w:tc>
        <w:tc>
          <w:tcPr>
            <w:tcW w:w="1276" w:type="dxa"/>
          </w:tcPr>
          <w:p w14:paraId="7965B2A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113,38</w:t>
            </w:r>
          </w:p>
        </w:tc>
        <w:tc>
          <w:tcPr>
            <w:tcW w:w="1245" w:type="dxa"/>
          </w:tcPr>
          <w:p w14:paraId="2547C800"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120,27</w:t>
            </w:r>
          </w:p>
        </w:tc>
        <w:tc>
          <w:tcPr>
            <w:tcW w:w="1306" w:type="dxa"/>
            <w:shd w:val="clear" w:color="auto" w:fill="D9D9D9" w:themeFill="background1" w:themeFillShade="D9"/>
          </w:tcPr>
          <w:p w14:paraId="4085C90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1,06</w:t>
            </w:r>
          </w:p>
        </w:tc>
        <w:tc>
          <w:tcPr>
            <w:tcW w:w="1207" w:type="dxa"/>
          </w:tcPr>
          <w:p w14:paraId="2B005047"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134,02</w:t>
            </w:r>
          </w:p>
        </w:tc>
        <w:tc>
          <w:tcPr>
            <w:tcW w:w="1345" w:type="dxa"/>
          </w:tcPr>
          <w:p w14:paraId="5BEA5E4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135,06</w:t>
            </w:r>
          </w:p>
        </w:tc>
        <w:tc>
          <w:tcPr>
            <w:tcW w:w="1420" w:type="dxa"/>
            <w:shd w:val="clear" w:color="auto" w:fill="D9D9D9" w:themeFill="background1" w:themeFillShade="D9"/>
          </w:tcPr>
          <w:p w14:paraId="521F1279"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1,01</w:t>
            </w:r>
          </w:p>
        </w:tc>
      </w:tr>
      <w:tr w:rsidR="006A10F6" w:rsidRPr="002F08F2" w14:paraId="249D8AC8" w14:textId="77777777" w:rsidTr="006A10F6">
        <w:tc>
          <w:tcPr>
            <w:tcW w:w="959" w:type="dxa"/>
          </w:tcPr>
          <w:p w14:paraId="0E1C5CB2"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2014</w:t>
            </w:r>
          </w:p>
        </w:tc>
        <w:tc>
          <w:tcPr>
            <w:tcW w:w="992" w:type="dxa"/>
          </w:tcPr>
          <w:p w14:paraId="08451FBB"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2015</w:t>
            </w:r>
          </w:p>
        </w:tc>
        <w:tc>
          <w:tcPr>
            <w:tcW w:w="1276" w:type="dxa"/>
          </w:tcPr>
          <w:p w14:paraId="501F1A32"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120,27</w:t>
            </w:r>
          </w:p>
        </w:tc>
        <w:tc>
          <w:tcPr>
            <w:tcW w:w="1245" w:type="dxa"/>
          </w:tcPr>
          <w:p w14:paraId="644A3D4D"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126,9</w:t>
            </w:r>
          </w:p>
        </w:tc>
        <w:tc>
          <w:tcPr>
            <w:tcW w:w="1306" w:type="dxa"/>
            <w:shd w:val="clear" w:color="auto" w:fill="D9D9D9" w:themeFill="background1" w:themeFillShade="D9"/>
          </w:tcPr>
          <w:p w14:paraId="3B920DFF"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1,05</w:t>
            </w:r>
          </w:p>
        </w:tc>
        <w:tc>
          <w:tcPr>
            <w:tcW w:w="1207" w:type="dxa"/>
          </w:tcPr>
          <w:p w14:paraId="3142EA9E"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135,06</w:t>
            </w:r>
          </w:p>
        </w:tc>
        <w:tc>
          <w:tcPr>
            <w:tcW w:w="1345" w:type="dxa"/>
          </w:tcPr>
          <w:p w14:paraId="61984E82"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139,44</w:t>
            </w:r>
          </w:p>
        </w:tc>
        <w:tc>
          <w:tcPr>
            <w:tcW w:w="1420" w:type="dxa"/>
            <w:shd w:val="clear" w:color="auto" w:fill="D9D9D9" w:themeFill="background1" w:themeFillShade="D9"/>
          </w:tcPr>
          <w:p w14:paraId="5401A16B"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1,03</w:t>
            </w:r>
          </w:p>
        </w:tc>
      </w:tr>
      <w:tr w:rsidR="006A10F6" w:rsidRPr="002F08F2" w14:paraId="099FC250" w14:textId="77777777" w:rsidTr="006A10F6">
        <w:tc>
          <w:tcPr>
            <w:tcW w:w="959" w:type="dxa"/>
          </w:tcPr>
          <w:p w14:paraId="6CE5A911"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2015</w:t>
            </w:r>
          </w:p>
        </w:tc>
        <w:tc>
          <w:tcPr>
            <w:tcW w:w="992" w:type="dxa"/>
          </w:tcPr>
          <w:p w14:paraId="2DF6091B"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2016</w:t>
            </w:r>
          </w:p>
        </w:tc>
        <w:tc>
          <w:tcPr>
            <w:tcW w:w="1276" w:type="dxa"/>
          </w:tcPr>
          <w:p w14:paraId="0373C906"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126,9</w:t>
            </w:r>
          </w:p>
        </w:tc>
        <w:tc>
          <w:tcPr>
            <w:tcW w:w="1245" w:type="dxa"/>
          </w:tcPr>
          <w:p w14:paraId="75AD63F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133,28</w:t>
            </w:r>
          </w:p>
        </w:tc>
        <w:tc>
          <w:tcPr>
            <w:tcW w:w="1306" w:type="dxa"/>
            <w:shd w:val="clear" w:color="auto" w:fill="D9D9D9" w:themeFill="background1" w:themeFillShade="D9"/>
          </w:tcPr>
          <w:p w14:paraId="617AE46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1,05</w:t>
            </w:r>
          </w:p>
        </w:tc>
        <w:tc>
          <w:tcPr>
            <w:tcW w:w="1207" w:type="dxa"/>
          </w:tcPr>
          <w:p w14:paraId="1749CE9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139,44</w:t>
            </w:r>
          </w:p>
        </w:tc>
        <w:tc>
          <w:tcPr>
            <w:tcW w:w="1345" w:type="dxa"/>
          </w:tcPr>
          <w:p w14:paraId="55DBB221"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138,46</w:t>
            </w:r>
          </w:p>
        </w:tc>
        <w:tc>
          <w:tcPr>
            <w:tcW w:w="1420" w:type="dxa"/>
            <w:shd w:val="clear" w:color="auto" w:fill="D9D9D9" w:themeFill="background1" w:themeFillShade="D9"/>
          </w:tcPr>
          <w:p w14:paraId="046085FF"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0,99</w:t>
            </w:r>
          </w:p>
        </w:tc>
      </w:tr>
      <w:tr w:rsidR="006A10F6" w:rsidRPr="002F08F2" w14:paraId="0E76DB3F" w14:textId="77777777" w:rsidTr="006A10F6">
        <w:tc>
          <w:tcPr>
            <w:tcW w:w="959" w:type="dxa"/>
          </w:tcPr>
          <w:p w14:paraId="276778DC"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2016</w:t>
            </w:r>
          </w:p>
        </w:tc>
        <w:tc>
          <w:tcPr>
            <w:tcW w:w="992" w:type="dxa"/>
          </w:tcPr>
          <w:p w14:paraId="5913F893"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2017</w:t>
            </w:r>
          </w:p>
        </w:tc>
        <w:tc>
          <w:tcPr>
            <w:tcW w:w="1276" w:type="dxa"/>
          </w:tcPr>
          <w:p w14:paraId="3DE0D15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133,28</w:t>
            </w:r>
          </w:p>
        </w:tc>
        <w:tc>
          <w:tcPr>
            <w:tcW w:w="1245" w:type="dxa"/>
          </w:tcPr>
          <w:p w14:paraId="28654D3F"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143,74</w:t>
            </w:r>
          </w:p>
        </w:tc>
        <w:tc>
          <w:tcPr>
            <w:tcW w:w="1306" w:type="dxa"/>
            <w:shd w:val="clear" w:color="auto" w:fill="D9D9D9" w:themeFill="background1" w:themeFillShade="D9"/>
          </w:tcPr>
          <w:p w14:paraId="7C10F318"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1,078</w:t>
            </w:r>
          </w:p>
        </w:tc>
        <w:tc>
          <w:tcPr>
            <w:tcW w:w="1207" w:type="dxa"/>
          </w:tcPr>
          <w:p w14:paraId="09259EDA"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138,46</w:t>
            </w:r>
          </w:p>
        </w:tc>
        <w:tc>
          <w:tcPr>
            <w:tcW w:w="1345" w:type="dxa"/>
          </w:tcPr>
          <w:p w14:paraId="158534E5"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148,47</w:t>
            </w:r>
          </w:p>
        </w:tc>
        <w:tc>
          <w:tcPr>
            <w:tcW w:w="1420" w:type="dxa"/>
            <w:shd w:val="clear" w:color="auto" w:fill="D9D9D9" w:themeFill="background1" w:themeFillShade="D9"/>
          </w:tcPr>
          <w:p w14:paraId="1D3B042F" w14:textId="77777777" w:rsidR="006A10F6" w:rsidRPr="002F08F2" w:rsidRDefault="006A10F6" w:rsidP="006A10F6">
            <w:pPr>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1,072</w:t>
            </w:r>
          </w:p>
        </w:tc>
      </w:tr>
    </w:tbl>
    <w:p w14:paraId="2C8D472F"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p>
    <w:p w14:paraId="70881A9E"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lastRenderedPageBreak/>
        <w:t xml:space="preserve">Анализ динамики изменения доходов и расходов консолидированного бюджета Приморского края показывает, что за последние 7 лет, каждый год происходит доходная часть бюджета на небольшую долю процента опережает рост его расходной части. </w:t>
      </w:r>
    </w:p>
    <w:p w14:paraId="4E750DDD"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Наиболее значительный рост динамики доходов краевого бюджета наблюдался в 2012 году. Показатель роста доходов в 2012 году по отношению к 2011 году составил 1,12%. При этом разница процентного соотношения в динамике роста краевых доходов по отношению к динамике роста краевых расходов достигла наибольшего значения в 2016 году (0,06%).</w:t>
      </w:r>
    </w:p>
    <w:p w14:paraId="0C9BC54B"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В 2017 году наблюдается значительное сокращение разницы между показателями динами роста доходной и расходной части бюджетов (0,006%).</w:t>
      </w:r>
    </w:p>
    <w:p w14:paraId="1F174153"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По данным сопоставительного анализа соотношения доходной и расходной частей консолидированных бюджетов общероссийских показателей, можно говорить о том, что в 2012 и 2013 гг. указанные показатели Приморского края были ниже общероссийских показателей, а на начало 2014превысили его, также тенденция к росту отмечается в последующие годы исследуемого периода, что говорит о повышении сбалансированности консолидированного бюджета Приморского края [2].</w:t>
      </w:r>
    </w:p>
    <w:p w14:paraId="31CC1459"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Анализ исполнения доходной и расходной частей бюджетов субъектов Российской Федерации лежит в основе расчета показателя бюджетной обеспеченности региона. </w:t>
      </w:r>
    </w:p>
    <w:p w14:paraId="0345BB3B" w14:textId="77777777" w:rsidR="006A10F6" w:rsidRPr="002F08F2" w:rsidRDefault="006A10F6" w:rsidP="006A10F6">
      <w:pPr>
        <w:widowControl w:val="0"/>
        <w:spacing w:after="0" w:line="240" w:lineRule="auto"/>
        <w:ind w:firstLine="709"/>
        <w:jc w:val="both"/>
        <w:rPr>
          <w:rFonts w:ascii="Times New Roman" w:hAnsi="Times New Roman" w:cs="Times New Roman"/>
          <w:noProof/>
          <w:color w:val="000000" w:themeColor="text1"/>
          <w:sz w:val="24"/>
          <w:szCs w:val="24"/>
        </w:rPr>
      </w:pPr>
      <w:r w:rsidRPr="002F08F2">
        <w:rPr>
          <w:rFonts w:ascii="Times New Roman" w:hAnsi="Times New Roman" w:cs="Times New Roman"/>
          <w:noProof/>
          <w:color w:val="000000" w:themeColor="text1"/>
          <w:sz w:val="24"/>
          <w:szCs w:val="24"/>
        </w:rPr>
        <w:t>Исходя из определения бюджетной обеспеченности субъекта Российской Федерации как возможности субъекта обеспечивать полное финансирование комплекса полномочий, возложенных на конкретный уровень власти через бюджеты соответствующих уровней, отметим, что в целях выравнивания уровня бюджетной обеспеченности регионов Российской Федерации предоставляются дотации, размер которых(а также других видов денежной помощи субъектам Российской Федерации) рассчитывается на основе анализа ряда основных мезоэкономических показателей: постоянная численность населения субъекта, уровень налогового потенциала субъекта, уровень расходов бюджета субъекта, социальные и технологические показатели, географические факторы, уровень развития экономики и др.[3, с. 165].</w:t>
      </w:r>
    </w:p>
    <w:p w14:paraId="4B05864A"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В соответствии с итогами рейтингов по показателю бюджетной обеспеченности ре-гионов можно отметить, что наиболее высокое место Приморский край занимал в 2011 г. (21 место), что непосредственно связано с наиболее эффективным исполнением консолидированного бюджета. В 2012 г. отмечается наиболее низкое место в рейтинге за анализируемый период (30 место), в 2013-2015 гг. произошло повышение уровня в рейтинге до 26 места [4].</w:t>
      </w:r>
    </w:p>
    <w:p w14:paraId="3BB9CC5F"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Показатели бюджетной обеспеченности Приморского края в 2011-2015 гг. в сопоставлении со среднероссийским показателем представлены в таблице 3.</w:t>
      </w:r>
    </w:p>
    <w:p w14:paraId="3A55D892" w14:textId="77777777" w:rsidR="006A10F6" w:rsidRPr="002F08F2" w:rsidRDefault="006A10F6" w:rsidP="00B92001">
      <w:pPr>
        <w:pStyle w:val="afa"/>
        <w:rPr>
          <w:rFonts w:cs="Times New Roman"/>
          <w:sz w:val="24"/>
          <w:szCs w:val="24"/>
        </w:rPr>
      </w:pPr>
      <w:r w:rsidRPr="002F08F2">
        <w:rPr>
          <w:rFonts w:cs="Times New Roman"/>
          <w:sz w:val="24"/>
          <w:szCs w:val="24"/>
        </w:rPr>
        <w:t>Таблица 3</w:t>
      </w:r>
    </w:p>
    <w:p w14:paraId="5252640A" w14:textId="77777777" w:rsidR="006A10F6" w:rsidRPr="002F08F2" w:rsidRDefault="006A10F6" w:rsidP="006A10F6">
      <w:pPr>
        <w:spacing w:after="0" w:line="240" w:lineRule="auto"/>
        <w:jc w:val="center"/>
        <w:rPr>
          <w:rFonts w:ascii="Times New Roman" w:hAnsi="Times New Roman" w:cs="Times New Roman"/>
          <w:b/>
          <w:color w:val="000000" w:themeColor="text1"/>
          <w:sz w:val="24"/>
          <w:szCs w:val="24"/>
        </w:rPr>
      </w:pPr>
      <w:r w:rsidRPr="002F08F2">
        <w:rPr>
          <w:rFonts w:ascii="Times New Roman" w:hAnsi="Times New Roman" w:cs="Times New Roman"/>
          <w:b/>
          <w:color w:val="000000" w:themeColor="text1"/>
          <w:sz w:val="24"/>
          <w:szCs w:val="24"/>
        </w:rPr>
        <w:t>Результаты сопоставительного анализа бюджетной обеспеченности</w:t>
      </w:r>
    </w:p>
    <w:p w14:paraId="757D6F4F"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b/>
          <w:color w:val="000000" w:themeColor="text1"/>
          <w:sz w:val="24"/>
          <w:szCs w:val="24"/>
        </w:rPr>
        <w:t>Приморского края и регионов Российской Федерации за период 2011-2015 годов</w:t>
      </w:r>
    </w:p>
    <w:p w14:paraId="7934A8A7" w14:textId="77777777" w:rsidR="006A10F6" w:rsidRPr="002F08F2" w:rsidRDefault="006A10F6" w:rsidP="006A10F6">
      <w:pPr>
        <w:spacing w:after="120" w:line="240" w:lineRule="auto"/>
        <w:ind w:left="1440" w:hanging="1440"/>
        <w:jc w:val="right"/>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 xml:space="preserve">в тыс. руб. </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1"/>
        <w:gridCol w:w="2878"/>
        <w:gridCol w:w="3863"/>
        <w:gridCol w:w="1081"/>
        <w:gridCol w:w="746"/>
      </w:tblGrid>
      <w:tr w:rsidR="006A10F6" w:rsidRPr="002F08F2" w14:paraId="4408E9F6" w14:textId="77777777" w:rsidTr="006A10F6">
        <w:tc>
          <w:tcPr>
            <w:tcW w:w="555" w:type="pct"/>
            <w:vMerge w:val="restart"/>
            <w:vAlign w:val="center"/>
          </w:tcPr>
          <w:p w14:paraId="287085B7"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Годы</w:t>
            </w:r>
          </w:p>
        </w:tc>
        <w:tc>
          <w:tcPr>
            <w:tcW w:w="3497" w:type="pct"/>
            <w:gridSpan w:val="2"/>
            <w:vAlign w:val="center"/>
          </w:tcPr>
          <w:p w14:paraId="32EF4C3B"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Показатели</w:t>
            </w:r>
          </w:p>
        </w:tc>
        <w:tc>
          <w:tcPr>
            <w:tcW w:w="948" w:type="pct"/>
            <w:gridSpan w:val="2"/>
            <w:vAlign w:val="center"/>
          </w:tcPr>
          <w:p w14:paraId="6409A4B7"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Отклонение</w:t>
            </w:r>
          </w:p>
        </w:tc>
      </w:tr>
      <w:tr w:rsidR="0076600D" w:rsidRPr="002F08F2" w14:paraId="5B84F309" w14:textId="77777777" w:rsidTr="006A10F6">
        <w:tc>
          <w:tcPr>
            <w:tcW w:w="555" w:type="pct"/>
            <w:vMerge/>
            <w:vAlign w:val="center"/>
          </w:tcPr>
          <w:p w14:paraId="4EE55097"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p>
        </w:tc>
        <w:tc>
          <w:tcPr>
            <w:tcW w:w="1493" w:type="pct"/>
            <w:vAlign w:val="center"/>
          </w:tcPr>
          <w:p w14:paraId="1CF6EDC7"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Среднее значение по РФ</w:t>
            </w:r>
          </w:p>
        </w:tc>
        <w:tc>
          <w:tcPr>
            <w:tcW w:w="2004" w:type="pct"/>
            <w:vAlign w:val="center"/>
          </w:tcPr>
          <w:p w14:paraId="20D1332B"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Приморский край</w:t>
            </w:r>
          </w:p>
        </w:tc>
        <w:tc>
          <w:tcPr>
            <w:tcW w:w="561" w:type="pct"/>
            <w:vAlign w:val="center"/>
          </w:tcPr>
          <w:p w14:paraId="6F46A6C7"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абс.</w:t>
            </w:r>
          </w:p>
        </w:tc>
        <w:tc>
          <w:tcPr>
            <w:tcW w:w="386" w:type="pct"/>
            <w:vAlign w:val="center"/>
          </w:tcPr>
          <w:p w14:paraId="5E50E1C8"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w:t>
            </w:r>
          </w:p>
        </w:tc>
      </w:tr>
      <w:tr w:rsidR="0076600D" w:rsidRPr="002F08F2" w14:paraId="437355DA" w14:textId="77777777" w:rsidTr="006A10F6">
        <w:tc>
          <w:tcPr>
            <w:tcW w:w="555" w:type="pct"/>
            <w:vAlign w:val="center"/>
          </w:tcPr>
          <w:p w14:paraId="3C921C79"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2011</w:t>
            </w:r>
          </w:p>
        </w:tc>
        <w:tc>
          <w:tcPr>
            <w:tcW w:w="1493" w:type="pct"/>
            <w:vAlign w:val="center"/>
          </w:tcPr>
          <w:p w14:paraId="54F18362"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59,17</w:t>
            </w:r>
          </w:p>
        </w:tc>
        <w:tc>
          <w:tcPr>
            <w:tcW w:w="2004" w:type="pct"/>
            <w:vAlign w:val="center"/>
          </w:tcPr>
          <w:p w14:paraId="15629C2F"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52,84</w:t>
            </w:r>
          </w:p>
        </w:tc>
        <w:tc>
          <w:tcPr>
            <w:tcW w:w="561" w:type="pct"/>
            <w:vAlign w:val="center"/>
          </w:tcPr>
          <w:p w14:paraId="7DCD94D9"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-6,33</w:t>
            </w:r>
          </w:p>
        </w:tc>
        <w:tc>
          <w:tcPr>
            <w:tcW w:w="386" w:type="pct"/>
            <w:vAlign w:val="center"/>
          </w:tcPr>
          <w:p w14:paraId="3CDFF491"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89,3</w:t>
            </w:r>
          </w:p>
        </w:tc>
      </w:tr>
      <w:tr w:rsidR="0076600D" w:rsidRPr="002F08F2" w14:paraId="7AC6FAA0" w14:textId="77777777" w:rsidTr="006A10F6">
        <w:tc>
          <w:tcPr>
            <w:tcW w:w="555" w:type="pct"/>
            <w:vAlign w:val="center"/>
          </w:tcPr>
          <w:p w14:paraId="120059B1"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2012</w:t>
            </w:r>
          </w:p>
        </w:tc>
        <w:tc>
          <w:tcPr>
            <w:tcW w:w="1493" w:type="pct"/>
            <w:vAlign w:val="center"/>
          </w:tcPr>
          <w:p w14:paraId="746C4061"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62,46</w:t>
            </w:r>
          </w:p>
        </w:tc>
        <w:tc>
          <w:tcPr>
            <w:tcW w:w="2004" w:type="pct"/>
            <w:vAlign w:val="center"/>
          </w:tcPr>
          <w:p w14:paraId="33D00E68"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50,57</w:t>
            </w:r>
          </w:p>
        </w:tc>
        <w:tc>
          <w:tcPr>
            <w:tcW w:w="561" w:type="pct"/>
            <w:vAlign w:val="center"/>
          </w:tcPr>
          <w:p w14:paraId="7849BF91"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-11,9</w:t>
            </w:r>
          </w:p>
        </w:tc>
        <w:tc>
          <w:tcPr>
            <w:tcW w:w="386" w:type="pct"/>
            <w:vAlign w:val="center"/>
          </w:tcPr>
          <w:p w14:paraId="3A5DAA7A"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81,0</w:t>
            </w:r>
          </w:p>
        </w:tc>
      </w:tr>
      <w:tr w:rsidR="0076600D" w:rsidRPr="002F08F2" w14:paraId="40E85F2F" w14:textId="77777777" w:rsidTr="006A10F6">
        <w:tc>
          <w:tcPr>
            <w:tcW w:w="555" w:type="pct"/>
            <w:vAlign w:val="center"/>
          </w:tcPr>
          <w:p w14:paraId="38B24996"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2013</w:t>
            </w:r>
          </w:p>
        </w:tc>
        <w:tc>
          <w:tcPr>
            <w:tcW w:w="1493" w:type="pct"/>
            <w:vAlign w:val="center"/>
          </w:tcPr>
          <w:p w14:paraId="5C39ED84"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65,6</w:t>
            </w:r>
          </w:p>
        </w:tc>
        <w:tc>
          <w:tcPr>
            <w:tcW w:w="2004" w:type="pct"/>
            <w:vAlign w:val="center"/>
          </w:tcPr>
          <w:p w14:paraId="63703221"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49,75</w:t>
            </w:r>
          </w:p>
        </w:tc>
        <w:tc>
          <w:tcPr>
            <w:tcW w:w="561" w:type="pct"/>
            <w:vAlign w:val="center"/>
          </w:tcPr>
          <w:p w14:paraId="287F4915"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-15,9</w:t>
            </w:r>
          </w:p>
        </w:tc>
        <w:tc>
          <w:tcPr>
            <w:tcW w:w="386" w:type="pct"/>
            <w:vAlign w:val="center"/>
          </w:tcPr>
          <w:p w14:paraId="13818B50" w14:textId="77777777" w:rsidR="006A10F6" w:rsidRPr="002F08F2" w:rsidRDefault="006A10F6" w:rsidP="006A10F6">
            <w:pPr>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75,8</w:t>
            </w:r>
          </w:p>
        </w:tc>
      </w:tr>
      <w:tr w:rsidR="0076600D" w:rsidRPr="002F08F2" w14:paraId="577883B0" w14:textId="77777777" w:rsidTr="006A10F6">
        <w:tc>
          <w:tcPr>
            <w:tcW w:w="555" w:type="pct"/>
            <w:vAlign w:val="center"/>
          </w:tcPr>
          <w:p w14:paraId="050546B6"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2014</w:t>
            </w:r>
          </w:p>
        </w:tc>
        <w:tc>
          <w:tcPr>
            <w:tcW w:w="1493" w:type="pct"/>
            <w:vAlign w:val="center"/>
          </w:tcPr>
          <w:p w14:paraId="58B94B75"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72</w:t>
            </w:r>
          </w:p>
        </w:tc>
        <w:tc>
          <w:tcPr>
            <w:tcW w:w="2004" w:type="pct"/>
            <w:vAlign w:val="center"/>
          </w:tcPr>
          <w:p w14:paraId="3F6FB1E0"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53</w:t>
            </w:r>
          </w:p>
        </w:tc>
        <w:tc>
          <w:tcPr>
            <w:tcW w:w="561" w:type="pct"/>
            <w:vAlign w:val="center"/>
          </w:tcPr>
          <w:p w14:paraId="453CE349"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-19</w:t>
            </w:r>
          </w:p>
        </w:tc>
        <w:tc>
          <w:tcPr>
            <w:tcW w:w="386" w:type="pct"/>
            <w:vAlign w:val="center"/>
          </w:tcPr>
          <w:p w14:paraId="17A8D6FD"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73,6</w:t>
            </w:r>
          </w:p>
        </w:tc>
      </w:tr>
      <w:tr w:rsidR="006A10F6" w:rsidRPr="002F08F2" w14:paraId="1BA40761" w14:textId="77777777" w:rsidTr="006A10F6">
        <w:tc>
          <w:tcPr>
            <w:tcW w:w="555" w:type="pct"/>
            <w:vAlign w:val="center"/>
          </w:tcPr>
          <w:p w14:paraId="7EEE0009"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2015</w:t>
            </w:r>
          </w:p>
        </w:tc>
        <w:tc>
          <w:tcPr>
            <w:tcW w:w="1493" w:type="pct"/>
            <w:vAlign w:val="center"/>
          </w:tcPr>
          <w:p w14:paraId="1E849AD7"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75,6</w:t>
            </w:r>
          </w:p>
        </w:tc>
        <w:tc>
          <w:tcPr>
            <w:tcW w:w="2004" w:type="pct"/>
            <w:vAlign w:val="center"/>
          </w:tcPr>
          <w:p w14:paraId="01C9653D"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55,91</w:t>
            </w:r>
          </w:p>
        </w:tc>
        <w:tc>
          <w:tcPr>
            <w:tcW w:w="561" w:type="pct"/>
            <w:vAlign w:val="center"/>
          </w:tcPr>
          <w:p w14:paraId="2EA2E0D1"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-19,7</w:t>
            </w:r>
          </w:p>
        </w:tc>
        <w:tc>
          <w:tcPr>
            <w:tcW w:w="386" w:type="pct"/>
            <w:vAlign w:val="center"/>
          </w:tcPr>
          <w:p w14:paraId="5B00D366" w14:textId="77777777" w:rsidR="006A10F6" w:rsidRPr="002F08F2" w:rsidRDefault="006A10F6" w:rsidP="006A10F6">
            <w:pPr>
              <w:widowControl w:val="0"/>
              <w:spacing w:after="0" w:line="240" w:lineRule="auto"/>
              <w:jc w:val="center"/>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74,0</w:t>
            </w:r>
          </w:p>
        </w:tc>
      </w:tr>
    </w:tbl>
    <w:p w14:paraId="68AE7378" w14:textId="77777777" w:rsidR="006A10F6" w:rsidRPr="002F08F2" w:rsidRDefault="006A10F6" w:rsidP="006A10F6">
      <w:pPr>
        <w:spacing w:after="0" w:line="240" w:lineRule="auto"/>
        <w:ind w:firstLine="709"/>
        <w:jc w:val="both"/>
        <w:rPr>
          <w:rFonts w:ascii="Times New Roman" w:hAnsi="Times New Roman" w:cs="Times New Roman"/>
          <w:i/>
          <w:iCs/>
          <w:color w:val="000000" w:themeColor="text1"/>
          <w:sz w:val="24"/>
          <w:szCs w:val="24"/>
        </w:rPr>
      </w:pPr>
    </w:p>
    <w:p w14:paraId="28F49EB8" w14:textId="77777777" w:rsidR="006A10F6" w:rsidRPr="002F08F2" w:rsidRDefault="006A10F6" w:rsidP="006A10F6">
      <w:pPr>
        <w:widowControl w:val="0"/>
        <w:spacing w:after="0" w:line="240" w:lineRule="auto"/>
        <w:ind w:firstLine="709"/>
        <w:jc w:val="both"/>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 xml:space="preserve">Результаты сопоставительного анализа позволяют сделать вывод о том, что, несмотря на общую тенденцию роста среднедушевых доходов консолидированного бюджета Приморского края на одного жителя, среднероссийские показатели бюджетной обеспеченности превышают аналогичные показатели региона. Абсолютные значения </w:t>
      </w:r>
      <w:r w:rsidRPr="002F08F2">
        <w:rPr>
          <w:rFonts w:ascii="Times New Roman" w:hAnsi="Times New Roman" w:cs="Times New Roman"/>
          <w:color w:val="000000" w:themeColor="text1"/>
          <w:sz w:val="24"/>
          <w:szCs w:val="24"/>
          <w:lang w:eastAsia="ru-RU"/>
        </w:rPr>
        <w:lastRenderedPageBreak/>
        <w:t xml:space="preserve">отклонений в 2011-2015 гг. выросли с 6,33 до 19,7 тыс. руб. на одного жителя, относительное отклонение в анализируемом периоде увеличилось с 10,7 до 26%. </w:t>
      </w:r>
    </w:p>
    <w:p w14:paraId="32C17C68"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В настоящее время Приморский край является получателем дотаций из федерального бюджета на выравнивание бюджетной обеспеченности и входит в перечень субъектов Российской Федерации, в бюджетах которых расчетная доля межбюджетных трансфертов в течение двух из трех последних отчетных финансовых лет не превышала 20% объема собственных доходов консолидированного бюджета субъекта Российской Федерации. В соответствии с результатами распределения дотаций в 2017 г. было запланировано выделение средств в размере 8 964 млн. руб. и повышение уровня бюджетной обеспеченности с 0,712 до 0,772 [5].</w:t>
      </w:r>
    </w:p>
    <w:p w14:paraId="314363EA"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lang w:eastAsia="ru-RU"/>
        </w:rPr>
      </w:pPr>
      <w:r w:rsidRPr="002F08F2">
        <w:rPr>
          <w:rFonts w:ascii="Times New Roman" w:hAnsi="Times New Roman" w:cs="Times New Roman"/>
          <w:color w:val="000000" w:themeColor="text1"/>
          <w:sz w:val="24"/>
          <w:szCs w:val="24"/>
          <w:lang w:eastAsia="ru-RU"/>
        </w:rPr>
        <w:t xml:space="preserve">Показатели бюджетной обеспеченности Приморского края свидетельствует о недостаточно эффективном использовании средств консолидированных бюджетов региона, которое, несмотря на повышение сбалансированности </w:t>
      </w:r>
      <w:r w:rsidRPr="002F08F2">
        <w:rPr>
          <w:rFonts w:ascii="Times New Roman" w:hAnsi="Times New Roman" w:cs="Times New Roman"/>
          <w:color w:val="000000" w:themeColor="text1"/>
          <w:sz w:val="24"/>
          <w:szCs w:val="24"/>
        </w:rPr>
        <w:t xml:space="preserve">консолидированного бюджета, </w:t>
      </w:r>
      <w:r w:rsidRPr="002F08F2">
        <w:rPr>
          <w:rFonts w:ascii="Times New Roman" w:hAnsi="Times New Roman" w:cs="Times New Roman"/>
          <w:color w:val="000000" w:themeColor="text1"/>
          <w:sz w:val="24"/>
          <w:szCs w:val="24"/>
          <w:lang w:eastAsia="ru-RU"/>
        </w:rPr>
        <w:t>выражается в наличии бюджетного дефицита. В настоящее время Приморский край не входит в число субъектов Российской Федерации с наиболее высокими показателями бюджетной обеспеченности. Несмотря на общую тенденцию роста среднедушевых доходов консолидированного бюджета на одного жителя, среднероссийские показатели бюджетной обеспеченности превышают аналогичные показатели региона. Указанные положения определяют необходимость улучшения социально-экономического состоянияПриморского края.</w:t>
      </w:r>
    </w:p>
    <w:p w14:paraId="02E48241"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
          <w:color w:val="000000" w:themeColor="text1"/>
          <w:sz w:val="24"/>
          <w:szCs w:val="24"/>
        </w:rPr>
        <w:t>Заключение.</w:t>
      </w:r>
      <w:r w:rsidRPr="002F08F2">
        <w:rPr>
          <w:rFonts w:ascii="Times New Roman" w:hAnsi="Times New Roman" w:cs="Times New Roman"/>
          <w:color w:val="000000" w:themeColor="text1"/>
          <w:sz w:val="24"/>
          <w:szCs w:val="24"/>
        </w:rPr>
        <w:t xml:space="preserve"> На основании произведенного анализа исполнения расходов и доходов консолидированного бюджета Приморского края за период 2011-2017 годов, а также сравнения показателей бюджетной обеспеченности региона, получен вывод о том, что, несмотря на сокращение процента дефицита бюджета и положительную динамику роста доходов краевого бюджета за исследуемый период, показатели бюджетной обеспеченности Приморского края говорят о необходимости принятия мер к повышению способности субъекта к самоокупаемости и сбалансированности консолидированного бюджета. Таким образом, показатели бюджетной обеспеченности выступают основным индикатором социально-экономического состояния региона. </w:t>
      </w:r>
    </w:p>
    <w:p w14:paraId="33CE2273" w14:textId="77777777" w:rsidR="006A10F6" w:rsidRPr="002F08F2" w:rsidRDefault="007014C7" w:rsidP="0047795F">
      <w:pPr>
        <w:spacing w:after="0" w:line="240" w:lineRule="auto"/>
        <w:jc w:val="both"/>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eastAsia="ru-RU"/>
        </w:rPr>
        <w:pict w14:anchorId="254B7E08">
          <v:shape id="_x0000_s1228" type="#_x0000_t32" style="position:absolute;left:0;text-align:left;margin-left:.9pt;margin-top:8.35pt;width:261.7pt;height:0;z-index:251743232" o:connectortype="straight"/>
        </w:pict>
      </w:r>
    </w:p>
    <w:p w14:paraId="5B624910" w14:textId="77777777" w:rsidR="006A10F6" w:rsidRPr="002F08F2" w:rsidRDefault="006A10F6" w:rsidP="00202D58">
      <w:pPr>
        <w:numPr>
          <w:ilvl w:val="0"/>
          <w:numId w:val="43"/>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Официальный сайт департамента финансов Приморского края [Электронный ресурс] / [сайт]. – Электрон. дан. – Режим доступа: http://www.primorsky.ru/authorities/executive-agencies/departments/finance/report/ (дата обращения 02.04.2018).</w:t>
      </w:r>
    </w:p>
    <w:p w14:paraId="19B17E20" w14:textId="77777777" w:rsidR="006A10F6" w:rsidRPr="002F08F2" w:rsidRDefault="006A10F6" w:rsidP="00202D58">
      <w:pPr>
        <w:numPr>
          <w:ilvl w:val="0"/>
          <w:numId w:val="43"/>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Регионы России. Социально-экономические показатели. 2016: Ст. сборник [Электронный ресурс] / Материалы официального сайта Федеральной службы государственной статистики. – Электрон. дан. – Режим доступа: </w:t>
      </w:r>
      <w:hyperlink r:id="rId114" w:history="1">
        <w:r w:rsidRPr="002F08F2">
          <w:rPr>
            <w:rFonts w:ascii="Times New Roman" w:eastAsia="Times New Roman" w:hAnsi="Times New Roman" w:cs="Times New Roman"/>
            <w:sz w:val="24"/>
            <w:szCs w:val="24"/>
          </w:rPr>
          <w:t>http://www.gks.ru/wps/wcm/connect/rosstat/</w:t>
        </w:r>
      </w:hyperlink>
      <w:r w:rsidRPr="002F08F2">
        <w:rPr>
          <w:rFonts w:ascii="Times New Roman" w:eastAsia="Times New Roman" w:hAnsi="Times New Roman" w:cs="Times New Roman"/>
          <w:sz w:val="24"/>
          <w:szCs w:val="24"/>
          <w:lang w:eastAsia="ru-RU"/>
        </w:rPr>
        <w:t xml:space="preserve">  (дата обращения 02.04.2018).</w:t>
      </w:r>
    </w:p>
    <w:p w14:paraId="2E2BFE4E" w14:textId="77777777" w:rsidR="006A10F6" w:rsidRPr="002F08F2" w:rsidRDefault="006A10F6" w:rsidP="00202D58">
      <w:pPr>
        <w:numPr>
          <w:ilvl w:val="0"/>
          <w:numId w:val="43"/>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Михайлова oн Е.В., oн Никишов oн В.Н., oн Сараев oн Л.А. oнЦеновая oн динамика oн прибыли oн и oн ее oн оценка oн методами oн финансового oн анализа oн // oн Вестник oн Самарского oн университета. oн История, oн педагогика, oн философия. oн 2015. oн № oн 7 oн (66). oн С. oн 162-175.</w:t>
      </w:r>
    </w:p>
    <w:p w14:paraId="2BE52F0D" w14:textId="77777777" w:rsidR="006A10F6" w:rsidRPr="002F08F2" w:rsidRDefault="006A10F6" w:rsidP="00202D58">
      <w:pPr>
        <w:numPr>
          <w:ilvl w:val="0"/>
          <w:numId w:val="43"/>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Рейтинг социально-экономического положения субъектов РФ. Итоги 2011-2015 гг.  [Электронный ресурс] / Материалы официального сайта рейтингового агентства «РИА Рейтинг». – Электрон. дан. – Режим доступа: http://vid1.rian.ru/ig/ratings/rating_regions_2011-2015.pdf/(дата обращения 02.04.2018).</w:t>
      </w:r>
    </w:p>
    <w:p w14:paraId="1A15B557" w14:textId="77777777" w:rsidR="006A10F6" w:rsidRPr="002F08F2" w:rsidRDefault="006A10F6" w:rsidP="00202D58">
      <w:pPr>
        <w:numPr>
          <w:ilvl w:val="0"/>
          <w:numId w:val="43"/>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Распределение дотаций на выравнивание бюджетной обеспеченности субъектов Российской Федерации на 2017 год и плановый период 2018 и 2019 годов [Электронный ресурс] / Материалы официального сайта Министерства финансов Российской Федерации. – Электрон. дан. – Режим доступа: </w:t>
      </w:r>
      <w:hyperlink r:id="rId115" w:history="1">
        <w:r w:rsidRPr="002F08F2">
          <w:rPr>
            <w:rFonts w:ascii="Times New Roman" w:eastAsia="Times New Roman" w:hAnsi="Times New Roman" w:cs="Times New Roman"/>
            <w:sz w:val="24"/>
            <w:szCs w:val="24"/>
          </w:rPr>
          <w:t>http://minfin.ru/ru/document/?id_4=116794/</w:t>
        </w:r>
      </w:hyperlink>
      <w:r w:rsidRPr="002F08F2">
        <w:rPr>
          <w:rFonts w:ascii="Times New Roman" w:eastAsia="Times New Roman" w:hAnsi="Times New Roman" w:cs="Times New Roman"/>
          <w:sz w:val="24"/>
          <w:szCs w:val="24"/>
          <w:lang w:eastAsia="ru-RU"/>
        </w:rPr>
        <w:t>(дата обращения 02.04.2018).</w:t>
      </w:r>
    </w:p>
    <w:p w14:paraId="59CA3B16" w14:textId="77777777" w:rsidR="006A10F6" w:rsidRDefault="006A10F6" w:rsidP="006A10F6">
      <w:pPr>
        <w:spacing w:line="240" w:lineRule="auto"/>
        <w:jc w:val="both"/>
        <w:rPr>
          <w:rFonts w:ascii="Times New Roman" w:hAnsi="Times New Roman"/>
          <w:color w:val="000000" w:themeColor="text1"/>
          <w:sz w:val="24"/>
          <w:szCs w:val="24"/>
        </w:rPr>
      </w:pPr>
    </w:p>
    <w:p w14:paraId="5CF92296" w14:textId="77777777" w:rsidR="002F08F2" w:rsidRDefault="002F08F2" w:rsidP="006A10F6">
      <w:pPr>
        <w:spacing w:line="240" w:lineRule="auto"/>
        <w:jc w:val="both"/>
        <w:rPr>
          <w:rFonts w:ascii="Times New Roman" w:hAnsi="Times New Roman" w:cs="Times New Roman"/>
          <w:b/>
          <w:color w:val="000000" w:themeColor="text1"/>
          <w:sz w:val="24"/>
          <w:szCs w:val="24"/>
        </w:rPr>
      </w:pPr>
    </w:p>
    <w:p w14:paraId="576DCEF2" w14:textId="77777777" w:rsidR="006A10F6" w:rsidRPr="002F08F2" w:rsidRDefault="006A10F6" w:rsidP="006A10F6">
      <w:pPr>
        <w:spacing w:line="240" w:lineRule="auto"/>
        <w:jc w:val="both"/>
        <w:rPr>
          <w:rFonts w:ascii="Times New Roman" w:hAnsi="Times New Roman" w:cs="Times New Roman"/>
          <w:b/>
          <w:color w:val="000000" w:themeColor="text1"/>
          <w:sz w:val="24"/>
          <w:szCs w:val="24"/>
        </w:rPr>
      </w:pPr>
      <w:r w:rsidRPr="002F08F2">
        <w:rPr>
          <w:rFonts w:ascii="Times New Roman" w:hAnsi="Times New Roman" w:cs="Times New Roman"/>
          <w:b/>
          <w:color w:val="000000" w:themeColor="text1"/>
          <w:sz w:val="24"/>
          <w:szCs w:val="24"/>
        </w:rPr>
        <w:lastRenderedPageBreak/>
        <w:t>Рубрика: Облигации. Долговые обязательства</w:t>
      </w:r>
    </w:p>
    <w:p w14:paraId="31B00607" w14:textId="77777777" w:rsidR="006A10F6" w:rsidRPr="002F08F2" w:rsidRDefault="006A10F6" w:rsidP="006A10F6">
      <w:pPr>
        <w:spacing w:line="240" w:lineRule="auto"/>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УДК 336.763.3</w:t>
      </w:r>
    </w:p>
    <w:p w14:paraId="7E1A1191" w14:textId="77777777" w:rsidR="006A10F6" w:rsidRPr="002F08F2" w:rsidRDefault="00667197" w:rsidP="006A10F6">
      <w:pPr>
        <w:spacing w:line="240" w:lineRule="auto"/>
        <w:ind w:firstLine="709"/>
        <w:jc w:val="center"/>
        <w:rPr>
          <w:rFonts w:ascii="Times New Roman" w:hAnsi="Times New Roman" w:cs="Times New Roman"/>
          <w:color w:val="000000" w:themeColor="text1"/>
          <w:sz w:val="24"/>
          <w:szCs w:val="24"/>
        </w:rPr>
      </w:pPr>
      <w:r w:rsidRPr="002F08F2">
        <w:rPr>
          <w:rFonts w:ascii="Times New Roman" w:hAnsi="Times New Roman" w:cs="Times New Roman"/>
          <w:b/>
          <w:color w:val="000000" w:themeColor="text1"/>
          <w:sz w:val="24"/>
          <w:szCs w:val="24"/>
        </w:rPr>
        <w:t>РАЗВИТИЕ РЫНКА ОБЛИГАЦИЙ В РОССИИ: ПРОБЛЕМЫ И ПЕРСПЕКТИВЫ</w:t>
      </w:r>
    </w:p>
    <w:p w14:paraId="0D68EF79" w14:textId="77777777" w:rsidR="006A10F6" w:rsidRPr="002F08F2" w:rsidRDefault="006A10F6" w:rsidP="00667197">
      <w:pPr>
        <w:spacing w:after="0" w:line="240" w:lineRule="auto"/>
        <w:ind w:firstLine="709"/>
        <w:jc w:val="center"/>
        <w:rPr>
          <w:rFonts w:ascii="Times New Roman" w:hAnsi="Times New Roman" w:cs="Times New Roman"/>
          <w:b/>
          <w:color w:val="000000" w:themeColor="text1"/>
          <w:sz w:val="24"/>
          <w:szCs w:val="24"/>
        </w:rPr>
      </w:pPr>
      <w:r w:rsidRPr="002F08F2">
        <w:rPr>
          <w:rFonts w:ascii="Times New Roman" w:hAnsi="Times New Roman" w:cs="Times New Roman"/>
          <w:b/>
          <w:color w:val="000000" w:themeColor="text1"/>
          <w:sz w:val="24"/>
          <w:szCs w:val="24"/>
        </w:rPr>
        <w:t>Пустоваров Артем Андреевич,</w:t>
      </w:r>
    </w:p>
    <w:p w14:paraId="6FEC564E" w14:textId="77777777" w:rsidR="006A10F6" w:rsidRPr="002F08F2" w:rsidRDefault="006A10F6" w:rsidP="00667197">
      <w:pPr>
        <w:spacing w:after="0" w:line="240" w:lineRule="auto"/>
        <w:ind w:firstLine="709"/>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бакалавр, 2 курс</w:t>
      </w:r>
    </w:p>
    <w:p w14:paraId="3BCBCB4C" w14:textId="77777777" w:rsidR="00667197" w:rsidRPr="002F08F2" w:rsidRDefault="00667197" w:rsidP="00667197">
      <w:pPr>
        <w:spacing w:after="0" w:line="240" w:lineRule="auto"/>
        <w:ind w:firstLine="709"/>
        <w:jc w:val="center"/>
        <w:rPr>
          <w:rFonts w:ascii="Times New Roman" w:hAnsi="Times New Roman" w:cs="Times New Roman"/>
          <w:color w:val="000000" w:themeColor="text1"/>
          <w:sz w:val="24"/>
          <w:szCs w:val="24"/>
        </w:rPr>
      </w:pPr>
    </w:p>
    <w:p w14:paraId="2A8E71D7" w14:textId="77777777" w:rsidR="006A10F6" w:rsidRPr="002F08F2" w:rsidRDefault="006A10F6" w:rsidP="00667197">
      <w:pPr>
        <w:spacing w:after="0" w:line="240" w:lineRule="auto"/>
        <w:ind w:firstLine="709"/>
        <w:jc w:val="center"/>
        <w:rPr>
          <w:rFonts w:ascii="Times New Roman" w:hAnsi="Times New Roman" w:cs="Times New Roman"/>
          <w:i/>
          <w:color w:val="000000" w:themeColor="text1"/>
          <w:sz w:val="24"/>
          <w:szCs w:val="24"/>
        </w:rPr>
      </w:pPr>
      <w:r w:rsidRPr="002F08F2">
        <w:rPr>
          <w:rFonts w:ascii="Times New Roman" w:hAnsi="Times New Roman" w:cs="Times New Roman"/>
          <w:i/>
          <w:color w:val="000000" w:themeColor="text1"/>
          <w:sz w:val="24"/>
          <w:szCs w:val="24"/>
        </w:rPr>
        <w:t>Владивостокский государственный университет экономики и сервиса</w:t>
      </w:r>
    </w:p>
    <w:p w14:paraId="24CE766E" w14:textId="77777777" w:rsidR="006A10F6" w:rsidRPr="002F08F2" w:rsidRDefault="006A10F6" w:rsidP="00667197">
      <w:pPr>
        <w:spacing w:after="0" w:line="240" w:lineRule="auto"/>
        <w:ind w:firstLine="709"/>
        <w:jc w:val="center"/>
        <w:rPr>
          <w:rFonts w:ascii="Times New Roman" w:hAnsi="Times New Roman" w:cs="Times New Roman"/>
          <w:i/>
          <w:color w:val="000000" w:themeColor="text1"/>
          <w:sz w:val="24"/>
          <w:szCs w:val="24"/>
        </w:rPr>
      </w:pPr>
      <w:r w:rsidRPr="002F08F2">
        <w:rPr>
          <w:rFonts w:ascii="Times New Roman" w:hAnsi="Times New Roman" w:cs="Times New Roman"/>
          <w:i/>
          <w:color w:val="000000" w:themeColor="text1"/>
          <w:sz w:val="24"/>
          <w:szCs w:val="24"/>
        </w:rPr>
        <w:t>Россия. Владивосток</w:t>
      </w:r>
    </w:p>
    <w:p w14:paraId="5B48A671" w14:textId="77777777" w:rsidR="00667197" w:rsidRPr="002F08F2" w:rsidRDefault="00667197" w:rsidP="00667197">
      <w:pPr>
        <w:spacing w:after="0" w:line="240" w:lineRule="auto"/>
        <w:ind w:firstLine="709"/>
        <w:jc w:val="center"/>
        <w:rPr>
          <w:rFonts w:ascii="Times New Roman" w:hAnsi="Times New Roman" w:cs="Times New Roman"/>
          <w:i/>
          <w:color w:val="000000" w:themeColor="text1"/>
          <w:sz w:val="24"/>
          <w:szCs w:val="24"/>
        </w:rPr>
      </w:pPr>
    </w:p>
    <w:p w14:paraId="6CB22271" w14:textId="77777777" w:rsidR="006A10F6" w:rsidRPr="007E1000" w:rsidRDefault="006A10F6" w:rsidP="00667197">
      <w:pPr>
        <w:shd w:val="clear" w:color="auto" w:fill="FFFFFF"/>
        <w:spacing w:after="0" w:line="240" w:lineRule="auto"/>
        <w:jc w:val="center"/>
        <w:rPr>
          <w:rFonts w:ascii="Times New Roman" w:hAnsi="Times New Roman" w:cs="Times New Roman"/>
          <w:sz w:val="24"/>
          <w:szCs w:val="24"/>
        </w:rPr>
      </w:pPr>
      <w:r w:rsidRPr="002F08F2">
        <w:rPr>
          <w:rFonts w:ascii="Times New Roman" w:hAnsi="Times New Roman" w:cs="Times New Roman"/>
          <w:sz w:val="24"/>
          <w:szCs w:val="24"/>
          <w:lang w:val="en-US"/>
        </w:rPr>
        <w:t>E</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mail</w:t>
      </w:r>
      <w:r w:rsidRPr="007E1000">
        <w:rPr>
          <w:rFonts w:ascii="Times New Roman" w:hAnsi="Times New Roman" w:cs="Times New Roman"/>
          <w:sz w:val="24"/>
          <w:szCs w:val="24"/>
        </w:rPr>
        <w:t xml:space="preserve">: </w:t>
      </w:r>
      <w:r w:rsidRPr="002F08F2">
        <w:rPr>
          <w:rFonts w:ascii="Times New Roman" w:hAnsi="Times New Roman" w:cs="Times New Roman"/>
          <w:sz w:val="24"/>
          <w:szCs w:val="24"/>
          <w:lang w:val="en-US"/>
        </w:rPr>
        <w:t>Artem</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Pustovarov</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vvsu</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ru</w:t>
      </w:r>
      <w:r w:rsidRPr="007E1000">
        <w:rPr>
          <w:rFonts w:ascii="Times New Roman" w:hAnsi="Times New Roman" w:cs="Times New Roman"/>
          <w:sz w:val="24"/>
          <w:szCs w:val="24"/>
        </w:rPr>
        <w:t xml:space="preserve">; </w:t>
      </w:r>
      <w:r w:rsidRPr="002F08F2">
        <w:rPr>
          <w:rFonts w:ascii="Times New Roman" w:hAnsi="Times New Roman" w:cs="Times New Roman"/>
          <w:sz w:val="24"/>
          <w:szCs w:val="24"/>
        </w:rPr>
        <w:t>тел</w:t>
      </w:r>
      <w:r w:rsidRPr="007E1000">
        <w:rPr>
          <w:rFonts w:ascii="Times New Roman" w:hAnsi="Times New Roman" w:cs="Times New Roman"/>
          <w:sz w:val="24"/>
          <w:szCs w:val="24"/>
        </w:rPr>
        <w:t>.: +79532273820</w:t>
      </w:r>
    </w:p>
    <w:p w14:paraId="28FD4D2B" w14:textId="77777777" w:rsidR="006A10F6" w:rsidRPr="002F08F2" w:rsidRDefault="630840AF" w:rsidP="630840AF">
      <w:pPr>
        <w:shd w:val="clear" w:color="auto" w:fill="FFFFFF" w:themeFill="background1"/>
        <w:spacing w:after="0" w:line="240" w:lineRule="auto"/>
        <w:jc w:val="center"/>
        <w:rPr>
          <w:rFonts w:ascii="Times New Roman" w:hAnsi="Times New Roman" w:cs="Times New Roman"/>
          <w:sz w:val="24"/>
          <w:szCs w:val="24"/>
        </w:rPr>
      </w:pPr>
      <w:r w:rsidRPr="630840AF">
        <w:rPr>
          <w:rFonts w:ascii="Times New Roman" w:hAnsi="Times New Roman" w:cs="Times New Roman"/>
          <w:sz w:val="24"/>
          <w:szCs w:val="24"/>
        </w:rPr>
        <w:t>ул. Гоголя, 41, г. Владивосток, Приморский край, Россия, 690014</w:t>
      </w:r>
    </w:p>
    <w:p w14:paraId="675380AA" w14:textId="77777777" w:rsidR="006A10F6" w:rsidRPr="002F08F2" w:rsidRDefault="006A10F6" w:rsidP="006A10F6">
      <w:pPr>
        <w:shd w:val="clear" w:color="auto" w:fill="FFFFFF"/>
        <w:spacing w:after="0" w:line="360" w:lineRule="auto"/>
        <w:jc w:val="center"/>
        <w:rPr>
          <w:rFonts w:ascii="Times New Roman" w:hAnsi="Times New Roman" w:cs="Times New Roman"/>
          <w:sz w:val="24"/>
          <w:szCs w:val="24"/>
        </w:rPr>
      </w:pPr>
    </w:p>
    <w:p w14:paraId="7C922E6E" w14:textId="77777777" w:rsidR="002F08F2" w:rsidRPr="0047795F" w:rsidRDefault="006A10F6" w:rsidP="0047795F">
      <w:pPr>
        <w:spacing w:after="0" w:line="240" w:lineRule="auto"/>
        <w:ind w:firstLine="709"/>
        <w:jc w:val="both"/>
        <w:rPr>
          <w:rFonts w:ascii="Times New Roman" w:hAnsi="Times New Roman" w:cs="Times New Roman"/>
          <w:i/>
          <w:color w:val="000000" w:themeColor="text1"/>
          <w:sz w:val="24"/>
          <w:szCs w:val="24"/>
        </w:rPr>
      </w:pPr>
      <w:r w:rsidRPr="002F08F2">
        <w:rPr>
          <w:rFonts w:ascii="Times New Roman" w:hAnsi="Times New Roman" w:cs="Times New Roman"/>
          <w:i/>
          <w:color w:val="000000" w:themeColor="text1"/>
          <w:sz w:val="24"/>
          <w:szCs w:val="24"/>
        </w:rPr>
        <w:t>В работе рассмотрен рынок облигаций Российской Федерации в аспектах инвестирования и получения дохода инвесторами и привлечения ликвидности эмитентами. В контексте выхода с инвестициями на этот рынок рассмотрены факторы, стимулирующие инвесторов выходить на рынок облигаций, определен круг проблем, с которыми они сталкиваются, а также способы их решения, на примере официальных статистических данных показано влияние финансовой грамотности населения на развитие рынка ценных бумаг. Рассмот</w:t>
      </w:r>
      <w:r w:rsidR="00667197" w:rsidRPr="002F08F2">
        <w:rPr>
          <w:rFonts w:ascii="Times New Roman" w:hAnsi="Times New Roman" w:cs="Times New Roman"/>
          <w:i/>
          <w:color w:val="000000" w:themeColor="text1"/>
          <w:sz w:val="24"/>
          <w:szCs w:val="24"/>
        </w:rPr>
        <w:t>рена степень выгодности использо</w:t>
      </w:r>
      <w:r w:rsidRPr="002F08F2">
        <w:rPr>
          <w:rFonts w:ascii="Times New Roman" w:hAnsi="Times New Roman" w:cs="Times New Roman"/>
          <w:i/>
          <w:color w:val="000000" w:themeColor="text1"/>
          <w:sz w:val="24"/>
          <w:szCs w:val="24"/>
        </w:rPr>
        <w:t>вания фирмами облигаций с точки зрения раз</w:t>
      </w:r>
      <w:r w:rsidR="0047795F">
        <w:rPr>
          <w:rFonts w:ascii="Times New Roman" w:hAnsi="Times New Roman" w:cs="Times New Roman"/>
          <w:i/>
          <w:color w:val="000000" w:themeColor="text1"/>
          <w:sz w:val="24"/>
          <w:szCs w:val="24"/>
        </w:rPr>
        <w:t xml:space="preserve">мещения и регистрации выпуска. </w:t>
      </w:r>
    </w:p>
    <w:p w14:paraId="65C8A2DD" w14:textId="77777777" w:rsidR="006A10F6" w:rsidRPr="002F08F2" w:rsidRDefault="006A10F6" w:rsidP="00667197">
      <w:pPr>
        <w:spacing w:after="0" w:line="240" w:lineRule="auto"/>
        <w:ind w:firstLine="709"/>
        <w:jc w:val="both"/>
        <w:rPr>
          <w:rFonts w:ascii="Times New Roman" w:hAnsi="Times New Roman" w:cs="Times New Roman"/>
          <w:i/>
          <w:color w:val="000000" w:themeColor="text1"/>
          <w:sz w:val="24"/>
          <w:szCs w:val="24"/>
        </w:rPr>
      </w:pPr>
      <w:r w:rsidRPr="002F08F2">
        <w:rPr>
          <w:rFonts w:ascii="Times New Roman" w:hAnsi="Times New Roman" w:cs="Times New Roman"/>
          <w:b/>
          <w:i/>
          <w:color w:val="000000" w:themeColor="text1"/>
          <w:sz w:val="24"/>
          <w:szCs w:val="24"/>
        </w:rPr>
        <w:t>Ключевые слова и словосочетания:</w:t>
      </w:r>
      <w:r w:rsidRPr="002F08F2">
        <w:rPr>
          <w:rFonts w:ascii="Times New Roman" w:hAnsi="Times New Roman" w:cs="Times New Roman"/>
          <w:i/>
          <w:color w:val="000000" w:themeColor="text1"/>
          <w:sz w:val="24"/>
          <w:szCs w:val="24"/>
        </w:rPr>
        <w:t xml:space="preserve"> рынок облигаций, коммерческие облигации, биржевые облигации, корпоративные облигации, государственные облигации, ценные бумаги, эмитент, эмиссия, брокер, инвестиции, долговой рынок, привлечение капитала.</w:t>
      </w:r>
    </w:p>
    <w:p w14:paraId="2D830042" w14:textId="77777777" w:rsidR="00667197" w:rsidRPr="002F08F2" w:rsidRDefault="00667197" w:rsidP="006A10F6">
      <w:pPr>
        <w:spacing w:line="240" w:lineRule="auto"/>
        <w:ind w:firstLine="709"/>
        <w:jc w:val="center"/>
        <w:rPr>
          <w:rFonts w:ascii="Times New Roman" w:hAnsi="Times New Roman" w:cs="Times New Roman"/>
          <w:b/>
          <w:color w:val="000000" w:themeColor="text1"/>
          <w:sz w:val="24"/>
          <w:szCs w:val="24"/>
        </w:rPr>
      </w:pPr>
    </w:p>
    <w:p w14:paraId="3AACF170" w14:textId="77777777" w:rsidR="006A10F6" w:rsidRPr="002F08F2" w:rsidRDefault="00667197" w:rsidP="006A10F6">
      <w:pPr>
        <w:spacing w:line="240" w:lineRule="auto"/>
        <w:ind w:firstLine="709"/>
        <w:jc w:val="center"/>
        <w:rPr>
          <w:rFonts w:ascii="Times New Roman" w:hAnsi="Times New Roman" w:cs="Times New Roman"/>
          <w:b/>
          <w:color w:val="000000" w:themeColor="text1"/>
          <w:sz w:val="24"/>
          <w:szCs w:val="24"/>
          <w:lang w:val="en-US"/>
        </w:rPr>
      </w:pPr>
      <w:r w:rsidRPr="002F08F2">
        <w:rPr>
          <w:rFonts w:ascii="Times New Roman" w:hAnsi="Times New Roman" w:cs="Times New Roman"/>
          <w:b/>
          <w:color w:val="000000" w:themeColor="text1"/>
          <w:sz w:val="24"/>
          <w:szCs w:val="24"/>
          <w:lang w:val="en-US"/>
        </w:rPr>
        <w:t>THE EVOLUTION OF THE RUSSIAN BOND MARKET. PROBLEMS AND PROSPECTS.</w:t>
      </w:r>
    </w:p>
    <w:p w14:paraId="30F72A10" w14:textId="77777777" w:rsidR="002F08F2" w:rsidRPr="0047795F" w:rsidRDefault="006A10F6" w:rsidP="0047795F">
      <w:pPr>
        <w:spacing w:after="0" w:line="240" w:lineRule="auto"/>
        <w:ind w:firstLine="709"/>
        <w:jc w:val="both"/>
        <w:rPr>
          <w:rFonts w:ascii="Times New Roman" w:hAnsi="Times New Roman" w:cs="Times New Roman"/>
          <w:i/>
          <w:color w:val="000000" w:themeColor="text1"/>
          <w:sz w:val="24"/>
          <w:szCs w:val="24"/>
          <w:shd w:val="clear" w:color="auto" w:fill="FFFFFF"/>
          <w:lang w:val="en-US"/>
        </w:rPr>
      </w:pPr>
      <w:r w:rsidRPr="002F08F2">
        <w:rPr>
          <w:rFonts w:ascii="Times New Roman" w:hAnsi="Times New Roman" w:cs="Times New Roman"/>
          <w:i/>
          <w:color w:val="000000" w:themeColor="text1"/>
          <w:sz w:val="24"/>
          <w:szCs w:val="24"/>
          <w:shd w:val="clear" w:color="auto" w:fill="FFFFFF"/>
          <w:lang w:val="en-US"/>
        </w:rPr>
        <w:t>In work bond market of the Russian Federation in aspects of receiving income by investors and attraction of the capital by issuers is analysed. In the context of an exit with investments to this market the factors stimulating investors are considered to enter bond market, the existing circle of problems and ways of their decision is defined. On the example of official statistical data influence of financial literacy of the population on development of securities market is shown. Degree of advantage of use of bonds by firms from the point of view of placement and registr</w:t>
      </w:r>
      <w:r w:rsidR="0047795F">
        <w:rPr>
          <w:rFonts w:ascii="Times New Roman" w:hAnsi="Times New Roman" w:cs="Times New Roman"/>
          <w:i/>
          <w:color w:val="000000" w:themeColor="text1"/>
          <w:sz w:val="24"/>
          <w:szCs w:val="24"/>
          <w:shd w:val="clear" w:color="auto" w:fill="FFFFFF"/>
          <w:lang w:val="en-US"/>
        </w:rPr>
        <w:t>ation of release is considered.</w:t>
      </w:r>
    </w:p>
    <w:p w14:paraId="5AA0CC07" w14:textId="77777777" w:rsidR="006A10F6" w:rsidRPr="002F08F2" w:rsidRDefault="006A10F6" w:rsidP="004F56F3">
      <w:pPr>
        <w:spacing w:after="0" w:line="240" w:lineRule="auto"/>
        <w:ind w:firstLine="709"/>
        <w:jc w:val="both"/>
        <w:rPr>
          <w:rFonts w:ascii="Times New Roman" w:hAnsi="Times New Roman" w:cs="Times New Roman"/>
          <w:i/>
          <w:color w:val="000000" w:themeColor="text1"/>
          <w:sz w:val="24"/>
          <w:szCs w:val="24"/>
          <w:shd w:val="clear" w:color="auto" w:fill="FFFFFF"/>
          <w:lang w:val="en-US"/>
        </w:rPr>
      </w:pPr>
      <w:r w:rsidRPr="002F08F2">
        <w:rPr>
          <w:rFonts w:ascii="Times New Roman" w:hAnsi="Times New Roman" w:cs="Times New Roman"/>
          <w:b/>
          <w:i/>
          <w:color w:val="000000" w:themeColor="text1"/>
          <w:sz w:val="24"/>
          <w:szCs w:val="24"/>
          <w:shd w:val="clear" w:color="auto" w:fill="FFFFFF"/>
          <w:lang w:val="en-US"/>
        </w:rPr>
        <w:t>Keywords:</w:t>
      </w:r>
      <w:r w:rsidRPr="002F08F2">
        <w:rPr>
          <w:rFonts w:ascii="Times New Roman" w:hAnsi="Times New Roman" w:cs="Times New Roman"/>
          <w:i/>
          <w:color w:val="000000" w:themeColor="text1"/>
          <w:sz w:val="24"/>
          <w:szCs w:val="24"/>
          <w:shd w:val="clear" w:color="auto" w:fill="FFFFFF"/>
          <w:lang w:val="en-US"/>
        </w:rPr>
        <w:t xml:space="preserve"> bond market, commercial papers, exchange-traded bonds, corporate bonds, government bonds, securities, issuer, emission, broker, investment, debt market, capital raisingt. </w:t>
      </w:r>
    </w:p>
    <w:p w14:paraId="46CCE917" w14:textId="77777777" w:rsidR="004F56F3" w:rsidRPr="002F08F2" w:rsidRDefault="004F56F3" w:rsidP="006A10F6">
      <w:pPr>
        <w:spacing w:after="0" w:line="240" w:lineRule="auto"/>
        <w:ind w:firstLine="709"/>
        <w:jc w:val="both"/>
        <w:rPr>
          <w:rFonts w:ascii="Times New Roman" w:hAnsi="Times New Roman" w:cs="Times New Roman"/>
          <w:color w:val="000000" w:themeColor="text1"/>
          <w:sz w:val="24"/>
          <w:szCs w:val="24"/>
          <w:lang w:val="en-US"/>
        </w:rPr>
      </w:pPr>
    </w:p>
    <w:p w14:paraId="0D0A58F3"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Цель данной работы есть методичное изучение проблем и перспектив развития рынка облигаций нашей страны. Изучение проблем развития этого рынка является далеко непростой и многоэтапной работой. Есть необходимость в формулировании макроэкономических факторов, оказывающих разностороннее влияние на размеры выпуска ценных бумаг. Для решения поставленной задачи необходимо провести анализ динамики привлечения капитала по каждой категории облигаций. </w:t>
      </w:r>
    </w:p>
    <w:p w14:paraId="780E1620"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Одной из важных задач настоящего исследования также является исследование спроса на облигации посредством анализа налогообложения в это сфере и изучения причин роста интереса инвесторов к данному классу финансовых активов.</w:t>
      </w:r>
    </w:p>
    <w:p w14:paraId="66987911"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Роль облигаций как инструмента, позволяющего финансировать компании без права участия в их делах, на финансовом рынке России невелика и с годами растет. Рынок </w:t>
      </w:r>
      <w:r w:rsidRPr="002F08F2">
        <w:rPr>
          <w:rFonts w:ascii="Times New Roman" w:hAnsi="Times New Roman" w:cs="Times New Roman"/>
          <w:color w:val="000000" w:themeColor="text1"/>
          <w:sz w:val="24"/>
          <w:szCs w:val="24"/>
        </w:rPr>
        <w:lastRenderedPageBreak/>
        <w:t>облигаций динамичен и котировки достаточно быстро реагируют под влиянием спекуляций, влиянием внешней среды и динамикой ключевой ставки. Облигации как способ привлечения ликвидности являются альтернативой банковскому кредитованию, поэтому в условиях необходимости расширения спектра инструментов привлечения финансирования компаниями и снижения стоимости заимствований актуально рассмотрение аспектов развития рынка этих бумаг.</w:t>
      </w:r>
    </w:p>
    <w:p w14:paraId="65087D61"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Одним из векторов преобразований финансовой системы государства Центробанком на 2016-2018 гг. является стимулирование перехода экономических субъектов от дорогих банковских и бесплатных кредитов Министерства финансов на заимствования на рынке публичного долга для решения приоритетной задачи - развития финансового рынка страны [1]. Необходимо отметить, что увеличение выхода частных инвесторов и компаний позволит более сбалансировано перераспределить ресурсы в экономике. Конечно, фондовый рынок России значительно уступает многим развитым и развивающимся странам и это дает повод говорить о догоняющем характере развития.</w:t>
      </w:r>
    </w:p>
    <w:p w14:paraId="07088AA3"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В условиях современных реалий облигации являются более приемлемым инструментом финансирования, чем банковский кредит, для компаний с хорошей кредитной историей и гудвиллом и дополнительной возможностью для расширения круга инвесторов как за счет средств финансовых институциональных инвесторов, так и накоплений физических лиц. На данное время основу рынка публичного долга составляют размещаемые на бирже корпоративные облигации крупных компаний. В динамике просматривается рост объема рынка публичного долга и доли в нем корпоративных облигаций. Объем рынка заимствований в России на 1 января 2016 года составил 7,47 трлн рублей (Рисунок 1). К 1 января 2017 года он вырос на 1,44 трлн. рублей (19,3%), а уже к 1 сентября его объем составил 10,3 трлн рублей (115,6% относительно объема на 1 января 2017 года и 137,9% от объема на 1 января 2016 года). Изменение объема рынка произошло не только за счет выпуска дополнительных бумаг, но выхода на рынок новых участников: количество эмитентов в период с 1 января 2016 по 1 сентября 2017 увеличилось с 376 до 402 [2].</w:t>
      </w:r>
    </w:p>
    <w:p w14:paraId="70D96B49" w14:textId="77777777" w:rsidR="006A10F6" w:rsidRPr="002F08F2" w:rsidRDefault="006A10F6" w:rsidP="006A10F6">
      <w:pPr>
        <w:spacing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noProof/>
          <w:color w:val="000000" w:themeColor="text1"/>
          <w:sz w:val="24"/>
          <w:szCs w:val="24"/>
          <w:lang w:eastAsia="ru-RU"/>
        </w:rPr>
        <w:drawing>
          <wp:inline distT="0" distB="0" distL="0" distR="0" wp14:anchorId="4B8912BA" wp14:editId="07777777">
            <wp:extent cx="5499100" cy="321310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14742B0B" w14:textId="77777777" w:rsidR="006A10F6" w:rsidRPr="002F08F2" w:rsidRDefault="006A10F6" w:rsidP="006A10F6">
      <w:pPr>
        <w:spacing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Рисунок 1. Корпоративные облигации в общем объеме заимствований [2]</w:t>
      </w:r>
    </w:p>
    <w:p w14:paraId="26D02F63" w14:textId="77777777" w:rsidR="006A10F6" w:rsidRPr="002F08F2" w:rsidRDefault="006A10F6" w:rsidP="006A10F6">
      <w:pPr>
        <w:spacing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Выход с займом на рынок облигаций могут позволить себе только большие компании, размещаемый долг которых будет исчисляться миллионами рублей. Но переход этих компаний сделает более привлекательным для банков в новых условиях, когда останется много меньше крупных должников, интенсивное и гибкое в условиях кредитование малого и среднего бизнеса. Этой тенденции способствует увеличение устойчивости банковского </w:t>
      </w:r>
      <w:r w:rsidRPr="002F08F2">
        <w:rPr>
          <w:rFonts w:ascii="Times New Roman" w:hAnsi="Times New Roman" w:cs="Times New Roman"/>
          <w:color w:val="000000" w:themeColor="text1"/>
          <w:sz w:val="24"/>
          <w:szCs w:val="24"/>
        </w:rPr>
        <w:lastRenderedPageBreak/>
        <w:t>сектора за счет отзыва лицензий и перераспределения клиентов рынка банковских услуг к его финансово устойчивым участникам. В условиях притока дополнительной ликвидности за счет этих факторов и оттока крупных заемщиков банки вынуждены будут идти на увеличение разделения рисков, связанных с особенностями бизнеса их клиентов, и снижение ставки кредитования не только юридических, но и физических лиц. Сейчас процедура выпуска становится более удобной. Упрощенно процедура регистрации представлена на рисунке 2.</w:t>
      </w:r>
      <w:r w:rsidRPr="002F08F2">
        <w:rPr>
          <w:rFonts w:ascii="Times New Roman" w:hAnsi="Times New Roman" w:cs="Times New Roman"/>
          <w:noProof/>
          <w:color w:val="000000" w:themeColor="text1"/>
          <w:sz w:val="24"/>
          <w:szCs w:val="24"/>
          <w:lang w:eastAsia="ru-RU"/>
        </w:rPr>
        <w:drawing>
          <wp:inline distT="0" distB="0" distL="0" distR="0" wp14:anchorId="57F05720" wp14:editId="07777777">
            <wp:extent cx="6120130" cy="2870391"/>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11Пустоваров_Облигации.pptx.jpg"/>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6120130" cy="2870391"/>
                    </a:xfrm>
                    <a:prstGeom prst="rect">
                      <a:avLst/>
                    </a:prstGeom>
                  </pic:spPr>
                </pic:pic>
              </a:graphicData>
            </a:graphic>
          </wp:inline>
        </w:drawing>
      </w:r>
    </w:p>
    <w:p w14:paraId="51F7E89F" w14:textId="77777777" w:rsidR="006A10F6" w:rsidRPr="002F08F2" w:rsidRDefault="006A10F6" w:rsidP="006A10F6">
      <w:pPr>
        <w:spacing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Рисунок 2. Схема ускоренного механизма регистрации выпуска корпоративных облигаций</w:t>
      </w:r>
    </w:p>
    <w:p w14:paraId="3F2FA01A"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Развитие фондового рынка во многом связано со спросом на его продукты, поэтому важно учитывать и активность частных инвесторов. Объем вложений не очень большой и оставляет надежды на увеличение. На рисунке 3 представлен размер накоплений населения на начало месяца без учета вкладов на валютных счетах и наличности в иностранной валюте по предварительным данным Росстата. Причиной этому является невысокий уровень финансовой грамотности потенциальных инвесторов. </w:t>
      </w:r>
    </w:p>
    <w:p w14:paraId="6D0F9CED"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Так, согласно исследованиям, опубликованным Министерством финансов в июне 2017 года, в 2015 году только 32% опрошенных россиян трудоспособного возраста понимают важность формирования накоплений и наличия финансовых запасов на случай внезапных жизненных ситуаций, 44% понимают личную ответственность за понесенные потери на финансовых рынках, 14% в целом справились с базовым тестом по финансовой арифметике, 64% осознают соотношение «риск-вознаграждение» при выборе финансового продукта [4]. </w:t>
      </w:r>
    </w:p>
    <w:p w14:paraId="2835EADE"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Исследование проводилось в течение в течение 3 лет с 2012 года, по ряду позиций исследования не было значительных изменений в динамике. Исходя из этого, можно предположить, что значение этих процентов объясняет и спустя 2 года практически неизменную долю ценных бумаг в денежных накоплениях населения.</w:t>
      </w:r>
    </w:p>
    <w:p w14:paraId="40700922"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Целесообразно вести работу по упрощению выхода на фондовый рынок, увеличению доступности финансовых инструментов для людей среднего и низкого уровня достатка. В этом плане флагманом развития выступает рынок брокерских услуг. Различные интернет-магазины с простым интерфейсом и доступной информацией о ценных бумагах позволяют любому человеку стать обладателем ценной бумаги.</w:t>
      </w:r>
    </w:p>
    <w:p w14:paraId="162343FA" w14:textId="77777777" w:rsidR="006A10F6" w:rsidRPr="002F08F2" w:rsidRDefault="006A10F6" w:rsidP="006A10F6">
      <w:pPr>
        <w:spacing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noProof/>
          <w:color w:val="000000" w:themeColor="text1"/>
          <w:sz w:val="24"/>
          <w:szCs w:val="24"/>
          <w:lang w:eastAsia="ru-RU"/>
        </w:rPr>
        <w:lastRenderedPageBreak/>
        <w:drawing>
          <wp:inline distT="0" distB="0" distL="0" distR="0" wp14:anchorId="5F01B8EF" wp14:editId="07777777">
            <wp:extent cx="5499100" cy="321310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4AD7221E" w14:textId="77777777" w:rsidR="006A10F6" w:rsidRPr="002F08F2" w:rsidRDefault="006A10F6" w:rsidP="006A10F6">
      <w:pPr>
        <w:spacing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Рисунок 3. Объем и состав денежных накоплений населения [3]</w:t>
      </w:r>
    </w:p>
    <w:p w14:paraId="765AD306"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Интерес населения на подобного рода проектам связан со снижающимися ставками по вкладам на депозиты, освобождением от уплаты НДФЛ по купонному доходу с облигаций отечественных эмитентов, которые выпущены в течение трех лет с января 2017 года, а также налоговыми льготами в рамках ИИС. Но на рынке облигаций для населения больше рисков: эти вложения государством не застрахованы. Перед человеком будет стоять необходимость узнать гудвилл и рейтинг кредитоспособности эмитента, а также выяснить степень устойчивости финансового посредника (брокера или банка) и размер его комиссий.</w:t>
      </w:r>
    </w:p>
    <w:p w14:paraId="5D429CB4"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Таким образом, рынок облигаций является важной составной частью рынка ценных бумаг, причем его развитие будет оказывать значительное влияние на структуру портфеля инвесторов, рынка ценных бумаг и банковских кредитов. Значительный потенциальный рост доли рынка облигаций остается вопросом среднесрочной перспективы, поскольку его развитие стимулируется на государственном уровне, структурная проблема уровня финансовой грамотности потенциальных инвесторов будет компенсироваться увеличивающейся доступностью брокерских услуг, а интерес со стороны предприятий в выпуске экономически целесообразен и есть возможность эмиссии в рамках как открытой, так и закрытой подписки.</w:t>
      </w:r>
    </w:p>
    <w:p w14:paraId="3B9CE73C" w14:textId="77777777" w:rsidR="006A10F6" w:rsidRPr="002F08F2" w:rsidRDefault="006A10F6" w:rsidP="006A10F6">
      <w:pPr>
        <w:spacing w:line="240" w:lineRule="auto"/>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______________________________</w:t>
      </w:r>
    </w:p>
    <w:p w14:paraId="315E576E" w14:textId="77777777" w:rsidR="006A10F6" w:rsidRPr="002F08F2" w:rsidRDefault="006A10F6" w:rsidP="00202D58">
      <w:pPr>
        <w:numPr>
          <w:ilvl w:val="0"/>
          <w:numId w:val="28"/>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Банк России \ Основные направления развития финансового рынка Российской Федерации на период 2016-2018 годов. [Электронный ресурс] Режим доступа: http://www.cbr.ru/finmarkets/files/development/onrfr_2016-18.pdf</w:t>
      </w:r>
    </w:p>
    <w:p w14:paraId="183E1D5D" w14:textId="77777777" w:rsidR="006A10F6" w:rsidRPr="002F08F2" w:rsidRDefault="006A10F6" w:rsidP="00202D58">
      <w:pPr>
        <w:numPr>
          <w:ilvl w:val="0"/>
          <w:numId w:val="28"/>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Банк России \ Облигации как способ привлечения финансирования [Электронный ресурс] Режим доступа: http://www.cbr.ru/statichtml/file/27555/9.pdf</w:t>
      </w:r>
    </w:p>
    <w:p w14:paraId="163637B3" w14:textId="77777777" w:rsidR="006A10F6" w:rsidRPr="002F08F2" w:rsidRDefault="006A10F6" w:rsidP="00202D58">
      <w:pPr>
        <w:numPr>
          <w:ilvl w:val="0"/>
          <w:numId w:val="28"/>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Росстат \ Объем и состав денежных накоплений населения [Электронный ресурс] Режим доступа: http://www.gks.ru/free_doc/new_site/population/urov/doc3-1-2.htm</w:t>
      </w:r>
    </w:p>
    <w:p w14:paraId="236E119D" w14:textId="77777777" w:rsidR="006A10F6" w:rsidRPr="002F08F2" w:rsidRDefault="006A10F6" w:rsidP="00202D58">
      <w:pPr>
        <w:numPr>
          <w:ilvl w:val="0"/>
          <w:numId w:val="28"/>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Министерство финансов Российской Федерации \ Оценка уровня финансовой грамотности населения [Электронный ресурс] Режим доступа: </w:t>
      </w:r>
      <w:hyperlink r:id="rId119" w:history="1">
        <w:r w:rsidRPr="002F08F2">
          <w:rPr>
            <w:rFonts w:ascii="Times New Roman" w:eastAsia="Times New Roman" w:hAnsi="Times New Roman" w:cs="Times New Roman"/>
            <w:sz w:val="24"/>
            <w:szCs w:val="24"/>
            <w:lang w:eastAsia="ru-RU"/>
          </w:rPr>
          <w:t>https://www.minfin.ru/ru/om/fingram/directions/evaluation/</w:t>
        </w:r>
      </w:hyperlink>
    </w:p>
    <w:p w14:paraId="3756CBD2" w14:textId="77777777" w:rsidR="006A10F6" w:rsidRPr="002F08F2" w:rsidRDefault="006A10F6" w:rsidP="004F56F3">
      <w:pPr>
        <w:pStyle w:val="1"/>
        <w:jc w:val="both"/>
        <w:rPr>
          <w:rFonts w:ascii="Times New Roman" w:hAnsi="Times New Roman" w:cs="Times New Roman"/>
          <w:sz w:val="24"/>
          <w:szCs w:val="24"/>
        </w:rPr>
      </w:pPr>
      <w:r w:rsidRPr="002F08F2">
        <w:rPr>
          <w:rFonts w:ascii="Times New Roman" w:hAnsi="Times New Roman" w:cs="Times New Roman"/>
          <w:sz w:val="24"/>
          <w:szCs w:val="24"/>
        </w:rPr>
        <w:lastRenderedPageBreak/>
        <w:t>Рубрика: Экономика и экономические науки</w:t>
      </w:r>
    </w:p>
    <w:p w14:paraId="1032D381" w14:textId="77777777" w:rsidR="0047795F" w:rsidRDefault="006A10F6" w:rsidP="0047795F">
      <w:pPr>
        <w:pStyle w:val="1"/>
        <w:spacing w:after="0"/>
        <w:jc w:val="both"/>
        <w:rPr>
          <w:rFonts w:ascii="Times New Roman" w:hAnsi="Times New Roman" w:cs="Times New Roman"/>
          <w:b w:val="0"/>
          <w:sz w:val="24"/>
          <w:szCs w:val="24"/>
        </w:rPr>
      </w:pPr>
      <w:r w:rsidRPr="002F08F2">
        <w:rPr>
          <w:rFonts w:ascii="Times New Roman" w:hAnsi="Times New Roman" w:cs="Times New Roman"/>
          <w:b w:val="0"/>
          <w:sz w:val="24"/>
          <w:szCs w:val="24"/>
        </w:rPr>
        <w:t>УДК 2964.33</w:t>
      </w:r>
    </w:p>
    <w:p w14:paraId="44CD0D84" w14:textId="77777777" w:rsidR="0047795F" w:rsidRPr="0047795F" w:rsidRDefault="0047795F" w:rsidP="0047795F">
      <w:pPr>
        <w:rPr>
          <w:lang w:eastAsia="ru-RU"/>
        </w:rPr>
      </w:pPr>
    </w:p>
    <w:p w14:paraId="545141D0" w14:textId="77777777" w:rsidR="006A10F6" w:rsidRPr="002F08F2" w:rsidRDefault="004F56F3" w:rsidP="0047795F">
      <w:pPr>
        <w:spacing w:line="240" w:lineRule="auto"/>
        <w:jc w:val="center"/>
        <w:rPr>
          <w:rFonts w:ascii="Times New Roman" w:hAnsi="Times New Roman" w:cs="Times New Roman"/>
          <w:b/>
          <w:sz w:val="24"/>
          <w:szCs w:val="24"/>
          <w:lang w:eastAsia="ru-RU"/>
        </w:rPr>
      </w:pPr>
      <w:r w:rsidRPr="002F08F2">
        <w:rPr>
          <w:rFonts w:ascii="Times New Roman" w:hAnsi="Times New Roman" w:cs="Times New Roman"/>
          <w:b/>
          <w:sz w:val="24"/>
          <w:szCs w:val="24"/>
          <w:lang w:eastAsia="ru-RU"/>
        </w:rPr>
        <w:t>ТЕОРЕТИЧЕСКИЕ АСПЕКТЫ МЕХАНИЗМА НАЛОГООБЛОЖЕНИЯ ОПЕРАЦИЙ С ЦЕННЫМИ БУМАГАМИ</w:t>
      </w:r>
    </w:p>
    <w:p w14:paraId="73A8A77D" w14:textId="77777777" w:rsidR="006A10F6" w:rsidRPr="002F08F2" w:rsidRDefault="0047795F" w:rsidP="006A10F6">
      <w:pPr>
        <w:spacing w:after="0"/>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Сухотерина Елизавета Дмитриевна</w:t>
      </w:r>
    </w:p>
    <w:p w14:paraId="5477F2DD" w14:textId="77777777" w:rsidR="006A10F6" w:rsidRDefault="0047795F" w:rsidP="0047795F">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б</w:t>
      </w:r>
      <w:r w:rsidR="006A10F6" w:rsidRPr="002F08F2">
        <w:rPr>
          <w:rFonts w:ascii="Times New Roman" w:hAnsi="Times New Roman" w:cs="Times New Roman"/>
          <w:sz w:val="24"/>
          <w:szCs w:val="24"/>
          <w:lang w:eastAsia="ru-RU"/>
        </w:rPr>
        <w:t>акалавр</w:t>
      </w:r>
    </w:p>
    <w:p w14:paraId="0E5EEF3F" w14:textId="77777777" w:rsidR="0047795F" w:rsidRPr="002F08F2" w:rsidRDefault="0047795F" w:rsidP="0047795F">
      <w:pPr>
        <w:spacing w:after="0" w:line="240" w:lineRule="auto"/>
        <w:jc w:val="center"/>
        <w:rPr>
          <w:rFonts w:ascii="Times New Roman" w:hAnsi="Times New Roman" w:cs="Times New Roman"/>
          <w:sz w:val="24"/>
          <w:szCs w:val="24"/>
          <w:lang w:eastAsia="ru-RU"/>
        </w:rPr>
      </w:pPr>
    </w:p>
    <w:p w14:paraId="4BF2102A" w14:textId="77777777" w:rsidR="006A10F6" w:rsidRPr="002F08F2" w:rsidRDefault="006A10F6" w:rsidP="0047795F">
      <w:pPr>
        <w:spacing w:after="0" w:line="240" w:lineRule="auto"/>
        <w:jc w:val="center"/>
        <w:rPr>
          <w:rFonts w:ascii="Times New Roman" w:hAnsi="Times New Roman" w:cs="Times New Roman"/>
          <w:i/>
          <w:sz w:val="24"/>
          <w:szCs w:val="24"/>
          <w:lang w:eastAsia="ru-RU"/>
        </w:rPr>
      </w:pPr>
      <w:r w:rsidRPr="002F08F2">
        <w:rPr>
          <w:rFonts w:ascii="Times New Roman" w:hAnsi="Times New Roman" w:cs="Times New Roman"/>
          <w:i/>
          <w:sz w:val="24"/>
          <w:szCs w:val="24"/>
          <w:lang w:eastAsia="ru-RU"/>
        </w:rPr>
        <w:t>Владивостокский государственный университет экономики и сервиса</w:t>
      </w:r>
    </w:p>
    <w:p w14:paraId="4AB50FB2" w14:textId="77777777" w:rsidR="006A10F6" w:rsidRPr="002F08F2" w:rsidRDefault="006A10F6" w:rsidP="0047795F">
      <w:pPr>
        <w:spacing w:after="0" w:line="240" w:lineRule="auto"/>
        <w:jc w:val="center"/>
        <w:rPr>
          <w:rFonts w:ascii="Times New Roman" w:hAnsi="Times New Roman" w:cs="Times New Roman"/>
          <w:sz w:val="24"/>
          <w:szCs w:val="24"/>
          <w:lang w:eastAsia="ru-RU"/>
        </w:rPr>
      </w:pPr>
      <w:r w:rsidRPr="002F08F2">
        <w:rPr>
          <w:rFonts w:ascii="Times New Roman" w:hAnsi="Times New Roman" w:cs="Times New Roman"/>
          <w:i/>
          <w:sz w:val="24"/>
          <w:szCs w:val="24"/>
          <w:lang w:eastAsia="ru-RU"/>
        </w:rPr>
        <w:t>Россия. Владивосток</w:t>
      </w:r>
    </w:p>
    <w:p w14:paraId="017DFA3C" w14:textId="77777777" w:rsidR="004F56F3" w:rsidRPr="002F08F2" w:rsidRDefault="004F56F3" w:rsidP="0047795F">
      <w:pPr>
        <w:spacing w:after="0" w:line="240" w:lineRule="auto"/>
        <w:jc w:val="center"/>
        <w:rPr>
          <w:rFonts w:ascii="Times New Roman" w:hAnsi="Times New Roman" w:cs="Times New Roman"/>
          <w:sz w:val="24"/>
          <w:szCs w:val="24"/>
          <w:lang w:eastAsia="ru-RU"/>
        </w:rPr>
      </w:pPr>
    </w:p>
    <w:p w14:paraId="6FE26BB6" w14:textId="77777777" w:rsidR="006A10F6" w:rsidRPr="002F08F2" w:rsidRDefault="006A10F6" w:rsidP="0047795F">
      <w:pPr>
        <w:spacing w:after="0" w:line="240" w:lineRule="auto"/>
        <w:jc w:val="center"/>
        <w:rPr>
          <w:rFonts w:ascii="Times New Roman" w:hAnsi="Times New Roman" w:cs="Times New Roman"/>
          <w:sz w:val="24"/>
          <w:szCs w:val="24"/>
          <w:lang w:eastAsia="ru-RU"/>
        </w:rPr>
      </w:pPr>
      <w:r w:rsidRPr="002F08F2">
        <w:rPr>
          <w:rFonts w:ascii="Times New Roman" w:hAnsi="Times New Roman" w:cs="Times New Roman"/>
          <w:sz w:val="24"/>
          <w:szCs w:val="24"/>
          <w:lang w:val="en-US" w:eastAsia="ru-RU"/>
        </w:rPr>
        <w:t>E</w:t>
      </w:r>
      <w:r w:rsidRPr="002F08F2">
        <w:rPr>
          <w:rFonts w:ascii="Times New Roman" w:hAnsi="Times New Roman" w:cs="Times New Roman"/>
          <w:sz w:val="24"/>
          <w:szCs w:val="24"/>
          <w:lang w:eastAsia="ru-RU"/>
        </w:rPr>
        <w:t>-</w:t>
      </w:r>
      <w:r w:rsidRPr="002F08F2">
        <w:rPr>
          <w:rFonts w:ascii="Times New Roman" w:hAnsi="Times New Roman" w:cs="Times New Roman"/>
          <w:sz w:val="24"/>
          <w:szCs w:val="24"/>
          <w:lang w:val="en-US" w:eastAsia="ru-RU"/>
        </w:rPr>
        <w:t>mail</w:t>
      </w:r>
      <w:r w:rsidRPr="002F08F2">
        <w:rPr>
          <w:rFonts w:ascii="Times New Roman" w:hAnsi="Times New Roman" w:cs="Times New Roman"/>
          <w:sz w:val="24"/>
          <w:szCs w:val="24"/>
          <w:lang w:eastAsia="ru-RU"/>
        </w:rPr>
        <w:t xml:space="preserve">: </w:t>
      </w:r>
      <w:r w:rsidRPr="002F08F2">
        <w:rPr>
          <w:rFonts w:ascii="Times New Roman" w:hAnsi="Times New Roman" w:cs="Times New Roman"/>
          <w:sz w:val="24"/>
          <w:szCs w:val="24"/>
          <w:lang w:val="en-US" w:eastAsia="ru-RU"/>
        </w:rPr>
        <w:t>liza</w:t>
      </w:r>
      <w:r w:rsidRPr="002F08F2">
        <w:rPr>
          <w:rFonts w:ascii="Times New Roman" w:hAnsi="Times New Roman" w:cs="Times New Roman"/>
          <w:sz w:val="24"/>
          <w:szCs w:val="24"/>
          <w:lang w:eastAsia="ru-RU"/>
        </w:rPr>
        <w:t>_</w:t>
      </w:r>
      <w:r w:rsidRPr="002F08F2">
        <w:rPr>
          <w:rFonts w:ascii="Times New Roman" w:hAnsi="Times New Roman" w:cs="Times New Roman"/>
          <w:sz w:val="24"/>
          <w:szCs w:val="24"/>
          <w:lang w:val="en-US" w:eastAsia="ru-RU"/>
        </w:rPr>
        <w:t>sukhoterina</w:t>
      </w:r>
      <w:r w:rsidRPr="002F08F2">
        <w:rPr>
          <w:rFonts w:ascii="Times New Roman" w:hAnsi="Times New Roman" w:cs="Times New Roman"/>
          <w:sz w:val="24"/>
          <w:szCs w:val="24"/>
          <w:lang w:eastAsia="ru-RU"/>
        </w:rPr>
        <w:t>@</w:t>
      </w:r>
      <w:r w:rsidRPr="002F08F2">
        <w:rPr>
          <w:rFonts w:ascii="Times New Roman" w:hAnsi="Times New Roman" w:cs="Times New Roman"/>
          <w:sz w:val="24"/>
          <w:szCs w:val="24"/>
          <w:lang w:val="en-US" w:eastAsia="ru-RU"/>
        </w:rPr>
        <w:t>mail</w:t>
      </w:r>
      <w:r w:rsidRPr="002F08F2">
        <w:rPr>
          <w:rFonts w:ascii="Times New Roman" w:hAnsi="Times New Roman" w:cs="Times New Roman"/>
          <w:sz w:val="24"/>
          <w:szCs w:val="24"/>
          <w:lang w:eastAsia="ru-RU"/>
        </w:rPr>
        <w:t>.</w:t>
      </w:r>
      <w:r w:rsidRPr="002F08F2">
        <w:rPr>
          <w:rFonts w:ascii="Times New Roman" w:hAnsi="Times New Roman" w:cs="Times New Roman"/>
          <w:sz w:val="24"/>
          <w:szCs w:val="24"/>
          <w:lang w:val="en-US" w:eastAsia="ru-RU"/>
        </w:rPr>
        <w:t>ru</w:t>
      </w:r>
      <w:r w:rsidRPr="002F08F2">
        <w:rPr>
          <w:rFonts w:ascii="Times New Roman" w:hAnsi="Times New Roman" w:cs="Times New Roman"/>
          <w:sz w:val="24"/>
          <w:szCs w:val="24"/>
          <w:lang w:eastAsia="ru-RU"/>
        </w:rPr>
        <w:t>; тел: +79247218356</w:t>
      </w:r>
    </w:p>
    <w:p w14:paraId="581043AF" w14:textId="77777777" w:rsidR="006A10F6" w:rsidRPr="002F08F2" w:rsidRDefault="006A10F6" w:rsidP="006A10F6">
      <w:pPr>
        <w:spacing w:after="0" w:line="240" w:lineRule="auto"/>
        <w:jc w:val="center"/>
        <w:rPr>
          <w:rFonts w:ascii="Times New Roman" w:hAnsi="Times New Roman" w:cs="Times New Roman"/>
          <w:sz w:val="24"/>
          <w:szCs w:val="24"/>
          <w:lang w:eastAsia="ru-RU"/>
        </w:rPr>
      </w:pPr>
      <w:r w:rsidRPr="002F08F2">
        <w:rPr>
          <w:rFonts w:ascii="Times New Roman" w:hAnsi="Times New Roman" w:cs="Times New Roman"/>
          <w:sz w:val="24"/>
          <w:szCs w:val="24"/>
          <w:lang w:eastAsia="ru-RU"/>
        </w:rPr>
        <w:t>ул. Гоголя, 41, г. Владивосток, Приморский край, Россия, 690014</w:t>
      </w:r>
    </w:p>
    <w:p w14:paraId="486D2828" w14:textId="77777777" w:rsidR="006A10F6" w:rsidRPr="002F08F2" w:rsidRDefault="006A10F6" w:rsidP="006A10F6">
      <w:pPr>
        <w:spacing w:after="0" w:line="240" w:lineRule="auto"/>
        <w:jc w:val="center"/>
        <w:rPr>
          <w:rFonts w:ascii="Times New Roman" w:hAnsi="Times New Roman" w:cs="Times New Roman"/>
          <w:sz w:val="24"/>
          <w:szCs w:val="24"/>
          <w:lang w:eastAsia="ru-RU"/>
        </w:rPr>
      </w:pPr>
    </w:p>
    <w:p w14:paraId="38958A3B" w14:textId="77777777" w:rsidR="002F08F2" w:rsidRPr="0047795F" w:rsidRDefault="006A10F6" w:rsidP="0047795F">
      <w:pPr>
        <w:spacing w:after="0" w:line="240" w:lineRule="auto"/>
        <w:ind w:firstLine="709"/>
        <w:jc w:val="both"/>
        <w:rPr>
          <w:rFonts w:ascii="Times New Roman" w:hAnsi="Times New Roman" w:cs="Times New Roman"/>
          <w:i/>
          <w:sz w:val="24"/>
          <w:szCs w:val="24"/>
        </w:rPr>
      </w:pPr>
      <w:r w:rsidRPr="002F08F2">
        <w:rPr>
          <w:rFonts w:ascii="Times New Roman" w:hAnsi="Times New Roman" w:cs="Times New Roman"/>
          <w:i/>
          <w:sz w:val="24"/>
          <w:szCs w:val="24"/>
          <w:lang w:eastAsia="ru-RU"/>
        </w:rPr>
        <w:t>Данная работа является анализом в области налогообложения на рынке ценных бумаг. В ней изложены теоретические аспекты налогообложения операций с ценными бумагами, которые в свою очередь недостаточно хорошо проработаны, поэтому рассматриваемая тема актуальна, выявлены и обоснованы недостатки налогового законодательства РФ</w:t>
      </w:r>
      <w:r w:rsidRPr="002F08F2">
        <w:rPr>
          <w:rFonts w:ascii="Times New Roman" w:hAnsi="Times New Roman" w:cs="Times New Roman"/>
          <w:i/>
          <w:sz w:val="24"/>
          <w:szCs w:val="24"/>
        </w:rPr>
        <w:t xml:space="preserve"> в сфере налогообложени</w:t>
      </w:r>
      <w:r w:rsidR="0047795F">
        <w:rPr>
          <w:rFonts w:ascii="Times New Roman" w:hAnsi="Times New Roman" w:cs="Times New Roman"/>
          <w:i/>
          <w:sz w:val="24"/>
          <w:szCs w:val="24"/>
        </w:rPr>
        <w:t xml:space="preserve">я операций с ценными бумагами. </w:t>
      </w:r>
    </w:p>
    <w:p w14:paraId="7D2CA093" w14:textId="77777777" w:rsidR="006A10F6" w:rsidRPr="002F08F2" w:rsidRDefault="006A10F6" w:rsidP="004F56F3">
      <w:pPr>
        <w:spacing w:after="0" w:line="240" w:lineRule="auto"/>
        <w:ind w:firstLine="709"/>
        <w:jc w:val="both"/>
        <w:rPr>
          <w:rFonts w:ascii="Times New Roman" w:hAnsi="Times New Roman" w:cs="Times New Roman"/>
          <w:i/>
          <w:sz w:val="24"/>
          <w:szCs w:val="24"/>
        </w:rPr>
      </w:pPr>
      <w:r w:rsidRPr="002F08F2">
        <w:rPr>
          <w:rFonts w:ascii="Times New Roman" w:hAnsi="Times New Roman" w:cs="Times New Roman"/>
          <w:b/>
          <w:i/>
          <w:sz w:val="24"/>
          <w:szCs w:val="24"/>
        </w:rPr>
        <w:t>Ключевые слова и словосочетания:</w:t>
      </w:r>
      <w:r w:rsidRPr="002F08F2">
        <w:rPr>
          <w:rFonts w:ascii="Times New Roman" w:hAnsi="Times New Roman" w:cs="Times New Roman"/>
          <w:i/>
          <w:sz w:val="24"/>
          <w:szCs w:val="24"/>
        </w:rPr>
        <w:t xml:space="preserve"> ценные бумаги, налогообложение, налоговые ставки, налоговый кодекс, НДФЛ</w:t>
      </w:r>
    </w:p>
    <w:p w14:paraId="6DE2FEB1" w14:textId="77777777" w:rsidR="004F56F3" w:rsidRPr="002F08F2" w:rsidRDefault="004F56F3" w:rsidP="006A10F6">
      <w:pPr>
        <w:spacing w:after="0" w:line="240" w:lineRule="auto"/>
        <w:ind w:firstLine="709"/>
        <w:jc w:val="both"/>
        <w:rPr>
          <w:rFonts w:ascii="Times New Roman" w:hAnsi="Times New Roman" w:cs="Times New Roman"/>
          <w:sz w:val="24"/>
          <w:szCs w:val="24"/>
        </w:rPr>
      </w:pPr>
    </w:p>
    <w:p w14:paraId="3447BE3A"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На сегодняшний день вложения в ценные бумаги – одни из самых перспективных капиталовложений, которое позволяет не только сохранить капитал и защитить его от инфляции, но и существенно его приумножить.</w:t>
      </w:r>
    </w:p>
    <w:p w14:paraId="0346A43E"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Рынок ценных бумаг — перспективный полигон для успешного долгосрочного и краткосрочного инвестирования. Он служит источником стабильных доходов для большого количества отечественных и зарубежных игроков. А как любые другие доходы, доходы от операций с ценными бумагами облагаются налогами.</w:t>
      </w:r>
    </w:p>
    <w:p w14:paraId="4ED83889" w14:textId="77777777" w:rsidR="006A10F6" w:rsidRPr="002F08F2" w:rsidRDefault="006A10F6" w:rsidP="004F56F3">
      <w:pPr>
        <w:spacing w:after="0" w:line="240" w:lineRule="auto"/>
        <w:ind w:firstLine="709"/>
        <w:jc w:val="both"/>
        <w:rPr>
          <w:rFonts w:ascii="Times New Roman" w:hAnsi="Times New Roman" w:cs="Times New Roman"/>
          <w:sz w:val="24"/>
          <w:szCs w:val="24"/>
          <w:lang w:eastAsia="ru-RU"/>
        </w:rPr>
      </w:pPr>
      <w:r w:rsidRPr="002F08F2">
        <w:rPr>
          <w:rFonts w:ascii="Times New Roman" w:hAnsi="Times New Roman" w:cs="Times New Roman"/>
          <w:sz w:val="24"/>
          <w:szCs w:val="24"/>
          <w:lang w:eastAsia="ru-RU"/>
        </w:rPr>
        <w:t>В настоящее время теоретический аспект налогообложения операций с ценными бумагами недостаточно хорошо проработан, поэтому рассматриваемая тема курсовой работы актуальна.</w:t>
      </w:r>
    </w:p>
    <w:p w14:paraId="5E974644" w14:textId="77777777" w:rsidR="006A10F6" w:rsidRPr="002F08F2" w:rsidRDefault="006A10F6" w:rsidP="004F56F3">
      <w:pPr>
        <w:spacing w:after="0" w:line="240" w:lineRule="auto"/>
        <w:ind w:firstLine="709"/>
        <w:jc w:val="both"/>
        <w:rPr>
          <w:rFonts w:ascii="Times New Roman" w:hAnsi="Times New Roman" w:cs="Times New Roman"/>
          <w:sz w:val="24"/>
          <w:szCs w:val="24"/>
          <w:lang w:eastAsia="ru-RU"/>
        </w:rPr>
      </w:pPr>
      <w:r w:rsidRPr="002F08F2">
        <w:rPr>
          <w:rFonts w:ascii="Times New Roman" w:hAnsi="Times New Roman" w:cs="Times New Roman"/>
          <w:sz w:val="24"/>
          <w:szCs w:val="24"/>
          <w:lang w:eastAsia="ru-RU"/>
        </w:rPr>
        <w:t>Целью работы является рассмотрение особенностей налогообложения по операциям с ценными бумагами.</w:t>
      </w:r>
    </w:p>
    <w:p w14:paraId="1DFF26CC" w14:textId="77777777" w:rsidR="006A10F6" w:rsidRPr="002F08F2" w:rsidRDefault="006A10F6" w:rsidP="004F56F3">
      <w:pPr>
        <w:spacing w:after="0" w:line="240" w:lineRule="auto"/>
        <w:ind w:firstLine="709"/>
        <w:jc w:val="both"/>
        <w:rPr>
          <w:rFonts w:ascii="Times New Roman" w:hAnsi="Times New Roman" w:cs="Times New Roman"/>
          <w:sz w:val="24"/>
          <w:szCs w:val="24"/>
          <w:lang w:eastAsia="ru-RU"/>
        </w:rPr>
      </w:pPr>
      <w:r w:rsidRPr="002F08F2">
        <w:rPr>
          <w:rFonts w:ascii="Times New Roman" w:hAnsi="Times New Roman" w:cs="Times New Roman"/>
          <w:sz w:val="24"/>
          <w:szCs w:val="24"/>
          <w:lang w:eastAsia="ru-RU"/>
        </w:rPr>
        <w:t>Исходя из поставленной цели, определены задачи исследования:</w:t>
      </w:r>
    </w:p>
    <w:p w14:paraId="6581FE14" w14:textId="77777777" w:rsidR="006A10F6" w:rsidRPr="002F08F2" w:rsidRDefault="006A10F6" w:rsidP="00202D58">
      <w:pPr>
        <w:pStyle w:val="a7"/>
        <w:numPr>
          <w:ilvl w:val="0"/>
          <w:numId w:val="31"/>
        </w:numPr>
        <w:jc w:val="both"/>
        <w:rPr>
          <w:rFonts w:ascii="Times New Roman" w:hAnsi="Times New Roman" w:cs="Times New Roman"/>
          <w:lang w:eastAsia="ru-RU"/>
        </w:rPr>
      </w:pPr>
      <w:r w:rsidRPr="002F08F2">
        <w:rPr>
          <w:rFonts w:ascii="Times New Roman" w:hAnsi="Times New Roman" w:cs="Times New Roman"/>
          <w:lang w:eastAsia="ru-RU"/>
        </w:rPr>
        <w:t>Рассмотрение сущности ценных бумаг;</w:t>
      </w:r>
    </w:p>
    <w:p w14:paraId="03B0AEC7" w14:textId="77777777" w:rsidR="006A10F6" w:rsidRPr="002F08F2" w:rsidRDefault="006A10F6" w:rsidP="00202D58">
      <w:pPr>
        <w:pStyle w:val="a7"/>
        <w:numPr>
          <w:ilvl w:val="0"/>
          <w:numId w:val="31"/>
        </w:numPr>
        <w:jc w:val="both"/>
        <w:rPr>
          <w:rFonts w:ascii="Times New Roman" w:hAnsi="Times New Roman" w:cs="Times New Roman"/>
          <w:lang w:eastAsia="ru-RU"/>
        </w:rPr>
      </w:pPr>
      <w:r w:rsidRPr="002F08F2">
        <w:rPr>
          <w:rFonts w:ascii="Times New Roman" w:hAnsi="Times New Roman" w:cs="Times New Roman"/>
          <w:lang w:eastAsia="ru-RU"/>
        </w:rPr>
        <w:t>Изучение объектов налогообложения по операциям с ценными бумагами;</w:t>
      </w:r>
    </w:p>
    <w:p w14:paraId="3A3CEA95"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В соответствии с российским законодательством (пп.12 п. 2 ст. 149 НК РФ) реализация ценных бумаг относится к числу операций, освобождаемых от НДС. Данные операции не облагаются акцизами, так как не подходят под определения объекта данного налога, в соответствии со ст. 182 НК РФ. Следовательно, налоги на операции с ценными бумагами являются прямыми.</w:t>
      </w:r>
    </w:p>
    <w:p w14:paraId="3028E278"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Налог на операции с ценными бумагами уплачивается только в случае продажи бумаг. Иными словами, как бы не росла стоимость ценных бумаг, налог платится только в момент продажи. Сложнее с налогооблагаемой базой.</w:t>
      </w:r>
    </w:p>
    <w:p w14:paraId="7475A745"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 xml:space="preserve">Большинство брокеров российского рынка не являются налоговыми агентами (имеют регистрацию в оффшорах), то есть обязанность подать декларацию лежит именно на трейдере. В связи с этим оплата налогов для российских трейдеров, работающих с небольшими объемами ценных бумаг, является скорее вопросом морали, так как </w:t>
      </w:r>
      <w:r w:rsidRPr="002F08F2">
        <w:rPr>
          <w:rFonts w:ascii="Times New Roman" w:hAnsi="Times New Roman" w:cs="Times New Roman"/>
          <w:sz w:val="24"/>
          <w:szCs w:val="24"/>
        </w:rPr>
        <w:lastRenderedPageBreak/>
        <w:t>небольшими суммами налоговые службы не заинтересуются, а подача декларации иной раз их самих ставит в тупик.</w:t>
      </w:r>
    </w:p>
    <w:p w14:paraId="5FC9C10B"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Особенности определения налоговой базы по операциям с ценными бумагами установлены статьей 280 НК РФ. В частности, в этой статье говорится что налоговая база по доходам от реализации ценных бумаг рассчитывается отдельно от основной налоговой базы. Такая мера значительно облегчает процесс подачи декларации в налоговые органы.</w:t>
      </w:r>
    </w:p>
    <w:p w14:paraId="2AC60752"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Стоит чётко разграничивать налоги по операциям с ценными бумагами в аспекте субъекта налогообложения.</w:t>
      </w:r>
    </w:p>
    <w:p w14:paraId="1738A12A"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Налогами на доходы физических лиц (НДФЛ) облагаются следующие доходы по ценным бумагам:</w:t>
      </w:r>
    </w:p>
    <w:p w14:paraId="3ECE699B" w14:textId="77777777" w:rsidR="006A10F6" w:rsidRPr="002F08F2" w:rsidRDefault="006A10F6" w:rsidP="00202D58">
      <w:pPr>
        <w:pStyle w:val="a7"/>
        <w:numPr>
          <w:ilvl w:val="0"/>
          <w:numId w:val="29"/>
        </w:numPr>
        <w:jc w:val="both"/>
        <w:rPr>
          <w:rFonts w:ascii="Times New Roman" w:hAnsi="Times New Roman" w:cs="Times New Roman"/>
        </w:rPr>
      </w:pPr>
      <w:r w:rsidRPr="002F08F2">
        <w:rPr>
          <w:rFonts w:ascii="Times New Roman" w:hAnsi="Times New Roman" w:cs="Times New Roman"/>
        </w:rPr>
        <w:t>Дивиденды и проценты по ценным бумагам (пп. 1 п. 1 ст. 208 НК РФ);</w:t>
      </w:r>
    </w:p>
    <w:p w14:paraId="1D18965D" w14:textId="77777777" w:rsidR="006A10F6" w:rsidRPr="002F08F2" w:rsidRDefault="006A10F6" w:rsidP="00202D58">
      <w:pPr>
        <w:pStyle w:val="a7"/>
        <w:numPr>
          <w:ilvl w:val="0"/>
          <w:numId w:val="29"/>
        </w:numPr>
        <w:jc w:val="both"/>
        <w:rPr>
          <w:rFonts w:ascii="Times New Roman" w:hAnsi="Times New Roman" w:cs="Times New Roman"/>
        </w:rPr>
      </w:pPr>
      <w:r w:rsidRPr="002F08F2">
        <w:rPr>
          <w:rFonts w:ascii="Times New Roman" w:hAnsi="Times New Roman" w:cs="Times New Roman"/>
        </w:rPr>
        <w:t>Доходы от реализации ценных бумаг (пп. 5 п. 1, пп. 5 п. 3 ст. 208 НК РФ);</w:t>
      </w:r>
    </w:p>
    <w:p w14:paraId="0B29348F" w14:textId="77777777" w:rsidR="006A10F6" w:rsidRPr="002F08F2" w:rsidRDefault="006A10F6" w:rsidP="00202D58">
      <w:pPr>
        <w:pStyle w:val="a7"/>
        <w:numPr>
          <w:ilvl w:val="0"/>
          <w:numId w:val="29"/>
        </w:numPr>
        <w:jc w:val="both"/>
        <w:rPr>
          <w:rFonts w:ascii="Times New Roman" w:hAnsi="Times New Roman" w:cs="Times New Roman"/>
        </w:rPr>
      </w:pPr>
      <w:r w:rsidRPr="002F08F2">
        <w:rPr>
          <w:rFonts w:ascii="Times New Roman" w:hAnsi="Times New Roman" w:cs="Times New Roman"/>
        </w:rPr>
        <w:t>Материальная выгода от приобретения ценных бумаг (пп. 3 п. 1 ст. 212 НК РФ).</w:t>
      </w:r>
    </w:p>
    <w:p w14:paraId="17324E93"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Согласно новым изменениям, внесённым в НК РФ 03.04.2017 г. федеральным законом №58"О внесении изменений в главу 23 части второй Налогового кодекса Российской Федерации", от НДФЛ освобождаются доходы в виде дисконта, получаемые при погашении обращающихся облигаций российских организаций, номинированных в рублях и эмитированных в период с 1 января 2017 г. по 31 декабря 2020 г. По еврооблигациям придется платить НДФЛ, как и раньше.</w:t>
      </w:r>
    </w:p>
    <w:p w14:paraId="3AE8D2B4"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Кроме того, устанавливается новый порядок определения налоговой базы в отношении купонного дохода по корпоративным облигациям, при этом превышение доходности будет считаться относительно номинальной стоимости облигации.</w:t>
      </w:r>
    </w:p>
    <w:p w14:paraId="65A09465"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Согласно идее Минфина, предлагаемые меры должны обеспечить равные условия налогообложения процентных доходов физических лиц от инвестиций во вклады в банках и в обращающиеся корпоративные облигации.</w:t>
      </w:r>
    </w:p>
    <w:p w14:paraId="3FC4AB4C"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У организаций, в свою очередь, облагаются налогом на прибыль следующие доходы по ценным бумагам:</w:t>
      </w:r>
    </w:p>
    <w:p w14:paraId="30FDCE6A" w14:textId="77777777" w:rsidR="006A10F6" w:rsidRPr="002F08F2" w:rsidRDefault="006A10F6" w:rsidP="00202D58">
      <w:pPr>
        <w:pStyle w:val="a7"/>
        <w:numPr>
          <w:ilvl w:val="0"/>
          <w:numId w:val="30"/>
        </w:numPr>
        <w:jc w:val="both"/>
        <w:rPr>
          <w:rFonts w:ascii="Times New Roman" w:hAnsi="Times New Roman" w:cs="Times New Roman"/>
        </w:rPr>
      </w:pPr>
      <w:r w:rsidRPr="002F08F2">
        <w:rPr>
          <w:rFonts w:ascii="Times New Roman" w:hAnsi="Times New Roman" w:cs="Times New Roman"/>
        </w:rPr>
        <w:t>Дивиденды и проценты по ценным бумагам (п.п.1,6 ст. 250 НК РФ);</w:t>
      </w:r>
    </w:p>
    <w:p w14:paraId="11873606" w14:textId="77777777" w:rsidR="006A10F6" w:rsidRPr="002F08F2" w:rsidRDefault="006A10F6" w:rsidP="00202D58">
      <w:pPr>
        <w:pStyle w:val="a7"/>
        <w:numPr>
          <w:ilvl w:val="0"/>
          <w:numId w:val="30"/>
        </w:numPr>
        <w:jc w:val="both"/>
        <w:rPr>
          <w:rFonts w:ascii="Times New Roman" w:hAnsi="Times New Roman" w:cs="Times New Roman"/>
        </w:rPr>
      </w:pPr>
      <w:r w:rsidRPr="002F08F2">
        <w:rPr>
          <w:rFonts w:ascii="Times New Roman" w:hAnsi="Times New Roman" w:cs="Times New Roman"/>
        </w:rPr>
        <w:t>Доходы от реализации ценных бумаг (ст. 249 НК РФ).</w:t>
      </w:r>
    </w:p>
    <w:p w14:paraId="543CDF97" w14:textId="77777777" w:rsidR="006A10F6" w:rsidRPr="002F08F2" w:rsidRDefault="006A10F6" w:rsidP="00202D58">
      <w:pPr>
        <w:pStyle w:val="a7"/>
        <w:numPr>
          <w:ilvl w:val="0"/>
          <w:numId w:val="30"/>
        </w:numPr>
        <w:jc w:val="both"/>
        <w:rPr>
          <w:rFonts w:ascii="Times New Roman" w:hAnsi="Times New Roman" w:cs="Times New Roman"/>
        </w:rPr>
      </w:pPr>
      <w:r w:rsidRPr="002F08F2">
        <w:rPr>
          <w:rFonts w:ascii="Times New Roman" w:hAnsi="Times New Roman" w:cs="Times New Roman"/>
        </w:rPr>
        <w:t>Доходом будут являться и безвозмездно полученные организацией ценные бумаги (п. 8 ст. 250 НК РФ).</w:t>
      </w:r>
    </w:p>
    <w:p w14:paraId="36082FAB"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Организации и ИП применяющие упрощенную систему налогообложения облагаются налогом на такие же доходы, как и при общей системе налогообложения.</w:t>
      </w:r>
    </w:p>
    <w:p w14:paraId="2063DF28"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По окончании налогового периода налоговый агент производит сальдирование прибылей и убытков в соответствии с гл. 23 ст.214.1 НК РФ. Налог на доходы физических лиц рассчитывают и удерживают в следующих случаях:</w:t>
      </w:r>
    </w:p>
    <w:p w14:paraId="132B5F7E"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1. В течение налогового периода при выплате денежных средств или выводе ценных бумаг (выплата в натуральной форме) с договора брокерского обслуживания. Порядок удержания налога на доходы физических лиц в течение налогового периода происходит в следующем порядке:</w:t>
      </w:r>
    </w:p>
    <w:p w14:paraId="3F817D4E"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Если сумма выплаты денежных средств или ценных бумаг больше, чем налоговая база налогоплательщика на дату выплаты денежных средств или ценных бумаг, то НДФЛ рассчитывается с налоговой базы по налоговым ставкам, в соответствии с налоговым статусом налогоплательщика (для резидентов РФ 13%, для нерезидентов 30%) за минусом ранее удержанного НДФЛ.  Если же сумма выплаты денежных средств или ценных бумаг меньше, чем налоговая база налогоплательщика на дату выплаты денежных средств или ценных бумаг, то НДФЛ рассчитывается с суммы выплаты денежных средств и/или ценных бумаг по соответствующим налоговым ставкам за минусом ранее удержанного НДФЛ.</w:t>
      </w:r>
    </w:p>
    <w:p w14:paraId="47913874"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2. По окончании налогового периода (по состоянию на 31 декабря отчетного года). Размер налога на доходы физических лиц по итогам налогового периода определяется следующим образом: НБ * Ставку (13% или 30%) – НДФЛ, ранее уплаченный в течение налогового периода.</w:t>
      </w:r>
    </w:p>
    <w:p w14:paraId="23FBC794"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lastRenderedPageBreak/>
        <w:t>Полученную сумму налога налоговый агент обязан удержать в следующем порядке: удержание НДФЛ производится автоматически путем списания денежных средств со счета (-ов), открытого (-ых) клиенту; удержание НДФЛ происходит в течение одного месяца с даты окончания налогового периода.</w:t>
      </w:r>
    </w:p>
    <w:p w14:paraId="735FD1B9"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Если по итогам налогового периода рассчитанная сумма налога оказалась меньше, чем удержанная в течение налогового периода, то возврат излишне удержанного налога будет произведен в соответствии с гл. 23 ст.231 НК РФ</w:t>
      </w:r>
    </w:p>
    <w:p w14:paraId="71BEAC0A"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Если у налогоплательщика возникла переплата по налогу на доходы физических лиц, то он имеет право на возмещение излишне удержанного налога.</w:t>
      </w:r>
    </w:p>
    <w:p w14:paraId="5DB27445"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Налогоплательщики, получившие убытки по ценным бумагам и ФИСС, имеют право перенести убытки в соответствии с п.16 ст. 214.1 и ст. 220.1 НК РФ.</w:t>
      </w:r>
    </w:p>
    <w:p w14:paraId="33C66066"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При определении налоговой базы законодательные органы РФ прежде всего ориентируются на получение максимального прямого фискального эффекта. Подобная тенденция объясняется тем, что становление налоговой системы нашей страны происходило в период длительного кризиса, которым была охвачена вся экономика. В такой ситуации неизбежно на первый план выходила фискальная функция, позволяющая наполнить бюджет РФ. Успешное преодоление кризисных явлений в экономике позволило в последние годы перейти к новой концепции построения налоговой политики и системы. В этой новой концепции главный акцент делается на регулятивной функции налогов, важной для современного этапа развития народного хозяйства и экономики России в условиях рыночной экономики.</w:t>
      </w:r>
    </w:p>
    <w:p w14:paraId="0F44B128"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Получение организацией дохода от операций с ценными бумагами ведет к обязанности исчисления и уплаты налога на прибыль по ставке 20% (прибыль определяется как разница между доходами от операций с ценными бумагами и расходами, связанными с осуществлением операций). В ходе установления налоговой базы на доходы от основной деятельности предприятия, прибыль от этой деятельности не снижается на сумму убытка от сделок с ценными бумагами. Но, если компанией получен доход от операций с ценными бумагами, то он может быть уменьшен на сумму ущерба, понесённого от основной деятельности, что закреплено в НК РФ.</w:t>
      </w:r>
    </w:p>
    <w:p w14:paraId="7835153D"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В Налоговом Кодексе РФ невозможно найти положения, которые касались бы запрета снижать прибыль предприятия от операций с ценными бумагами на размер ущерба от их основной деятельности. Значит, организация вправе при учёте доходов уменьшить сумму доходов от сделок на фондовом рынке на сумму урона от основной деятельности. И официальная позиция российского законодательства по этому вопросу как раз и заключается в отсутствии указанного выше запрета в НК РФ. Эта позиция преимущественно доминирует и в судебной практике России. Но вместе с тем иногда принимаются судебные решения, противоречащие этой позиций, а, значит, имеют место разногласия в трактовке норм налогового права.</w:t>
      </w:r>
    </w:p>
    <w:p w14:paraId="17AA967B" w14:textId="77777777" w:rsidR="006A10F6" w:rsidRPr="002F08F2" w:rsidRDefault="006A10F6" w:rsidP="004F56F3">
      <w:pPr>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Таким образом, можно сделать вывод о том, что налоговое законодательство РФ в сфере налогообложения операций с ценными бумагами нуждается в совершенствовании. Имеющиеся недочёты в законе позволяют субъектам рынка ценных бумаг уклоняются от полной уплаты налоговых платежей, связанных с этими операциями. А все проблемы в сфере налогообложения электронных переводов и вовсе закрывают подобную статью доходов государства. Однако все эти проблемы являются лишь промежуточной стадией развития законодательства в этой сфере.</w:t>
      </w:r>
    </w:p>
    <w:p w14:paraId="2B9C8A07" w14:textId="77777777" w:rsidR="006A10F6" w:rsidRPr="002F08F2" w:rsidRDefault="006A10F6" w:rsidP="004F56F3">
      <w:pPr>
        <w:spacing w:after="0" w:line="240" w:lineRule="auto"/>
        <w:jc w:val="both"/>
        <w:rPr>
          <w:rFonts w:ascii="Times New Roman" w:hAnsi="Times New Roman" w:cs="Times New Roman"/>
          <w:sz w:val="24"/>
          <w:szCs w:val="24"/>
        </w:rPr>
      </w:pPr>
      <w:r w:rsidRPr="002F08F2">
        <w:rPr>
          <w:rFonts w:ascii="Times New Roman" w:hAnsi="Times New Roman" w:cs="Times New Roman"/>
          <w:sz w:val="24"/>
          <w:szCs w:val="24"/>
        </w:rPr>
        <w:t>Список использованной литературы:</w:t>
      </w:r>
    </w:p>
    <w:p w14:paraId="7B48E831" w14:textId="77777777" w:rsidR="006A10F6" w:rsidRPr="002F08F2" w:rsidRDefault="006A10F6" w:rsidP="00202D58">
      <w:pPr>
        <w:numPr>
          <w:ilvl w:val="0"/>
          <w:numId w:val="4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Об основах налоговой системы в Российской Федерации: Закон РФ от 27 декабря 1991 г. № 2118-1 // СПС Консультант Плюс. URL: http://www.consultant.ru/</w:t>
      </w:r>
    </w:p>
    <w:p w14:paraId="0AE87AB5" w14:textId="77777777" w:rsidR="006A10F6" w:rsidRPr="002F08F2" w:rsidRDefault="006A10F6" w:rsidP="00202D58">
      <w:pPr>
        <w:numPr>
          <w:ilvl w:val="0"/>
          <w:numId w:val="4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Налоговый кодекс Российской Федерации (часть первая) от 16.07.1998 №146-ФЗ (в ред. от 01.05.2016 г.) // СПС Консультант Плюс. URL: http://www.consultant.ru/</w:t>
      </w:r>
    </w:p>
    <w:p w14:paraId="582C1FBF" w14:textId="77777777" w:rsidR="006A10F6" w:rsidRPr="002F08F2" w:rsidRDefault="006A10F6" w:rsidP="00202D58">
      <w:pPr>
        <w:numPr>
          <w:ilvl w:val="0"/>
          <w:numId w:val="4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Федеральная налоговая служба // URL: http://www.nalog.ru/rn25/</w:t>
      </w:r>
    </w:p>
    <w:p w14:paraId="50526040" w14:textId="77777777" w:rsidR="006A10F6" w:rsidRPr="002F08F2" w:rsidRDefault="006A10F6" w:rsidP="00202D58">
      <w:pPr>
        <w:numPr>
          <w:ilvl w:val="0"/>
          <w:numId w:val="4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lastRenderedPageBreak/>
        <w:t>Налоги и налогообложение: учебное пособие для студентов вузов / О. Ю. Ворожбит, В. А. Водопьянова Владивосток. гос. ун-т экономики и сервиса. - Владивосток : Изд-во ВГУЭС, 2016. - 156 с.</w:t>
      </w:r>
    </w:p>
    <w:p w14:paraId="7287B6D4" w14:textId="77777777" w:rsidR="006A10F6" w:rsidRPr="004F56F3" w:rsidRDefault="006A10F6" w:rsidP="004F56F3">
      <w:pPr>
        <w:widowControl w:val="0"/>
        <w:autoSpaceDE w:val="0"/>
        <w:autoSpaceDN w:val="0"/>
        <w:adjustRightInd w:val="0"/>
        <w:spacing w:after="0" w:line="240" w:lineRule="auto"/>
        <w:jc w:val="center"/>
        <w:rPr>
          <w:rFonts w:ascii="Times New Roman" w:eastAsia="MS ??" w:hAnsi="Times New Roman"/>
          <w:b/>
          <w:sz w:val="24"/>
          <w:szCs w:val="24"/>
          <w:lang w:eastAsia="ru-RU"/>
        </w:rPr>
      </w:pPr>
    </w:p>
    <w:p w14:paraId="6522A3DB" w14:textId="77777777" w:rsidR="006A10F6" w:rsidRPr="002F08F2" w:rsidRDefault="006A10F6" w:rsidP="006A10F6">
      <w:pPr>
        <w:widowControl w:val="0"/>
        <w:autoSpaceDE w:val="0"/>
        <w:autoSpaceDN w:val="0"/>
        <w:adjustRightInd w:val="0"/>
        <w:spacing w:after="0" w:line="240" w:lineRule="auto"/>
        <w:rPr>
          <w:rFonts w:ascii="Times New Roman" w:eastAsia="MS ??" w:hAnsi="Times New Roman" w:cs="Times New Roman"/>
          <w:sz w:val="24"/>
          <w:szCs w:val="24"/>
          <w:lang w:eastAsia="ru-RU"/>
        </w:rPr>
      </w:pPr>
      <w:r w:rsidRPr="002F08F2">
        <w:rPr>
          <w:rFonts w:ascii="Times New Roman" w:eastAsia="MS ??" w:hAnsi="Times New Roman" w:cs="Times New Roman"/>
          <w:b/>
          <w:sz w:val="24"/>
          <w:szCs w:val="24"/>
          <w:lang w:eastAsia="ru-RU"/>
        </w:rPr>
        <w:t>Рубрика: Экономика. Народное хозяйство. Экономические науки</w:t>
      </w:r>
      <w:r w:rsidRPr="002F08F2">
        <w:rPr>
          <w:rFonts w:ascii="Times New Roman" w:eastAsia="MS ??" w:hAnsi="Times New Roman" w:cs="Times New Roman"/>
          <w:sz w:val="24"/>
          <w:szCs w:val="24"/>
          <w:lang w:eastAsia="ru-RU"/>
        </w:rPr>
        <w:tab/>
      </w:r>
    </w:p>
    <w:p w14:paraId="5022F28E" w14:textId="77777777" w:rsidR="004F56F3" w:rsidRPr="002F08F2" w:rsidRDefault="004F56F3" w:rsidP="006A10F6">
      <w:pPr>
        <w:widowControl w:val="0"/>
        <w:autoSpaceDE w:val="0"/>
        <w:autoSpaceDN w:val="0"/>
        <w:adjustRightInd w:val="0"/>
        <w:spacing w:after="0" w:line="240" w:lineRule="auto"/>
        <w:rPr>
          <w:rFonts w:ascii="Times New Roman" w:eastAsia="MS ??" w:hAnsi="Times New Roman" w:cs="Times New Roman"/>
          <w:sz w:val="24"/>
          <w:szCs w:val="24"/>
          <w:lang w:eastAsia="ru-RU"/>
        </w:rPr>
      </w:pPr>
    </w:p>
    <w:p w14:paraId="54551BB3" w14:textId="77777777" w:rsidR="006A10F6" w:rsidRPr="002F08F2" w:rsidRDefault="006A10F6" w:rsidP="006A10F6">
      <w:pPr>
        <w:widowControl w:val="0"/>
        <w:autoSpaceDE w:val="0"/>
        <w:autoSpaceDN w:val="0"/>
        <w:adjustRightInd w:val="0"/>
        <w:spacing w:after="0" w:line="240" w:lineRule="auto"/>
        <w:rPr>
          <w:rFonts w:ascii="Times New Roman" w:eastAsia="MS ??" w:hAnsi="Times New Roman" w:cs="Times New Roman"/>
          <w:sz w:val="24"/>
          <w:szCs w:val="24"/>
          <w:lang w:eastAsia="ru-RU"/>
        </w:rPr>
      </w:pPr>
      <w:r w:rsidRPr="002F08F2">
        <w:rPr>
          <w:rFonts w:ascii="Times New Roman" w:eastAsia="MS ??" w:hAnsi="Times New Roman" w:cs="Times New Roman"/>
          <w:sz w:val="24"/>
          <w:szCs w:val="24"/>
          <w:lang w:eastAsia="ru-RU"/>
        </w:rPr>
        <w:t>УДК 33</w:t>
      </w:r>
    </w:p>
    <w:p w14:paraId="6B7FF49D" w14:textId="77777777" w:rsidR="004F56F3" w:rsidRPr="002F08F2" w:rsidRDefault="004F56F3" w:rsidP="006A10F6">
      <w:pPr>
        <w:widowControl w:val="0"/>
        <w:autoSpaceDE w:val="0"/>
        <w:autoSpaceDN w:val="0"/>
        <w:adjustRightInd w:val="0"/>
        <w:spacing w:after="0" w:line="240" w:lineRule="auto"/>
        <w:jc w:val="center"/>
        <w:rPr>
          <w:rFonts w:ascii="Times New Roman" w:eastAsia="MS ??" w:hAnsi="Times New Roman" w:cs="Times New Roman"/>
          <w:b/>
          <w:sz w:val="24"/>
          <w:szCs w:val="24"/>
          <w:lang w:eastAsia="ru-RU"/>
        </w:rPr>
      </w:pPr>
    </w:p>
    <w:p w14:paraId="4B88363B" w14:textId="77777777" w:rsidR="006A10F6" w:rsidRPr="002F08F2" w:rsidRDefault="004F56F3" w:rsidP="006A10F6">
      <w:pPr>
        <w:widowControl w:val="0"/>
        <w:autoSpaceDE w:val="0"/>
        <w:autoSpaceDN w:val="0"/>
        <w:adjustRightInd w:val="0"/>
        <w:spacing w:after="0" w:line="240" w:lineRule="auto"/>
        <w:jc w:val="center"/>
        <w:rPr>
          <w:rFonts w:ascii="Times New Roman" w:eastAsia="MS ??" w:hAnsi="Times New Roman" w:cs="Times New Roman"/>
          <w:b/>
          <w:sz w:val="24"/>
          <w:szCs w:val="24"/>
          <w:lang w:eastAsia="ru-RU"/>
        </w:rPr>
      </w:pPr>
      <w:r w:rsidRPr="002F08F2">
        <w:rPr>
          <w:rFonts w:ascii="Times New Roman" w:eastAsia="MS ??" w:hAnsi="Times New Roman" w:cs="Times New Roman"/>
          <w:b/>
          <w:sz w:val="24"/>
          <w:szCs w:val="24"/>
          <w:lang w:eastAsia="ru-RU"/>
        </w:rPr>
        <w:t>НАЛОГООБЛОЖЕНИЕ СУБЪЕКТОВ МАЛОГО БИЗНЕСА</w:t>
      </w:r>
    </w:p>
    <w:p w14:paraId="4CC059DA" w14:textId="77777777" w:rsidR="004F56F3" w:rsidRPr="002F08F2" w:rsidRDefault="004F56F3"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3B177019"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b/>
          <w:sz w:val="24"/>
          <w:szCs w:val="24"/>
          <w:lang w:eastAsia="ru-RU"/>
        </w:rPr>
      </w:pPr>
      <w:r w:rsidRPr="002F08F2">
        <w:rPr>
          <w:rFonts w:ascii="Times New Roman" w:eastAsia="SimSun" w:hAnsi="Times New Roman" w:cs="Times New Roman"/>
          <w:b/>
          <w:sz w:val="24"/>
          <w:szCs w:val="24"/>
          <w:lang w:eastAsia="ru-RU"/>
        </w:rPr>
        <w:t>Чабанова Маргарита Константиновна,</w:t>
      </w:r>
    </w:p>
    <w:p w14:paraId="3F61090D"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Бакалавр</w:t>
      </w:r>
    </w:p>
    <w:p w14:paraId="6F23249D" w14:textId="77777777" w:rsidR="006A10F6" w:rsidRPr="007E1000"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val="en-US" w:eastAsia="ru-RU"/>
        </w:rPr>
        <w:t>E</w:t>
      </w:r>
      <w:r w:rsidRPr="007E1000">
        <w:rPr>
          <w:rFonts w:ascii="Times New Roman" w:eastAsia="SimSun" w:hAnsi="Times New Roman" w:cs="Times New Roman"/>
          <w:sz w:val="24"/>
          <w:szCs w:val="24"/>
          <w:lang w:eastAsia="ru-RU"/>
        </w:rPr>
        <w:t>-</w:t>
      </w:r>
      <w:r w:rsidRPr="002F08F2">
        <w:rPr>
          <w:rFonts w:ascii="Times New Roman" w:eastAsia="SimSun" w:hAnsi="Times New Roman" w:cs="Times New Roman"/>
          <w:sz w:val="24"/>
          <w:szCs w:val="24"/>
          <w:lang w:val="en-US" w:eastAsia="ru-RU"/>
        </w:rPr>
        <w:t>mail</w:t>
      </w:r>
      <w:r w:rsidRPr="007E1000">
        <w:rPr>
          <w:rFonts w:ascii="Times New Roman" w:eastAsia="SimSun" w:hAnsi="Times New Roman" w:cs="Times New Roman"/>
          <w:sz w:val="24"/>
          <w:szCs w:val="24"/>
          <w:lang w:eastAsia="ru-RU"/>
        </w:rPr>
        <w:t xml:space="preserve">: </w:t>
      </w:r>
      <w:r w:rsidRPr="002F08F2">
        <w:rPr>
          <w:rFonts w:ascii="Times New Roman" w:eastAsia="SimSun" w:hAnsi="Times New Roman" w:cs="Times New Roman"/>
          <w:sz w:val="24"/>
          <w:szCs w:val="24"/>
          <w:lang w:val="en-US" w:eastAsia="ru-RU"/>
        </w:rPr>
        <w:t>margo</w:t>
      </w:r>
      <w:r w:rsidRPr="007E1000">
        <w:rPr>
          <w:rFonts w:ascii="Times New Roman" w:eastAsia="SimSun" w:hAnsi="Times New Roman" w:cs="Times New Roman"/>
          <w:sz w:val="24"/>
          <w:szCs w:val="24"/>
          <w:lang w:eastAsia="ru-RU"/>
        </w:rPr>
        <w:t>.</w:t>
      </w:r>
      <w:r w:rsidRPr="002F08F2">
        <w:rPr>
          <w:rFonts w:ascii="Times New Roman" w:eastAsia="SimSun" w:hAnsi="Times New Roman" w:cs="Times New Roman"/>
          <w:sz w:val="24"/>
          <w:szCs w:val="24"/>
          <w:lang w:val="en-US" w:eastAsia="ru-RU"/>
        </w:rPr>
        <w:t>chabanova</w:t>
      </w:r>
      <w:r w:rsidRPr="007E1000">
        <w:rPr>
          <w:rFonts w:ascii="Times New Roman" w:eastAsia="SimSun" w:hAnsi="Times New Roman" w:cs="Times New Roman"/>
          <w:sz w:val="24"/>
          <w:szCs w:val="24"/>
          <w:lang w:eastAsia="ru-RU"/>
        </w:rPr>
        <w:t>@</w:t>
      </w:r>
      <w:r w:rsidRPr="002F08F2">
        <w:rPr>
          <w:rFonts w:ascii="Times New Roman" w:eastAsia="SimSun" w:hAnsi="Times New Roman" w:cs="Times New Roman"/>
          <w:sz w:val="24"/>
          <w:szCs w:val="24"/>
          <w:lang w:val="en-US" w:eastAsia="ru-RU"/>
        </w:rPr>
        <w:t>mail</w:t>
      </w:r>
      <w:r w:rsidRPr="007E1000">
        <w:rPr>
          <w:rFonts w:ascii="Times New Roman" w:eastAsia="SimSun" w:hAnsi="Times New Roman" w:cs="Times New Roman"/>
          <w:sz w:val="24"/>
          <w:szCs w:val="24"/>
          <w:lang w:eastAsia="ru-RU"/>
        </w:rPr>
        <w:t>.</w:t>
      </w:r>
      <w:r w:rsidRPr="002F08F2">
        <w:rPr>
          <w:rFonts w:ascii="Times New Roman" w:eastAsia="SimSun" w:hAnsi="Times New Roman" w:cs="Times New Roman"/>
          <w:sz w:val="24"/>
          <w:szCs w:val="24"/>
          <w:lang w:val="en-US" w:eastAsia="ru-RU"/>
        </w:rPr>
        <w:t>ru</w:t>
      </w:r>
      <w:r w:rsidRPr="007E1000">
        <w:rPr>
          <w:rFonts w:ascii="Times New Roman" w:eastAsia="SimSun" w:hAnsi="Times New Roman" w:cs="Times New Roman"/>
          <w:sz w:val="24"/>
          <w:szCs w:val="24"/>
          <w:lang w:eastAsia="ru-RU"/>
        </w:rPr>
        <w:t xml:space="preserve">; </w:t>
      </w:r>
      <w:r w:rsidRPr="002F08F2">
        <w:rPr>
          <w:rFonts w:ascii="Times New Roman" w:eastAsia="SimSun" w:hAnsi="Times New Roman" w:cs="Times New Roman"/>
          <w:sz w:val="24"/>
          <w:szCs w:val="24"/>
          <w:lang w:eastAsia="ru-RU"/>
        </w:rPr>
        <w:t>тел</w:t>
      </w:r>
      <w:r w:rsidRPr="007E1000">
        <w:rPr>
          <w:rFonts w:ascii="Times New Roman" w:eastAsia="SimSun" w:hAnsi="Times New Roman" w:cs="Times New Roman"/>
          <w:sz w:val="24"/>
          <w:szCs w:val="24"/>
          <w:lang w:eastAsia="ru-RU"/>
        </w:rPr>
        <w:t>.: +79140784553</w:t>
      </w:r>
    </w:p>
    <w:p w14:paraId="41DA1215" w14:textId="77777777" w:rsidR="004F56F3" w:rsidRPr="007E1000" w:rsidRDefault="004F56F3"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p>
    <w:p w14:paraId="393C0633"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r w:rsidRPr="002F08F2">
        <w:rPr>
          <w:rFonts w:ascii="Times New Roman" w:eastAsia="SimSun" w:hAnsi="Times New Roman" w:cs="Times New Roman"/>
          <w:i/>
          <w:sz w:val="24"/>
          <w:szCs w:val="24"/>
          <w:lang w:eastAsia="ru-RU"/>
        </w:rPr>
        <w:t>Владивостокский государственный университет экономики и сервиса</w:t>
      </w:r>
    </w:p>
    <w:p w14:paraId="19340ECB"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i/>
          <w:sz w:val="24"/>
          <w:szCs w:val="24"/>
          <w:lang w:eastAsia="ru-RU"/>
        </w:rPr>
        <w:t>Россия. Владивосток</w:t>
      </w:r>
    </w:p>
    <w:p w14:paraId="24C86455"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ул. Гоголя, 41, г. Владивосток, Приморский край, Россия, 690014</w:t>
      </w:r>
    </w:p>
    <w:p w14:paraId="4CF13355" w14:textId="77777777" w:rsidR="004F56F3" w:rsidRPr="002F08F2" w:rsidRDefault="004F56F3"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119FAC80"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b/>
          <w:sz w:val="24"/>
          <w:szCs w:val="24"/>
          <w:lang w:eastAsia="ru-RU"/>
        </w:rPr>
      </w:pPr>
      <w:r w:rsidRPr="002F08F2">
        <w:rPr>
          <w:rFonts w:ascii="Times New Roman" w:eastAsia="SimSun" w:hAnsi="Times New Roman" w:cs="Times New Roman"/>
          <w:b/>
          <w:sz w:val="24"/>
          <w:szCs w:val="24"/>
          <w:lang w:eastAsia="ru-RU"/>
        </w:rPr>
        <w:t>Хмелева Евгения Сергеевна</w:t>
      </w:r>
    </w:p>
    <w:p w14:paraId="24325C38"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Бакалавр</w:t>
      </w:r>
    </w:p>
    <w:p w14:paraId="79E59FF9" w14:textId="77777777" w:rsidR="006A10F6" w:rsidRPr="007E1000"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val="en-US" w:eastAsia="ru-RU"/>
        </w:rPr>
        <w:t>E</w:t>
      </w:r>
      <w:r w:rsidRPr="007E1000">
        <w:rPr>
          <w:rFonts w:ascii="Times New Roman" w:eastAsia="SimSun" w:hAnsi="Times New Roman" w:cs="Times New Roman"/>
          <w:sz w:val="24"/>
          <w:szCs w:val="24"/>
          <w:lang w:eastAsia="ru-RU"/>
        </w:rPr>
        <w:t>-</w:t>
      </w:r>
      <w:r w:rsidRPr="002F08F2">
        <w:rPr>
          <w:rFonts w:ascii="Times New Roman" w:eastAsia="SimSun" w:hAnsi="Times New Roman" w:cs="Times New Roman"/>
          <w:sz w:val="24"/>
          <w:szCs w:val="24"/>
          <w:lang w:val="en-US" w:eastAsia="ru-RU"/>
        </w:rPr>
        <w:t>mail</w:t>
      </w:r>
      <w:r w:rsidRPr="007E1000">
        <w:rPr>
          <w:rFonts w:ascii="Times New Roman" w:eastAsia="SimSun" w:hAnsi="Times New Roman" w:cs="Times New Roman"/>
          <w:sz w:val="24"/>
          <w:szCs w:val="24"/>
          <w:lang w:eastAsia="ru-RU"/>
        </w:rPr>
        <w:t xml:space="preserve">: </w:t>
      </w:r>
      <w:r w:rsidRPr="002F08F2">
        <w:rPr>
          <w:rFonts w:ascii="Times New Roman" w:eastAsia="SimSun" w:hAnsi="Times New Roman" w:cs="Times New Roman"/>
          <w:sz w:val="24"/>
          <w:szCs w:val="24"/>
          <w:lang w:val="en-US" w:eastAsia="ru-RU"/>
        </w:rPr>
        <w:t>Kamkinolog</w:t>
      </w:r>
      <w:r w:rsidRPr="007E1000">
        <w:rPr>
          <w:rFonts w:ascii="Times New Roman" w:eastAsia="SimSun" w:hAnsi="Times New Roman" w:cs="Times New Roman"/>
          <w:sz w:val="24"/>
          <w:szCs w:val="24"/>
          <w:lang w:eastAsia="ru-RU"/>
        </w:rPr>
        <w:t>23@</w:t>
      </w:r>
      <w:r w:rsidRPr="002F08F2">
        <w:rPr>
          <w:rFonts w:ascii="Times New Roman" w:eastAsia="SimSun" w:hAnsi="Times New Roman" w:cs="Times New Roman"/>
          <w:sz w:val="24"/>
          <w:szCs w:val="24"/>
          <w:lang w:val="en-US" w:eastAsia="ru-RU"/>
        </w:rPr>
        <w:t>mail</w:t>
      </w:r>
      <w:r w:rsidRPr="007E1000">
        <w:rPr>
          <w:rFonts w:ascii="Times New Roman" w:eastAsia="SimSun" w:hAnsi="Times New Roman" w:cs="Times New Roman"/>
          <w:sz w:val="24"/>
          <w:szCs w:val="24"/>
          <w:lang w:eastAsia="ru-RU"/>
        </w:rPr>
        <w:t>.</w:t>
      </w:r>
      <w:r w:rsidRPr="002F08F2">
        <w:rPr>
          <w:rFonts w:ascii="Times New Roman" w:eastAsia="SimSun" w:hAnsi="Times New Roman" w:cs="Times New Roman"/>
          <w:sz w:val="24"/>
          <w:szCs w:val="24"/>
          <w:lang w:val="en-US" w:eastAsia="ru-RU"/>
        </w:rPr>
        <w:t>ru</w:t>
      </w:r>
      <w:r w:rsidRPr="007E1000">
        <w:rPr>
          <w:rFonts w:ascii="Times New Roman" w:eastAsia="SimSun" w:hAnsi="Times New Roman" w:cs="Times New Roman"/>
          <w:sz w:val="24"/>
          <w:szCs w:val="24"/>
          <w:lang w:eastAsia="ru-RU"/>
        </w:rPr>
        <w:t xml:space="preserve">; </w:t>
      </w:r>
      <w:r w:rsidRPr="002F08F2">
        <w:rPr>
          <w:rFonts w:ascii="Times New Roman" w:eastAsia="SimSun" w:hAnsi="Times New Roman" w:cs="Times New Roman"/>
          <w:sz w:val="24"/>
          <w:szCs w:val="24"/>
          <w:lang w:eastAsia="ru-RU"/>
        </w:rPr>
        <w:t>тел</w:t>
      </w:r>
      <w:r w:rsidRPr="007E1000">
        <w:rPr>
          <w:rFonts w:ascii="Times New Roman" w:eastAsia="SimSun" w:hAnsi="Times New Roman" w:cs="Times New Roman"/>
          <w:sz w:val="24"/>
          <w:szCs w:val="24"/>
          <w:lang w:eastAsia="ru-RU"/>
        </w:rPr>
        <w:t>.: +79963857079</w:t>
      </w:r>
    </w:p>
    <w:p w14:paraId="3DA529F9" w14:textId="77777777" w:rsidR="004F56F3" w:rsidRPr="007E1000" w:rsidRDefault="004F56F3"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p>
    <w:p w14:paraId="163206AF"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r w:rsidRPr="002F08F2">
        <w:rPr>
          <w:rFonts w:ascii="Times New Roman" w:eastAsia="SimSun" w:hAnsi="Times New Roman" w:cs="Times New Roman"/>
          <w:i/>
          <w:sz w:val="24"/>
          <w:szCs w:val="24"/>
          <w:lang w:eastAsia="ru-RU"/>
        </w:rPr>
        <w:t>Владивостокский государственный университет экономики и сервиса</w:t>
      </w:r>
    </w:p>
    <w:p w14:paraId="1C63B136"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r w:rsidRPr="002F08F2">
        <w:rPr>
          <w:rFonts w:ascii="Times New Roman" w:eastAsia="SimSun" w:hAnsi="Times New Roman" w:cs="Times New Roman"/>
          <w:i/>
          <w:sz w:val="24"/>
          <w:szCs w:val="24"/>
          <w:lang w:eastAsia="ru-RU"/>
        </w:rPr>
        <w:t>Россия. Владивосток</w:t>
      </w:r>
    </w:p>
    <w:p w14:paraId="78AFD1A4"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ул. Гоголя, 41, г. Владивосток, Приморский край, Россия, 690014</w:t>
      </w:r>
    </w:p>
    <w:p w14:paraId="6CD137CE" w14:textId="77777777" w:rsidR="004F56F3" w:rsidRPr="002F08F2" w:rsidRDefault="004F56F3"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75A06C41"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b/>
          <w:sz w:val="24"/>
          <w:szCs w:val="24"/>
          <w:lang w:eastAsia="ru-RU"/>
        </w:rPr>
      </w:pPr>
      <w:r w:rsidRPr="002F08F2">
        <w:rPr>
          <w:rFonts w:ascii="Times New Roman" w:eastAsia="SimSun" w:hAnsi="Times New Roman" w:cs="Times New Roman"/>
          <w:b/>
          <w:sz w:val="24"/>
          <w:szCs w:val="24"/>
          <w:lang w:eastAsia="ru-RU"/>
        </w:rPr>
        <w:t>Комиссарова Валерия Вячеславовна</w:t>
      </w:r>
    </w:p>
    <w:p w14:paraId="5A8B4B8A" w14:textId="77777777" w:rsidR="006A10F6" w:rsidRPr="002F08F2" w:rsidRDefault="006A10F6" w:rsidP="006A10F6">
      <w:pPr>
        <w:widowControl w:val="0"/>
        <w:tabs>
          <w:tab w:val="left" w:pos="2385"/>
          <w:tab w:val="center" w:pos="5175"/>
        </w:tabs>
        <w:autoSpaceDE w:val="0"/>
        <w:autoSpaceDN w:val="0"/>
        <w:adjustRightInd w:val="0"/>
        <w:spacing w:after="0" w:line="240" w:lineRule="auto"/>
        <w:ind w:firstLine="709"/>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ab/>
      </w:r>
      <w:r w:rsidRPr="002F08F2">
        <w:rPr>
          <w:rFonts w:ascii="Times New Roman" w:eastAsia="SimSun" w:hAnsi="Times New Roman" w:cs="Times New Roman"/>
          <w:sz w:val="24"/>
          <w:szCs w:val="24"/>
          <w:lang w:eastAsia="ru-RU"/>
        </w:rPr>
        <w:tab/>
        <w:t>Научный руководитель</w:t>
      </w:r>
    </w:p>
    <w:p w14:paraId="07E4BC8B" w14:textId="77777777" w:rsidR="004F56F3" w:rsidRPr="002F08F2" w:rsidRDefault="004F56F3"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427A15CD"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r w:rsidRPr="002F08F2">
        <w:rPr>
          <w:rFonts w:ascii="Times New Roman" w:eastAsia="SimSun" w:hAnsi="Times New Roman" w:cs="Times New Roman"/>
          <w:i/>
          <w:sz w:val="24"/>
          <w:szCs w:val="24"/>
          <w:lang w:eastAsia="ru-RU"/>
        </w:rPr>
        <w:t>Владивостокский государственный университет экономики и сервиса</w:t>
      </w:r>
    </w:p>
    <w:p w14:paraId="60ADEE9C"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i/>
          <w:sz w:val="24"/>
          <w:szCs w:val="24"/>
          <w:lang w:eastAsia="ru-RU"/>
        </w:rPr>
      </w:pPr>
      <w:r w:rsidRPr="002F08F2">
        <w:rPr>
          <w:rFonts w:ascii="Times New Roman" w:eastAsia="SimSun" w:hAnsi="Times New Roman" w:cs="Times New Roman"/>
          <w:i/>
          <w:sz w:val="24"/>
          <w:szCs w:val="24"/>
          <w:lang w:eastAsia="ru-RU"/>
        </w:rPr>
        <w:t>Россия. Владивосток</w:t>
      </w:r>
    </w:p>
    <w:p w14:paraId="13716150"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ул. Гоголя, 41, г. Владивосток, Приморский край, Россия, 690014</w:t>
      </w:r>
    </w:p>
    <w:p w14:paraId="34F1C49A"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sz w:val="24"/>
          <w:szCs w:val="24"/>
          <w:lang w:eastAsia="ru-RU"/>
        </w:rPr>
      </w:pPr>
    </w:p>
    <w:p w14:paraId="599CB115"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eastAsia="ru-RU"/>
        </w:rPr>
      </w:pPr>
      <w:r w:rsidRPr="002F08F2">
        <w:rPr>
          <w:rFonts w:ascii="Times New Roman" w:eastAsia="MS ??" w:hAnsi="Times New Roman" w:cs="Times New Roman"/>
          <w:i/>
          <w:sz w:val="24"/>
          <w:szCs w:val="24"/>
          <w:lang w:eastAsia="ru-RU"/>
        </w:rPr>
        <w:t>Аннотация. В данной статье рассматривается роль налогообложения для малого предпринимательства.  Так же представлены различные режимы налогообложения субъектов малого бизнеса, предусмотренных Налоговым кодексом РФ: общая система и специальные налоговые режимы. Рассмотрены возможные подходы для появления малых предприятий и развития существующих.</w:t>
      </w:r>
    </w:p>
    <w:p w14:paraId="6D02DCC6"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MS ??" w:hAnsi="Times New Roman" w:cs="Times New Roman"/>
          <w:i/>
          <w:sz w:val="24"/>
          <w:szCs w:val="24"/>
          <w:lang w:eastAsia="ru-RU"/>
        </w:rPr>
      </w:pPr>
      <w:r w:rsidRPr="002F08F2">
        <w:rPr>
          <w:rFonts w:ascii="Times New Roman" w:eastAsia="MS ??" w:hAnsi="Times New Roman" w:cs="Times New Roman"/>
          <w:b/>
          <w:i/>
          <w:sz w:val="24"/>
          <w:szCs w:val="24"/>
          <w:lang w:eastAsia="ru-RU"/>
        </w:rPr>
        <w:t>Ключевые слова</w:t>
      </w:r>
      <w:r w:rsidRPr="002F08F2">
        <w:rPr>
          <w:rFonts w:ascii="Times New Roman" w:eastAsia="MS ??" w:hAnsi="Times New Roman" w:cs="Times New Roman"/>
          <w:i/>
          <w:sz w:val="24"/>
          <w:szCs w:val="24"/>
          <w:lang w:eastAsia="ru-RU"/>
        </w:rPr>
        <w:t>: малое предпринимательство, малый бизнес, система налогообложения, упрощенная система, ЕНВД, патентная система</w:t>
      </w:r>
    </w:p>
    <w:p w14:paraId="6A956623" w14:textId="77777777" w:rsidR="006A10F6" w:rsidRPr="002F08F2" w:rsidRDefault="006A10F6" w:rsidP="006A10F6">
      <w:pPr>
        <w:widowControl w:val="0"/>
        <w:autoSpaceDE w:val="0"/>
        <w:autoSpaceDN w:val="0"/>
        <w:adjustRightInd w:val="0"/>
        <w:spacing w:after="0" w:line="240" w:lineRule="auto"/>
        <w:ind w:firstLine="720"/>
        <w:jc w:val="both"/>
        <w:rPr>
          <w:rFonts w:ascii="Times New Roman" w:eastAsia="MS ??" w:hAnsi="Times New Roman" w:cs="Times New Roman"/>
          <w:sz w:val="24"/>
          <w:szCs w:val="24"/>
          <w:lang w:eastAsia="ru-RU"/>
        </w:rPr>
      </w:pPr>
    </w:p>
    <w:p w14:paraId="4552131F" w14:textId="77777777" w:rsidR="006A10F6" w:rsidRPr="002F08F2" w:rsidRDefault="00D03294" w:rsidP="00D03294">
      <w:pPr>
        <w:widowControl w:val="0"/>
        <w:autoSpaceDE w:val="0"/>
        <w:autoSpaceDN w:val="0"/>
        <w:adjustRightInd w:val="0"/>
        <w:spacing w:after="0" w:line="240" w:lineRule="auto"/>
        <w:ind w:firstLine="720"/>
        <w:jc w:val="center"/>
        <w:rPr>
          <w:rFonts w:ascii="Times New Roman" w:eastAsia="MS ??" w:hAnsi="Times New Roman" w:cs="Times New Roman"/>
          <w:b/>
          <w:sz w:val="24"/>
          <w:szCs w:val="24"/>
          <w:lang w:val="en-US" w:eastAsia="ru-RU"/>
        </w:rPr>
      </w:pPr>
      <w:r w:rsidRPr="002F08F2">
        <w:rPr>
          <w:rFonts w:ascii="Times New Roman" w:eastAsia="MS ??" w:hAnsi="Times New Roman" w:cs="Times New Roman"/>
          <w:b/>
          <w:sz w:val="24"/>
          <w:szCs w:val="24"/>
          <w:lang w:val="en-US" w:eastAsia="ru-RU"/>
        </w:rPr>
        <w:t>TAXATION OF SMALL BUSINESS ENTITIES</w:t>
      </w:r>
    </w:p>
    <w:p w14:paraId="05DBCD01" w14:textId="77777777" w:rsidR="00D03294" w:rsidRPr="002F08F2" w:rsidRDefault="00D03294" w:rsidP="006A10F6">
      <w:pPr>
        <w:widowControl w:val="0"/>
        <w:autoSpaceDE w:val="0"/>
        <w:autoSpaceDN w:val="0"/>
        <w:adjustRightInd w:val="0"/>
        <w:spacing w:after="0" w:line="240" w:lineRule="auto"/>
        <w:ind w:firstLine="720"/>
        <w:jc w:val="both"/>
        <w:rPr>
          <w:rFonts w:ascii="Times New Roman" w:eastAsia="MS ??" w:hAnsi="Times New Roman" w:cs="Times New Roman"/>
          <w:i/>
          <w:sz w:val="24"/>
          <w:szCs w:val="24"/>
          <w:lang w:val="en-US" w:eastAsia="ru-RU"/>
        </w:rPr>
      </w:pPr>
    </w:p>
    <w:p w14:paraId="0A41F3E5" w14:textId="77777777" w:rsidR="006A10F6" w:rsidRPr="002F08F2" w:rsidRDefault="006A10F6" w:rsidP="006A10F6">
      <w:pPr>
        <w:widowControl w:val="0"/>
        <w:autoSpaceDE w:val="0"/>
        <w:autoSpaceDN w:val="0"/>
        <w:adjustRightInd w:val="0"/>
        <w:spacing w:after="0" w:line="240" w:lineRule="auto"/>
        <w:ind w:firstLine="720"/>
        <w:jc w:val="both"/>
        <w:rPr>
          <w:rFonts w:ascii="Times New Roman" w:eastAsia="MS ??" w:hAnsi="Times New Roman" w:cs="Times New Roman"/>
          <w:i/>
          <w:sz w:val="24"/>
          <w:szCs w:val="24"/>
          <w:lang w:val="en-US" w:eastAsia="ru-RU"/>
        </w:rPr>
      </w:pPr>
      <w:r w:rsidRPr="002F08F2">
        <w:rPr>
          <w:rFonts w:ascii="Times New Roman" w:eastAsia="MS ??" w:hAnsi="Times New Roman" w:cs="Times New Roman"/>
          <w:i/>
          <w:sz w:val="24"/>
          <w:szCs w:val="24"/>
          <w:lang w:val="en-US" w:eastAsia="ru-RU"/>
        </w:rPr>
        <w:t>Annotation. This article examines the role of taxation for small businesses. There are also various taxation regimes for small business entities provided for by the Tax Code of the Russian Federation: the general system and special tax regimes. Possible approaches for the emergence of small enterprises and the development of existing ones are considered.</w:t>
      </w:r>
    </w:p>
    <w:p w14:paraId="64E3E162" w14:textId="77777777" w:rsidR="006A10F6" w:rsidRPr="002F08F2" w:rsidRDefault="006A10F6" w:rsidP="006A10F6">
      <w:pPr>
        <w:widowControl w:val="0"/>
        <w:autoSpaceDE w:val="0"/>
        <w:autoSpaceDN w:val="0"/>
        <w:adjustRightInd w:val="0"/>
        <w:spacing w:after="0" w:line="240" w:lineRule="auto"/>
        <w:ind w:firstLine="720"/>
        <w:jc w:val="both"/>
        <w:rPr>
          <w:rFonts w:ascii="Times New Roman" w:eastAsia="MS ??" w:hAnsi="Times New Roman" w:cs="Times New Roman"/>
          <w:i/>
          <w:sz w:val="24"/>
          <w:szCs w:val="24"/>
          <w:lang w:val="en-US" w:eastAsia="ru-RU"/>
        </w:rPr>
      </w:pPr>
      <w:r w:rsidRPr="002F08F2">
        <w:rPr>
          <w:rFonts w:ascii="Times New Roman" w:eastAsia="MS ??" w:hAnsi="Times New Roman" w:cs="Times New Roman"/>
          <w:b/>
          <w:i/>
          <w:sz w:val="24"/>
          <w:szCs w:val="24"/>
          <w:lang w:val="en-US" w:eastAsia="ru-RU"/>
        </w:rPr>
        <w:t>Keywords</w:t>
      </w:r>
      <w:r w:rsidRPr="002F08F2">
        <w:rPr>
          <w:rFonts w:ascii="Times New Roman" w:eastAsia="MS ??" w:hAnsi="Times New Roman" w:cs="Times New Roman"/>
          <w:i/>
          <w:sz w:val="24"/>
          <w:szCs w:val="24"/>
          <w:lang w:val="en-US" w:eastAsia="ru-RU"/>
        </w:rPr>
        <w:t>: small business, small business, taxation system, simplified system, UTII, patent system</w:t>
      </w:r>
    </w:p>
    <w:p w14:paraId="4F027B32"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val="en-US" w:eastAsia="ru-RU"/>
        </w:rPr>
      </w:pPr>
    </w:p>
    <w:p w14:paraId="6E2C5B0B"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Актуальность исследования определяется тем, что в современной экономической системе государства малое предпринимательство является значимым элементом. Развитие </w:t>
      </w:r>
      <w:r w:rsidRPr="002F08F2">
        <w:rPr>
          <w:rFonts w:ascii="Times New Roman" w:eastAsia="SimSun" w:hAnsi="Times New Roman" w:cs="Times New Roman"/>
          <w:sz w:val="24"/>
          <w:szCs w:val="24"/>
          <w:lang w:eastAsia="ru-RU"/>
        </w:rPr>
        <w:lastRenderedPageBreak/>
        <w:t>малого предпринимательства важно и для всего государства, и для его территориальных единиц, потому что в рыночной экономике выработку основной части валового внутреннего продукта обеспечивают как раз именно малые предприятия. В то же время малое предпринимательство является налогоплательщиком, и государство должно на своем уровне способствовать тому, чтобы уровень налоговой нагрузки на малый бизнес был не чрезмерен.</w:t>
      </w:r>
    </w:p>
    <w:p w14:paraId="4070BDA9"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Цель данного исследования - изучение теоретических основ налогообложения субъектов малого бизнеса. Исходя из поставленной цели, решаются следующие задачи:</w:t>
      </w:r>
    </w:p>
    <w:p w14:paraId="2611B907"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изучение современной системы налогообложения субъектов малого бизнеса в РФ и выявление проблем ее функционирования;</w:t>
      </w:r>
    </w:p>
    <w:p w14:paraId="62515C62"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разработка направлений совершенствования налогообложения субъектов малого бизнеса в РФ.</w:t>
      </w:r>
    </w:p>
    <w:p w14:paraId="1542EF6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Развитие малого предпринимательства в России становится самым важным направлением большинства экономических и социальных проблем государства. Малое предпринимательство, являясь особым сектором рыночной экономики, до сих пор находится на стадии своего формирования, что ведет к снижению его потенциала. Малое предпринимательство должно вносить существенный вклад в формирование конкурентной среды, адаптироваться к внешним условиям и обладать дополнительными возможностями к видоизменению конечной продукции, следуя за спросом.</w:t>
      </w:r>
    </w:p>
    <w:p w14:paraId="44FD2096"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Малое предпринимательство, занимая особое место в экономической системе, должно в идеале:</w:t>
      </w:r>
    </w:p>
    <w:p w14:paraId="683729CA"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решать проблемы занятости населения;</w:t>
      </w:r>
    </w:p>
    <w:p w14:paraId="28830045"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позволять быстро переналаживать производство и благодаря этому иметь возможность оперативно реагировать на потребности рынка;</w:t>
      </w:r>
    </w:p>
    <w:p w14:paraId="4712FAC9"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способствовать росту и развитию конкуренции;</w:t>
      </w:r>
    </w:p>
    <w:p w14:paraId="31637F9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создавать уникальную наукоемкую продукцию на малых предприятиях инновационного характера.</w:t>
      </w:r>
    </w:p>
    <w:p w14:paraId="6E5EF9EF"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Но сегодняшняя роль малого предпринимательства в российской экономической системе так и остается весьма незначительной. Доля малого предпринимательства в российском ВВП, а также показатели занятости работоспособного населения на данных предприятиях очень малы по сравнению с подобными показателями в экономически развитых стран.</w:t>
      </w:r>
    </w:p>
    <w:p w14:paraId="1046885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 экономически развитых странах наблюдается противоположная картина: малое предпринимательство – это основной непосредственный источник роста экономического развития государства. В этих государствах фактически наблюдается настоящий культ малого бизнеса.</w:t>
      </w:r>
    </w:p>
    <w:p w14:paraId="1E2B82BB"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Одна из основных причин успешного развития малого предпринимательства в экономически развитых странах - это эффективная система налогообложения малого предпринимательства, целостность, стабильность налогового законодательства и налоговых льгот со стороны государства. </w:t>
      </w:r>
    </w:p>
    <w:p w14:paraId="2BD52AB0"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 соответствии с нормами Федерального закона № 209-ФЗ «О развитии малого и среднего предпринимательства в Российской Федерации» от 24.07.2007 предприятия малого бизнеса (в том числе, микропредприятия) должны соответствовать следующим требованиям:</w:t>
      </w:r>
    </w:p>
    <w:p w14:paraId="0E6A548E"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уровень выручки от реализации товаров и услуг за год не должен превышать для малых предприятий 800 млн рублей, для микропредприятий - 120 млн рублей;</w:t>
      </w:r>
    </w:p>
    <w:p w14:paraId="52C65838"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уровень доли участия других коммерческих организаций, которые не являются субъектами малого и среднего предпринимательства, в уставном капитале малого предприятия не должен превышать 49%;</w:t>
      </w:r>
    </w:p>
    <w:p w14:paraId="7C721B6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средняя численность работников предприятия малого бизнеса не должна превышать 15 человек для микробизнеса и 100 человек для малого предприятия [1].</w:t>
      </w:r>
    </w:p>
    <w:p w14:paraId="0C0C2F99"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Современное налоговое законодательство Российской Федерации позволяет предприятиям малого бизнеса использовать несколько режимов налогообложения:</w:t>
      </w:r>
    </w:p>
    <w:p w14:paraId="704769B6"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 общая система налогообложения, которая предусматривает уплату всех налогов, </w:t>
      </w:r>
      <w:r w:rsidRPr="002F08F2">
        <w:rPr>
          <w:rFonts w:ascii="Times New Roman" w:eastAsia="SimSun" w:hAnsi="Times New Roman" w:cs="Times New Roman"/>
          <w:sz w:val="24"/>
          <w:szCs w:val="24"/>
          <w:lang w:eastAsia="ru-RU"/>
        </w:rPr>
        <w:lastRenderedPageBreak/>
        <w:t>которые перечислены в части второй НК РФ;</w:t>
      </w:r>
    </w:p>
    <w:p w14:paraId="2D40061F"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специальные режимы налогообложения: единый сельскохозяйственный налог (ЕСХН), упрощенная система налогообложения (УСН), единый налог на вмененный доход (ЕНВД), патентная система налогообложения (ПСН).</w:t>
      </w:r>
    </w:p>
    <w:p w14:paraId="6F9DCE0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Во второй части Налогового кодекса РФ закреплены нормы, регулирующие порядок применения специальных налоговых режимов. </w:t>
      </w:r>
    </w:p>
    <w:p w14:paraId="407C4DD8"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Рассмотрим подробнее каждый специальный режим налогообложения для малого бизнеса.</w:t>
      </w:r>
    </w:p>
    <w:p w14:paraId="4677E3F2"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Единый сельскохозяйственный налог. Данная система налогообложения предусмотрена для предприятий, основная деятельность которых связана с производством сельскохозяйственной продукции. При применении данного режима налогоплательщик освобожден от уплаты следующих налогов: НДС, налог на прибыль, налог на доходы физических лиц (индивидуальные предприниматели), налог на имущество. Для возможности применения данного режима субъект малого предпринимательства должен помимо ранее указанных требований к виду основной деятельности соблюдать требования об уровне 70% доходов от данной деятельности (п.2 ст.346.2 НК РФ), также существуют иные ограничения, закрепленные в ст. 346.2 НК РФ. Налоговые ставки при применении данной системы налогообложения закреплены на уровне 6% от разницы между доходами и расходами.</w:t>
      </w:r>
    </w:p>
    <w:p w14:paraId="77B6406F"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Патентная система налогообложения (ПСН). Особенность патентной системы налогообложения - замена уплаты определенных видов налогов (налог на доходы, налог на имущество физических лиц, НДС) единовременной платой за приобретение патента на занятие определенным видом деятельности, который действует в течение ограниченного временного периода. ПСН вводится в действие законами субъектов Российской Федерации и применяется на территории данных субъектов Российской Федерации. Документ, который подтверждает право использования ПСН субъектом малого бизнеса, - патент на осуществление одного из видов предпринимательской деятельности (ст. 346.45НК РФ). К числу преимуществ данного режима налогообложения стоит отнести: возможность достаточно простого перехода на данную систему и возврата к другим режимам налогообложения по желанию налогоплательщика), освобождение от уплаты НДФЛ, НДС и налога на имущество физических лиц, уплата фиксированных налоговых платежей; нет требований о подаче в налоговые органы налоговой декларации, права выбирать налоговый орган для получения патента. Среди недостатков и ограничений данного режима налогообложения выделим: невозможность применения для юридических лиц, стоимость патента подлежит уплате до начала осуществления деятельности и не связан с размером полученной прибыли. </w:t>
      </w:r>
    </w:p>
    <w:p w14:paraId="1484F83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Единый налог на вменённый доход (ЕНВД). Применять данный режим могут налогоплательщики, осуществляющие определенные виды деятельности, перечисленные в п. 2 ст. 346.26 НК РФ. Налоговая ставка ЕНВД не имеет зависимости от суммы выручки (доходов) налогоплательщиков, она определяется путем применения категории «вмененный доход», который в свою очередь зависит от «базовой доходности» по определенным видам деятельности (ст.346.27 НК РФ). Показатель вмененного дохода фактически является произведением базовой доходности и физической единицы (площадь, количество работников, количество транспортных средств и т.д.) и общей величины данных единиц. Также подлежат применению корректирующие коэффициенты (один зависит от уровня инфляции на федеральном уровне, второй - зависит от территориальной принадлежности налогоплательщика). Данный вмененный доход подлежит обложению по ставке 15 % за квартал (ст.346.29 НК РФ). К преимуществам ЕНВД можно отнести следующее: ежеквартальная отчетность, отсутствие необходимости оформления счетов-фактур, отсутствие необходимости ведения налогового учета фактических доходов и расходов по видам деятельности. Среди недостатков ЕНВД: ограниченное количество видов деятельности, которые можно использовать на ЕНВД.</w:t>
      </w:r>
    </w:p>
    <w:p w14:paraId="0814C564"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Упрощённая система налогообложения. Это наиболее распространенный налоговый </w:t>
      </w:r>
      <w:r w:rsidRPr="002F08F2">
        <w:rPr>
          <w:rFonts w:ascii="Times New Roman" w:eastAsia="SimSun" w:hAnsi="Times New Roman" w:cs="Times New Roman"/>
          <w:sz w:val="24"/>
          <w:szCs w:val="24"/>
          <w:lang w:eastAsia="ru-RU"/>
        </w:rPr>
        <w:lastRenderedPageBreak/>
        <w:t>режим среди предприятий малого бизнеса Российской Федерации. Чтобы использовать данный режим налогообложения налогоплательщик должен отвечать определенным требованиям, а именно сумма предельного дохода не больше 150 млн. руб. в год, участие в уставном капитале юридических лиц, количество персонала не должно превышать ста человек и иные факторы. Налоговые ставки закрепляются на региональном уровне, федеральные требования касаются установления границ данных ставок: максимум 15% от доходов, уменьшенных на сумму расходов (на региональном уровне возможно снижение до 5%), 6 % при объекте налогообложения «доходы» (на региональном уровне может быть снижена до 3%) [2]. Среди недостатков УСН выделим: ограничения по кругу налогоплательщиков, имеющих право на ее применение, ограниченный перечень расходов при расчете налоговой базы; налогоплательщик обязан уплатить минимальный налог даже и при убыточной деятельности.</w:t>
      </w:r>
    </w:p>
    <w:p w14:paraId="4F456208"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При применении субъектами малого предпринимательства специальных налоговых режимов возникают сложности, связанные с администрированием данных налогов. </w:t>
      </w:r>
    </w:p>
    <w:p w14:paraId="50C04F3E"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Кроме того, следует вспомнить о том, что хотя государство формально снижало до 2014 года ставки налогов при применении специальных налоговых режимов, но в то же время с 2011 года происходило постоянное увеличение страховых взносов для данных налогоплательщиков. Все это оказывает непосредственное влияния на уровень налогового бремени субъектов малого предпринимательства [3, с. 33].</w:t>
      </w:r>
    </w:p>
    <w:p w14:paraId="2A5DC414"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 таблице представлены недостатки существующей системы налогообложения субъектов малого предпринимательства.</w:t>
      </w:r>
    </w:p>
    <w:p w14:paraId="728DE9E6" w14:textId="77777777" w:rsidR="006A10F6" w:rsidRPr="002F08F2" w:rsidRDefault="006A10F6" w:rsidP="006A10F6">
      <w:pPr>
        <w:widowControl w:val="0"/>
        <w:autoSpaceDE w:val="0"/>
        <w:autoSpaceDN w:val="0"/>
        <w:adjustRightInd w:val="0"/>
        <w:spacing w:after="0" w:line="240" w:lineRule="auto"/>
        <w:ind w:firstLine="709"/>
        <w:jc w:val="right"/>
        <w:rPr>
          <w:rFonts w:ascii="Times New Roman" w:eastAsia="SimSun" w:hAnsi="Times New Roman" w:cs="Times New Roman"/>
          <w:b/>
          <w:sz w:val="24"/>
          <w:szCs w:val="24"/>
          <w:lang w:eastAsia="ru-RU"/>
        </w:rPr>
      </w:pPr>
      <w:r w:rsidRPr="002F08F2">
        <w:rPr>
          <w:rFonts w:ascii="Times New Roman" w:eastAsia="SimSun" w:hAnsi="Times New Roman" w:cs="Times New Roman"/>
          <w:i/>
          <w:sz w:val="24"/>
          <w:szCs w:val="24"/>
          <w:lang w:eastAsia="ru-RU"/>
        </w:rPr>
        <w:t>Таблица 1</w:t>
      </w:r>
      <w:r w:rsidRPr="002F08F2">
        <w:rPr>
          <w:rFonts w:ascii="Times New Roman" w:eastAsia="SimSun" w:hAnsi="Times New Roman" w:cs="Times New Roman"/>
          <w:b/>
          <w:sz w:val="24"/>
          <w:szCs w:val="24"/>
          <w:lang w:eastAsia="ru-RU"/>
        </w:rPr>
        <w:t xml:space="preserve"> </w:t>
      </w:r>
    </w:p>
    <w:p w14:paraId="5D756B12" w14:textId="77777777" w:rsidR="006A10F6" w:rsidRPr="002F08F2" w:rsidRDefault="006A10F6" w:rsidP="006A10F6">
      <w:pPr>
        <w:widowControl w:val="0"/>
        <w:autoSpaceDE w:val="0"/>
        <w:autoSpaceDN w:val="0"/>
        <w:adjustRightInd w:val="0"/>
        <w:spacing w:after="0" w:line="240" w:lineRule="auto"/>
        <w:ind w:firstLine="709"/>
        <w:jc w:val="center"/>
        <w:rPr>
          <w:rFonts w:ascii="Times New Roman" w:eastAsia="SimSun" w:hAnsi="Times New Roman" w:cs="Times New Roman"/>
          <w:b/>
          <w:sz w:val="24"/>
          <w:szCs w:val="24"/>
          <w:lang w:eastAsia="ru-RU"/>
        </w:rPr>
      </w:pPr>
      <w:r w:rsidRPr="002F08F2">
        <w:rPr>
          <w:rFonts w:ascii="Times New Roman" w:eastAsia="SimSun" w:hAnsi="Times New Roman" w:cs="Times New Roman"/>
          <w:b/>
          <w:sz w:val="24"/>
          <w:szCs w:val="24"/>
          <w:lang w:eastAsia="ru-RU"/>
        </w:rPr>
        <w:t>Недостатки существующей системы налогообложения субъектов малого предпринимательства</w:t>
      </w:r>
    </w:p>
    <w:tbl>
      <w:tblPr>
        <w:tblStyle w:val="a3"/>
        <w:tblW w:w="0" w:type="auto"/>
        <w:tblLook w:val="0000" w:firstRow="0" w:lastRow="0" w:firstColumn="0" w:lastColumn="0" w:noHBand="0" w:noVBand="0"/>
      </w:tblPr>
      <w:tblGrid>
        <w:gridCol w:w="2554"/>
        <w:gridCol w:w="7077"/>
      </w:tblGrid>
      <w:tr w:rsidR="006A10F6" w:rsidRPr="002F08F2" w14:paraId="1CF83F59" w14:textId="77777777" w:rsidTr="006A10F6">
        <w:trPr>
          <w:trHeight w:val="330"/>
        </w:trPr>
        <w:tc>
          <w:tcPr>
            <w:tcW w:w="2554" w:type="dxa"/>
          </w:tcPr>
          <w:p w14:paraId="7E8808E8" w14:textId="77777777" w:rsidR="006A10F6" w:rsidRPr="002F08F2" w:rsidRDefault="006A10F6" w:rsidP="006A10F6">
            <w:pPr>
              <w:widowControl w:val="0"/>
              <w:autoSpaceDE w:val="0"/>
              <w:autoSpaceDN w:val="0"/>
              <w:adjustRightInd w:val="0"/>
              <w:ind w:left="-5"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Недостаток</w:t>
            </w:r>
          </w:p>
        </w:tc>
        <w:tc>
          <w:tcPr>
            <w:tcW w:w="7077" w:type="dxa"/>
          </w:tcPr>
          <w:p w14:paraId="49439035" w14:textId="77777777" w:rsidR="006A10F6" w:rsidRPr="002F08F2" w:rsidRDefault="006A10F6" w:rsidP="006A10F6">
            <w:pPr>
              <w:widowControl w:val="0"/>
              <w:autoSpaceDE w:val="0"/>
              <w:autoSpaceDN w:val="0"/>
              <w:adjustRightInd w:val="0"/>
              <w:ind w:left="-5" w:firstLine="709"/>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Пояснение</w:t>
            </w:r>
          </w:p>
        </w:tc>
      </w:tr>
      <w:tr w:rsidR="006A10F6" w:rsidRPr="002F08F2" w14:paraId="1C03C61A" w14:textId="77777777" w:rsidTr="006A10F6">
        <w:tblPrEx>
          <w:tblLook w:val="04A0" w:firstRow="1" w:lastRow="0" w:firstColumn="1" w:lastColumn="0" w:noHBand="0" w:noVBand="1"/>
        </w:tblPrEx>
        <w:tc>
          <w:tcPr>
            <w:tcW w:w="2554" w:type="dxa"/>
          </w:tcPr>
          <w:p w14:paraId="197D392C"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Сложность и запутанность системы налогообложения малого предпринимательства для самого малого бизнеса.</w:t>
            </w:r>
          </w:p>
        </w:tc>
        <w:tc>
          <w:tcPr>
            <w:tcW w:w="7077" w:type="dxa"/>
          </w:tcPr>
          <w:p w14:paraId="76B3BB40"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Современное ведение налогового учета и оформления налоговой отчетности требует от малого бизнеса обладать самостоятельно специальными профессиональными знаниями в области налогообложения либо нести дополнительные затраты по привлечению специалистов по налогообложению. Российская налоговая система для субъектов малого бизнеса сложна по структуре. В ней закреплены разные налоги, отчисления, акцизы и сборы, которые, по сути, почти ничем друг от друга не отличаются. Такое количество налоговых платежей и сборов приводит к возникновению ошибок при исчислении налогов, что влечет за сбой применение налоговых санкций за несвоевременную уплату налогов.</w:t>
            </w:r>
          </w:p>
        </w:tc>
      </w:tr>
      <w:tr w:rsidR="006A10F6" w:rsidRPr="002F08F2" w14:paraId="26A1F3E0" w14:textId="77777777" w:rsidTr="006A10F6">
        <w:tblPrEx>
          <w:tblLook w:val="04A0" w:firstRow="1" w:lastRow="0" w:firstColumn="1" w:lastColumn="0" w:noHBand="0" w:noVBand="1"/>
        </w:tblPrEx>
        <w:tc>
          <w:tcPr>
            <w:tcW w:w="2554" w:type="dxa"/>
          </w:tcPr>
          <w:p w14:paraId="5DE2A2DA"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Чрезмерно высокий уровень налогового бремени.</w:t>
            </w:r>
          </w:p>
        </w:tc>
        <w:tc>
          <w:tcPr>
            <w:tcW w:w="7077" w:type="dxa"/>
          </w:tcPr>
          <w:p w14:paraId="01B027B1"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Прослеживается очевидная приоритетность государственных фискальных интересов над интересами налогоплательщиков, в том числе и субъектов малого бизнеса. Сегодняшние налоговые ставки установлены и закреплены в законодательстве без достаточного глубокого экономического анализа их воздействия на общественное производство, на стимуляцию инвестиций и т.д. В тоже время важно учитывать не только их при расчете налоговых ставок, важно учесть их влияние на ликвидацию условий, которые способствуют вполне легальному уходу налогоплательщиков от уплаты налогов. Давно установлено, что последствия уклонения от уплаты налогов становится меньше, если различные виды доходов облагаются по одинаковым ставкам. В обратном случае наблюдается тенденция к перераспределению доходов в пользу тех, которые облагаются налогом по наименьшей ставке.</w:t>
            </w:r>
          </w:p>
          <w:p w14:paraId="6C41EB87"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lastRenderedPageBreak/>
              <w:t>Современная система налогообложения со слабо проработанными теоретически и экономически налоговыми ставками налогов приводит к введению новых и не совсем обоснованных видов изъятий, которые способны, по мнению властей, сглаживать негативные последствия, которые связаны с произвольностью налоговых ставок на отдельные доходы [4, с. 310].</w:t>
            </w:r>
          </w:p>
        </w:tc>
      </w:tr>
      <w:tr w:rsidR="006A10F6" w:rsidRPr="002F08F2" w14:paraId="4BE45156" w14:textId="77777777" w:rsidTr="006A10F6">
        <w:tblPrEx>
          <w:tblLook w:val="04A0" w:firstRow="1" w:lastRow="0" w:firstColumn="1" w:lastColumn="0" w:noHBand="0" w:noVBand="1"/>
        </w:tblPrEx>
        <w:tc>
          <w:tcPr>
            <w:tcW w:w="2554" w:type="dxa"/>
          </w:tcPr>
          <w:p w14:paraId="1E7127B8"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lastRenderedPageBreak/>
              <w:t>Нестабильность налогового законодательства.</w:t>
            </w:r>
          </w:p>
        </w:tc>
        <w:tc>
          <w:tcPr>
            <w:tcW w:w="7077" w:type="dxa"/>
          </w:tcPr>
          <w:p w14:paraId="06671F9C"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Недостаточно четко и ясно сформулированные нормы налогового законодательства, достаточно частые изменения налогового законодательства приводят к затруднению деятельности налоговых органов. Все изменения в налоговом законодательстве важно осуществлять одновременно с внесением соответствующих уточнений в бюджеты исключительно путем внесения изменений в законодательные и нормативные акты по налогам.</w:t>
            </w:r>
          </w:p>
        </w:tc>
      </w:tr>
      <w:tr w:rsidR="006A10F6" w:rsidRPr="002F08F2" w14:paraId="424F2421" w14:textId="77777777" w:rsidTr="006A10F6">
        <w:tblPrEx>
          <w:tblLook w:val="04A0" w:firstRow="1" w:lastRow="0" w:firstColumn="1" w:lastColumn="0" w:noHBand="0" w:noVBand="1"/>
        </w:tblPrEx>
        <w:tc>
          <w:tcPr>
            <w:tcW w:w="2554" w:type="dxa"/>
          </w:tcPr>
          <w:p w14:paraId="2D954F9A"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Формирование налоговой отчетности предпринимателей.</w:t>
            </w:r>
          </w:p>
        </w:tc>
        <w:tc>
          <w:tcPr>
            <w:tcW w:w="7077" w:type="dxa"/>
          </w:tcPr>
          <w:p w14:paraId="38CE7907" w14:textId="77777777" w:rsidR="006A10F6" w:rsidRPr="002F08F2" w:rsidRDefault="006A10F6" w:rsidP="006A10F6">
            <w:pPr>
              <w:widowControl w:val="0"/>
              <w:autoSpaceDE w:val="0"/>
              <w:autoSpaceDN w:val="0"/>
              <w:adjustRightInd w:val="0"/>
              <w:jc w:val="center"/>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С самого начала функционирования малый бизнес вынужден сталкиваться с проблемами ведения бухгалтерского учета и налоговой отчетности. У обычного предпринимателя нет профессиональных глубоких знаний в области налогообложения, что приводит к возможности уже на начальном этапе применения налоговых штрафов и санкций к нему. Это приводит к росту расходов предпринимателя на то, чтобы обеспечить правильное и своевременное ведение налогового учета и налоговой отчетности, при этом стоимость данных услуг постоянно возрастает.</w:t>
            </w:r>
          </w:p>
        </w:tc>
      </w:tr>
    </w:tbl>
    <w:p w14:paraId="5B075667" w14:textId="77777777" w:rsidR="006A10F6" w:rsidRPr="002F08F2" w:rsidRDefault="006A10F6" w:rsidP="006A10F6">
      <w:pPr>
        <w:widowControl w:val="0"/>
        <w:autoSpaceDE w:val="0"/>
        <w:autoSpaceDN w:val="0"/>
        <w:adjustRightInd w:val="0"/>
        <w:spacing w:before="120"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Итак, важнейшая задача государственных органов РФ на современном этапе - создать эффективную систему налогообложения субъектов малого предпринимательства, которая будет адекватна современным российским экономическим и политическим условиям и создаст стимул для дальнейшего развития малого бизнеса. </w:t>
      </w:r>
    </w:p>
    <w:p w14:paraId="480931E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Перечисленные ранее проблемы налогообложения малого предпринимательства возможно решить путем проведения реформирования уже существующих основ налогообложения малого бизнеса, используя в том числе и зарубежный опыт. </w:t>
      </w:r>
    </w:p>
    <w:p w14:paraId="5D70AAA5"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В основе совершенствования налогообложения субъектов малого предпринимательства должно находиться желание оптимального сочетания интересов государства и малого предпринимательства. Для этого важно осуществить плавный переход от гипертрофированной реализации фискальной функции налогообложения к активно-стимулирующей. Это позволит в дальнейшем развивать малый бизнес, заниматься усилением социального значимости и стимулированием инвестиционной активности [5, с. 74].</w:t>
      </w:r>
    </w:p>
    <w:p w14:paraId="7E205640"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Далее предложим конкретные мероприятия по совершенствованию существующих режимов налогообложения субъектов малого предпринимательства на современном этапе:</w:t>
      </w:r>
    </w:p>
    <w:p w14:paraId="381F52F2"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1. Упрощенная система налогообложения: </w:t>
      </w:r>
    </w:p>
    <w:p w14:paraId="3A69EC0B"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установление стимулирующей шкалы налогообложения с 15 до 5 % для того, чтобы стимулировать добросовестных налогоплательщиков;</w:t>
      </w:r>
    </w:p>
    <w:p w14:paraId="7ABD275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отмена условий, ограничивающих переход на УСН, которые касаются стоимости амортизируемых активов в пределах 150 млн. руб. и предельного годового дохода 150 млн. руб.</w:t>
      </w:r>
    </w:p>
    <w:p w14:paraId="49F7864F"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2. Система единого налога на вмененный доход:</w:t>
      </w:r>
    </w:p>
    <w:p w14:paraId="5D997CED"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уточнение диапазона допустимых значений корректирующего коэффициента К2, закрепление его в диапазоне от 0,1 - до 2 для высокорентабельных организаций;</w:t>
      </w:r>
    </w:p>
    <w:p w14:paraId="10F1CBAF"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установить возможность объединять налоговые базы для того, чтобы упростить расчет ЕНВД для предпринимателей, которые занимаются взаимосвязанными видами деятельности.</w:t>
      </w:r>
    </w:p>
    <w:p w14:paraId="445CA2AE"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3. Патентная система налогообложения:</w:t>
      </w:r>
    </w:p>
    <w:p w14:paraId="68FC4BAD"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 установление размеров потенциального годового дохода по отдельным видам </w:t>
      </w:r>
      <w:r w:rsidRPr="002F08F2">
        <w:rPr>
          <w:rFonts w:ascii="Times New Roman" w:eastAsia="SimSun" w:hAnsi="Times New Roman" w:cs="Times New Roman"/>
          <w:sz w:val="24"/>
          <w:szCs w:val="24"/>
          <w:lang w:eastAsia="ru-RU"/>
        </w:rPr>
        <w:lastRenderedPageBreak/>
        <w:t>деятельности делегировать муниципальным органам власти, так как они обладают данными об экономической ситуации на своей территории;</w:t>
      </w:r>
    </w:p>
    <w:p w14:paraId="149D1CF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дифференциация размера социальных взносов пропорционально годовому доходу налогоплательщиков.</w:t>
      </w:r>
    </w:p>
    <w:p w14:paraId="34228595"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4. Единый сельскохозяйственный налог:</w:t>
      </w:r>
    </w:p>
    <w:p w14:paraId="0A0D4D3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предоставление права сельскохозяйственным товаропроизводителям, которые уплачивают единый сельскохозяйственный налог, в добровольном порядке регистрироваться в качестве плательщиков НДС;</w:t>
      </w:r>
    </w:p>
    <w:p w14:paraId="476F47D9"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включение в состав продукции, по которой определяется принадлежность организации к категории сельскохозяйственного товаропроизводителя, стоимости промышленной переработки сельскохозяйственной продукции из собственного сырья;</w:t>
      </w:r>
    </w:p>
    <w:p w14:paraId="5C0C3C81"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наделение местных органов власти правом освобождения сельскохозяйственных товаропроизводителей от обязанности уплачивать земельный налог на определенный период времени (не менее одного года);</w:t>
      </w:r>
    </w:p>
    <w:p w14:paraId="0CF78DFC"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установление льгот в виде освобождения от уплаты ЕСХН для инновационных предприятий.</w:t>
      </w:r>
    </w:p>
    <w:p w14:paraId="4FEA99E4"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Подводя итог можно сделать вывод: для того, чтобы стимулировать появление новых малых предприятий и развивать уже существующий малый бизнес, необходимо:</w:t>
      </w:r>
    </w:p>
    <w:p w14:paraId="4F04A23D"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изменить условия применения и налоговую базу по ряду специальных налоговых режимов;</w:t>
      </w:r>
    </w:p>
    <w:p w14:paraId="70BB0163"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 разработать и внедрить дополнительные меры поддержки для предприятий малого бизнеса, создающих новые рабочие места. </w:t>
      </w:r>
    </w:p>
    <w:p w14:paraId="44E9FDB0" w14:textId="77777777" w:rsidR="006A10F6" w:rsidRPr="002F08F2" w:rsidRDefault="006A10F6"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sidRPr="002F08F2">
        <w:rPr>
          <w:rFonts w:ascii="Times New Roman" w:eastAsia="SimSun" w:hAnsi="Times New Roman" w:cs="Times New Roman"/>
          <w:sz w:val="24"/>
          <w:szCs w:val="24"/>
          <w:lang w:eastAsia="ru-RU"/>
        </w:rPr>
        <w:t xml:space="preserve">Налоговое бремя малого предпринимательства должно стать посильным для него, чтобы наблюдался постоянный рост их количества, росло стремление вести бизнес в легальной, а не в теневой экономике, поэтому важна однозначность, стабильность налоговой системы и справедливость уровня изъятия части доходов. </w:t>
      </w:r>
    </w:p>
    <w:p w14:paraId="63FF2D74" w14:textId="77777777" w:rsidR="006A10F6" w:rsidRPr="002F08F2" w:rsidRDefault="007014C7" w:rsidP="006A10F6">
      <w:pPr>
        <w:widowControl w:val="0"/>
        <w:autoSpaceDE w:val="0"/>
        <w:autoSpaceDN w:val="0"/>
        <w:adjustRightInd w:val="0"/>
        <w:spacing w:after="0" w:line="240" w:lineRule="auto"/>
        <w:ind w:firstLine="709"/>
        <w:jc w:val="both"/>
        <w:rPr>
          <w:rFonts w:ascii="Times New Roman" w:eastAsia="SimSun" w:hAnsi="Times New Roman" w:cs="Times New Roman"/>
          <w:sz w:val="24"/>
          <w:szCs w:val="24"/>
          <w:lang w:eastAsia="ru-RU"/>
        </w:rPr>
      </w:pPr>
      <w:r>
        <w:rPr>
          <w:rFonts w:ascii="Times New Roman" w:eastAsia="SimSun" w:hAnsi="Times New Roman" w:cs="Times New Roman"/>
          <w:noProof/>
          <w:sz w:val="24"/>
          <w:szCs w:val="24"/>
          <w:lang w:eastAsia="ru-RU"/>
        </w:rPr>
        <w:pict w14:anchorId="31613A23">
          <v:line id="Прямая соединительная линия 66" o:spid="_x0000_s1130" style="position:absolute;left:0;text-align:left;z-index:251683840;visibility:visible;mso-wrap-distance-top:-3e-5mm;mso-wrap-distance-bottom:-3e-5mm" from="36.3pt,6.4pt" to="253.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" strokecolor="black [3040]">
            <o:lock v:ext="edit" shapetype="f"/>
          </v:line>
        </w:pict>
      </w:r>
    </w:p>
    <w:p w14:paraId="0511221D" w14:textId="77777777" w:rsidR="006A10F6" w:rsidRPr="002F08F2" w:rsidRDefault="006A10F6" w:rsidP="00202D58">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О развитии малого и среднего предпринимательства в Российской Федерации: федеральный закон от 24 июля 2007 г. № 209-ФЗ (в ред. от 26.07.2017) // Собрание законодательства РФ.   —  2007. – 4006 с.</w:t>
      </w:r>
    </w:p>
    <w:p w14:paraId="37D1FE55" w14:textId="77777777" w:rsidR="006A10F6" w:rsidRPr="002F08F2" w:rsidRDefault="006A10F6" w:rsidP="00202D58">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Налоговый кодекс Российской Федерации: часть первая от 31 июля 1998 г. № 146-ФЗ (в ред. от 29.07.2017) и часть вторая от 5 августа 2000 г. № 117-ФЗ (в ред. от 29.07.2017)// Собрание законодательства РФ. - 1998. – 3824 с.</w:t>
      </w:r>
    </w:p>
    <w:p w14:paraId="178AD272" w14:textId="77777777" w:rsidR="006A10F6" w:rsidRPr="002F08F2" w:rsidRDefault="006A10F6" w:rsidP="00202D58">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Буров В.Ю. Сущность и содержание современного малого предпринимательства: теоретические аспекты / В.Ю. Буров // Вестник бурятского государственного университета. - 2013. - 31-34 с.</w:t>
      </w:r>
    </w:p>
    <w:p w14:paraId="7DA1326B" w14:textId="77777777" w:rsidR="006A10F6" w:rsidRPr="002F08F2" w:rsidRDefault="006A10F6" w:rsidP="00202D58">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Хрусталева А.А. Основные недостатки действующей системы налогообложения / А. А. Хрусталева, О.Г. Щеглова // Молодой ученый. - 2017. - 309-313 с.</w:t>
      </w:r>
    </w:p>
    <w:p w14:paraId="07F6A160" w14:textId="77777777" w:rsidR="006A10F6" w:rsidRPr="002F08F2" w:rsidRDefault="006A10F6" w:rsidP="00202D58">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Щеглова О.Г. Малые предприятия в условиях кризиса: от выживания к стратегии развития / О.Г. Щеглова // Социальная политика и социология. - 2016. -  71-78 с.</w:t>
      </w:r>
    </w:p>
    <w:p w14:paraId="3DCF3892" w14:textId="77777777" w:rsidR="006A10F6" w:rsidRDefault="006A10F6" w:rsidP="006A10F6">
      <w:pPr>
        <w:widowControl w:val="0"/>
        <w:autoSpaceDE w:val="0"/>
        <w:autoSpaceDN w:val="0"/>
        <w:adjustRightInd w:val="0"/>
        <w:spacing w:line="240" w:lineRule="auto"/>
        <w:jc w:val="both"/>
        <w:rPr>
          <w:rFonts w:ascii="Times New Roman" w:eastAsia="MS ??" w:hAnsi="Times New Roman" w:cs="Times New Roman"/>
          <w:sz w:val="24"/>
          <w:szCs w:val="24"/>
        </w:rPr>
      </w:pPr>
    </w:p>
    <w:p w14:paraId="2787F392" w14:textId="77777777" w:rsidR="0047795F" w:rsidRPr="002F08F2" w:rsidRDefault="0047795F" w:rsidP="006A10F6">
      <w:pPr>
        <w:widowControl w:val="0"/>
        <w:autoSpaceDE w:val="0"/>
        <w:autoSpaceDN w:val="0"/>
        <w:adjustRightInd w:val="0"/>
        <w:spacing w:line="240" w:lineRule="auto"/>
        <w:jc w:val="both"/>
        <w:rPr>
          <w:rFonts w:ascii="Times New Roman" w:eastAsia="MS ??" w:hAnsi="Times New Roman" w:cs="Times New Roman"/>
          <w:sz w:val="24"/>
          <w:szCs w:val="24"/>
        </w:rPr>
      </w:pPr>
    </w:p>
    <w:p w14:paraId="09BFB5FA" w14:textId="77777777" w:rsidR="006A10F6" w:rsidRPr="002F08F2" w:rsidRDefault="630840AF" w:rsidP="630840AF">
      <w:pPr>
        <w:shd w:val="clear" w:color="auto" w:fill="FFFFFF" w:themeFill="background1"/>
        <w:spacing w:after="0" w:line="240" w:lineRule="auto"/>
        <w:rPr>
          <w:rFonts w:ascii="Times New Roman" w:hAnsi="Times New Roman" w:cs="Times New Roman"/>
          <w:b/>
          <w:bCs/>
          <w:sz w:val="24"/>
          <w:szCs w:val="24"/>
        </w:rPr>
      </w:pPr>
      <w:r w:rsidRPr="630840AF">
        <w:rPr>
          <w:rFonts w:ascii="Times New Roman" w:hAnsi="Times New Roman" w:cs="Times New Roman"/>
          <w:b/>
          <w:bCs/>
          <w:sz w:val="24"/>
          <w:szCs w:val="24"/>
        </w:rPr>
        <w:t>Рубрика: Финансы, денежное обращение и кредит</w:t>
      </w:r>
    </w:p>
    <w:p w14:paraId="5D068C59" w14:textId="77777777" w:rsidR="006A10F6" w:rsidRPr="002F08F2" w:rsidRDefault="006A10F6" w:rsidP="006A10F6">
      <w:pPr>
        <w:shd w:val="clear" w:color="auto" w:fill="FFFFFF"/>
        <w:spacing w:after="0" w:line="240" w:lineRule="auto"/>
        <w:ind w:firstLine="709"/>
        <w:rPr>
          <w:rFonts w:ascii="Times New Roman" w:hAnsi="Times New Roman" w:cs="Times New Roman"/>
          <w:sz w:val="24"/>
          <w:szCs w:val="24"/>
        </w:rPr>
      </w:pPr>
    </w:p>
    <w:p w14:paraId="7D22248A" w14:textId="77777777" w:rsidR="006A10F6" w:rsidRPr="002F08F2" w:rsidRDefault="630840AF" w:rsidP="630840AF">
      <w:pPr>
        <w:shd w:val="clear" w:color="auto" w:fill="FFFFFF" w:themeFill="background1"/>
        <w:spacing w:after="0" w:line="240" w:lineRule="auto"/>
        <w:rPr>
          <w:rFonts w:ascii="Times New Roman" w:hAnsi="Times New Roman" w:cs="Times New Roman"/>
          <w:sz w:val="24"/>
          <w:szCs w:val="24"/>
        </w:rPr>
      </w:pPr>
      <w:r w:rsidRPr="630840AF">
        <w:rPr>
          <w:rFonts w:ascii="Times New Roman" w:hAnsi="Times New Roman" w:cs="Times New Roman"/>
          <w:sz w:val="24"/>
          <w:szCs w:val="24"/>
        </w:rPr>
        <w:t>УДК 336.22</w:t>
      </w:r>
    </w:p>
    <w:p w14:paraId="341A276E" w14:textId="77777777" w:rsidR="006A10F6" w:rsidRPr="002F08F2" w:rsidRDefault="006A10F6" w:rsidP="006A10F6">
      <w:pPr>
        <w:shd w:val="clear" w:color="auto" w:fill="FFFFFF"/>
        <w:spacing w:after="0" w:line="240" w:lineRule="auto"/>
        <w:ind w:firstLine="709"/>
        <w:rPr>
          <w:rFonts w:ascii="Times New Roman" w:hAnsi="Times New Roman" w:cs="Times New Roman"/>
          <w:sz w:val="24"/>
          <w:szCs w:val="24"/>
        </w:rPr>
      </w:pPr>
    </w:p>
    <w:p w14:paraId="50930ECF" w14:textId="77777777" w:rsidR="006A10F6" w:rsidRPr="002F08F2" w:rsidRDefault="630840AF" w:rsidP="630840AF">
      <w:pPr>
        <w:shd w:val="clear" w:color="auto" w:fill="FFFFFF" w:themeFill="background1"/>
        <w:spacing w:after="0" w:line="240" w:lineRule="auto"/>
        <w:ind w:firstLine="709"/>
        <w:jc w:val="center"/>
        <w:rPr>
          <w:rFonts w:ascii="Times New Roman" w:hAnsi="Times New Roman" w:cs="Times New Roman"/>
          <w:b/>
          <w:bCs/>
          <w:sz w:val="24"/>
          <w:szCs w:val="24"/>
        </w:rPr>
      </w:pPr>
      <w:r w:rsidRPr="630840AF">
        <w:rPr>
          <w:rFonts w:ascii="Times New Roman" w:hAnsi="Times New Roman" w:cs="Times New Roman"/>
          <w:b/>
          <w:bCs/>
          <w:sz w:val="24"/>
          <w:szCs w:val="24"/>
        </w:rPr>
        <w:t>СТРУКТУРНЫЕ ЭЛЕМЕНТЫ НАЛОГОВОЙ СИСТЕМЫ РОССИЙСКОЙ ФЕДЕРАЦИИ</w:t>
      </w:r>
    </w:p>
    <w:p w14:paraId="53BACD0F" w14:textId="77777777" w:rsidR="006A10F6" w:rsidRPr="002F08F2" w:rsidRDefault="006A10F6" w:rsidP="006A10F6">
      <w:pPr>
        <w:shd w:val="clear" w:color="auto" w:fill="FFFFFF"/>
        <w:spacing w:after="0" w:line="240" w:lineRule="auto"/>
        <w:ind w:firstLine="709"/>
        <w:jc w:val="center"/>
        <w:rPr>
          <w:rFonts w:ascii="Times New Roman" w:hAnsi="Times New Roman" w:cs="Times New Roman"/>
          <w:b/>
          <w:sz w:val="24"/>
          <w:szCs w:val="24"/>
        </w:rPr>
      </w:pPr>
    </w:p>
    <w:p w14:paraId="6DEBAE9E" w14:textId="77777777" w:rsidR="006A10F6" w:rsidRPr="002F08F2" w:rsidRDefault="630840AF" w:rsidP="630840AF">
      <w:pPr>
        <w:shd w:val="clear" w:color="auto" w:fill="FFFFFF" w:themeFill="background1"/>
        <w:spacing w:after="0" w:line="240" w:lineRule="auto"/>
        <w:ind w:firstLine="709"/>
        <w:jc w:val="center"/>
        <w:rPr>
          <w:rFonts w:ascii="Times New Roman" w:hAnsi="Times New Roman" w:cs="Times New Roman"/>
          <w:sz w:val="24"/>
          <w:szCs w:val="24"/>
        </w:rPr>
      </w:pPr>
      <w:r w:rsidRPr="630840AF">
        <w:rPr>
          <w:rFonts w:ascii="Times New Roman" w:hAnsi="Times New Roman" w:cs="Times New Roman"/>
          <w:b/>
          <w:bCs/>
          <w:sz w:val="24"/>
          <w:szCs w:val="24"/>
        </w:rPr>
        <w:t>Рыбакова Полина Игоревна</w:t>
      </w:r>
    </w:p>
    <w:p w14:paraId="2BDA2886" w14:textId="77777777" w:rsidR="006A10F6" w:rsidRPr="002F08F2" w:rsidRDefault="630840AF" w:rsidP="630840AF">
      <w:pPr>
        <w:shd w:val="clear" w:color="auto" w:fill="FFFFFF" w:themeFill="background1"/>
        <w:spacing w:after="0" w:line="240" w:lineRule="auto"/>
        <w:ind w:firstLine="709"/>
        <w:jc w:val="center"/>
        <w:rPr>
          <w:rFonts w:ascii="Times New Roman" w:hAnsi="Times New Roman" w:cs="Times New Roman"/>
          <w:sz w:val="24"/>
          <w:szCs w:val="24"/>
        </w:rPr>
      </w:pPr>
      <w:r w:rsidRPr="630840AF">
        <w:rPr>
          <w:rFonts w:ascii="Times New Roman" w:hAnsi="Times New Roman" w:cs="Times New Roman"/>
          <w:sz w:val="24"/>
          <w:szCs w:val="24"/>
        </w:rPr>
        <w:t>Бакалавр</w:t>
      </w:r>
    </w:p>
    <w:p w14:paraId="4AE6BDC3" w14:textId="77777777" w:rsidR="00E2206E" w:rsidRPr="002F08F2" w:rsidRDefault="00E2206E" w:rsidP="006A10F6">
      <w:pPr>
        <w:shd w:val="clear" w:color="auto" w:fill="FFFFFF"/>
        <w:spacing w:after="0" w:line="240" w:lineRule="auto"/>
        <w:ind w:firstLine="709"/>
        <w:jc w:val="center"/>
        <w:rPr>
          <w:rFonts w:ascii="Times New Roman" w:hAnsi="Times New Roman" w:cs="Times New Roman"/>
          <w:i/>
          <w:sz w:val="24"/>
          <w:szCs w:val="24"/>
        </w:rPr>
      </w:pPr>
    </w:p>
    <w:p w14:paraId="769CDAB0" w14:textId="77777777" w:rsidR="006A10F6" w:rsidRPr="002F08F2" w:rsidRDefault="630840AF" w:rsidP="630840AF">
      <w:pPr>
        <w:shd w:val="clear" w:color="auto" w:fill="FFFFFF" w:themeFill="background1"/>
        <w:spacing w:after="0" w:line="240" w:lineRule="auto"/>
        <w:ind w:firstLine="709"/>
        <w:jc w:val="center"/>
        <w:rPr>
          <w:rFonts w:ascii="Times New Roman" w:hAnsi="Times New Roman" w:cs="Times New Roman"/>
          <w:i/>
          <w:iCs/>
          <w:sz w:val="24"/>
          <w:szCs w:val="24"/>
        </w:rPr>
      </w:pPr>
      <w:r w:rsidRPr="630840AF">
        <w:rPr>
          <w:rFonts w:ascii="Times New Roman" w:hAnsi="Times New Roman" w:cs="Times New Roman"/>
          <w:i/>
          <w:iCs/>
          <w:sz w:val="24"/>
          <w:szCs w:val="24"/>
        </w:rPr>
        <w:t>Владивостокский государственный университет экономики и сервиса.</w:t>
      </w:r>
    </w:p>
    <w:p w14:paraId="789A61C0" w14:textId="77777777" w:rsidR="006A10F6" w:rsidRPr="002F08F2" w:rsidRDefault="630840AF" w:rsidP="630840AF">
      <w:pPr>
        <w:shd w:val="clear" w:color="auto" w:fill="FFFFFF" w:themeFill="background1"/>
        <w:spacing w:after="0" w:line="240" w:lineRule="auto"/>
        <w:ind w:firstLine="709"/>
        <w:jc w:val="center"/>
        <w:rPr>
          <w:rFonts w:ascii="Times New Roman" w:hAnsi="Times New Roman" w:cs="Times New Roman"/>
          <w:i/>
          <w:iCs/>
          <w:sz w:val="24"/>
          <w:szCs w:val="24"/>
        </w:rPr>
      </w:pPr>
      <w:r w:rsidRPr="630840AF">
        <w:rPr>
          <w:rFonts w:ascii="Times New Roman" w:hAnsi="Times New Roman" w:cs="Times New Roman"/>
          <w:i/>
          <w:iCs/>
          <w:sz w:val="24"/>
          <w:szCs w:val="24"/>
        </w:rPr>
        <w:t>Россия. Владивосток</w:t>
      </w:r>
    </w:p>
    <w:p w14:paraId="6CDA7058" w14:textId="77777777" w:rsidR="00E2206E" w:rsidRPr="002F08F2" w:rsidRDefault="00E2206E" w:rsidP="006A10F6">
      <w:pPr>
        <w:shd w:val="clear" w:color="auto" w:fill="FFFFFF"/>
        <w:spacing w:after="0" w:line="240" w:lineRule="auto"/>
        <w:ind w:firstLine="709"/>
        <w:jc w:val="center"/>
        <w:rPr>
          <w:rFonts w:ascii="Times New Roman" w:hAnsi="Times New Roman" w:cs="Times New Roman"/>
          <w:sz w:val="24"/>
          <w:szCs w:val="24"/>
        </w:rPr>
      </w:pPr>
    </w:p>
    <w:p w14:paraId="44BF13DB" w14:textId="77777777" w:rsidR="006A10F6" w:rsidRPr="007E1000" w:rsidRDefault="006A10F6" w:rsidP="006A10F6">
      <w:pPr>
        <w:shd w:val="clear" w:color="auto" w:fill="FFFFFF"/>
        <w:spacing w:after="0" w:line="240" w:lineRule="auto"/>
        <w:ind w:firstLine="709"/>
        <w:jc w:val="center"/>
        <w:rPr>
          <w:rFonts w:ascii="Times New Roman" w:hAnsi="Times New Roman" w:cs="Times New Roman"/>
          <w:sz w:val="24"/>
          <w:szCs w:val="24"/>
        </w:rPr>
      </w:pPr>
      <w:r w:rsidRPr="002F08F2">
        <w:rPr>
          <w:rFonts w:ascii="Times New Roman" w:hAnsi="Times New Roman" w:cs="Times New Roman"/>
          <w:sz w:val="24"/>
          <w:szCs w:val="24"/>
          <w:lang w:val="en-US"/>
        </w:rPr>
        <w:t>Email</w:t>
      </w:r>
      <w:r w:rsidRPr="007E1000">
        <w:rPr>
          <w:rFonts w:ascii="Times New Roman" w:hAnsi="Times New Roman" w:cs="Times New Roman"/>
          <w:sz w:val="24"/>
          <w:szCs w:val="24"/>
        </w:rPr>
        <w:t xml:space="preserve">: </w:t>
      </w:r>
      <w:r w:rsidRPr="002F08F2">
        <w:rPr>
          <w:rFonts w:ascii="Times New Roman" w:hAnsi="Times New Roman" w:cs="Times New Roman"/>
          <w:sz w:val="24"/>
          <w:szCs w:val="24"/>
          <w:lang w:val="en-US"/>
        </w:rPr>
        <w:t>polinarybakova</w:t>
      </w:r>
      <w:r w:rsidRPr="007E1000">
        <w:rPr>
          <w:rFonts w:ascii="Times New Roman" w:hAnsi="Times New Roman" w:cs="Times New Roman"/>
          <w:sz w:val="24"/>
          <w:szCs w:val="24"/>
        </w:rPr>
        <w:t>7@</w:t>
      </w:r>
      <w:r w:rsidRPr="002F08F2">
        <w:rPr>
          <w:rFonts w:ascii="Times New Roman" w:hAnsi="Times New Roman" w:cs="Times New Roman"/>
          <w:sz w:val="24"/>
          <w:szCs w:val="24"/>
          <w:lang w:val="en-US"/>
        </w:rPr>
        <w:t>gmail</w:t>
      </w:r>
      <w:r w:rsidRPr="007E1000">
        <w:rPr>
          <w:rFonts w:ascii="Times New Roman" w:hAnsi="Times New Roman" w:cs="Times New Roman"/>
          <w:sz w:val="24"/>
          <w:szCs w:val="24"/>
        </w:rPr>
        <w:t>.</w:t>
      </w:r>
      <w:r w:rsidRPr="002F08F2">
        <w:rPr>
          <w:rFonts w:ascii="Times New Roman" w:hAnsi="Times New Roman" w:cs="Times New Roman"/>
          <w:sz w:val="24"/>
          <w:szCs w:val="24"/>
          <w:lang w:val="en-US"/>
        </w:rPr>
        <w:t>com</w:t>
      </w:r>
      <w:r w:rsidRPr="007E1000">
        <w:rPr>
          <w:rFonts w:ascii="Times New Roman" w:hAnsi="Times New Roman" w:cs="Times New Roman"/>
          <w:sz w:val="24"/>
          <w:szCs w:val="24"/>
        </w:rPr>
        <w:t xml:space="preserve">; </w:t>
      </w:r>
      <w:r w:rsidRPr="002F08F2">
        <w:rPr>
          <w:rFonts w:ascii="Times New Roman" w:hAnsi="Times New Roman" w:cs="Times New Roman"/>
          <w:sz w:val="24"/>
          <w:szCs w:val="24"/>
        </w:rPr>
        <w:t>тел</w:t>
      </w:r>
      <w:r w:rsidRPr="007E1000">
        <w:rPr>
          <w:rFonts w:ascii="Times New Roman" w:hAnsi="Times New Roman" w:cs="Times New Roman"/>
          <w:sz w:val="24"/>
          <w:szCs w:val="24"/>
        </w:rPr>
        <w:t>.: +79532281683</w:t>
      </w:r>
    </w:p>
    <w:p w14:paraId="68679074" w14:textId="77777777" w:rsidR="006A10F6" w:rsidRPr="002F08F2" w:rsidRDefault="630840AF" w:rsidP="630840AF">
      <w:pPr>
        <w:shd w:val="clear" w:color="auto" w:fill="FFFFFF" w:themeFill="background1"/>
        <w:spacing w:after="0" w:line="240" w:lineRule="auto"/>
        <w:ind w:firstLine="709"/>
        <w:jc w:val="center"/>
        <w:rPr>
          <w:rFonts w:ascii="Times New Roman" w:hAnsi="Times New Roman" w:cs="Times New Roman"/>
          <w:sz w:val="24"/>
          <w:szCs w:val="24"/>
        </w:rPr>
      </w:pPr>
      <w:r w:rsidRPr="630840AF">
        <w:rPr>
          <w:rFonts w:ascii="Times New Roman" w:hAnsi="Times New Roman" w:cs="Times New Roman"/>
          <w:sz w:val="24"/>
          <w:szCs w:val="24"/>
        </w:rPr>
        <w:t>ул. Гоголя 41, г. Владивосток, Приморский край, Россия, 690014</w:t>
      </w:r>
    </w:p>
    <w:p w14:paraId="1D7BD492" w14:textId="77777777" w:rsidR="006A10F6" w:rsidRPr="002F08F2" w:rsidRDefault="006A10F6" w:rsidP="006A10F6">
      <w:pPr>
        <w:shd w:val="clear" w:color="auto" w:fill="FFFFFF"/>
        <w:spacing w:after="0" w:line="240" w:lineRule="auto"/>
        <w:ind w:firstLine="709"/>
        <w:jc w:val="both"/>
        <w:rPr>
          <w:rFonts w:ascii="Times New Roman" w:hAnsi="Times New Roman" w:cs="Times New Roman"/>
          <w:b/>
          <w:sz w:val="24"/>
          <w:szCs w:val="24"/>
        </w:rPr>
      </w:pPr>
    </w:p>
    <w:p w14:paraId="4E7AD7AA" w14:textId="77777777" w:rsidR="006A10F6" w:rsidRPr="002F08F2" w:rsidRDefault="630840AF" w:rsidP="630840AF">
      <w:pPr>
        <w:shd w:val="clear" w:color="auto" w:fill="FFFFFF" w:themeFill="background1"/>
        <w:spacing w:after="0" w:line="240" w:lineRule="auto"/>
        <w:ind w:firstLine="709"/>
        <w:jc w:val="both"/>
        <w:rPr>
          <w:rFonts w:ascii="Times New Roman" w:hAnsi="Times New Roman" w:cs="Times New Roman"/>
          <w:i/>
          <w:iCs/>
          <w:sz w:val="24"/>
          <w:szCs w:val="24"/>
        </w:rPr>
      </w:pPr>
      <w:r w:rsidRPr="630840AF">
        <w:rPr>
          <w:rFonts w:ascii="Times New Roman" w:hAnsi="Times New Roman" w:cs="Times New Roman"/>
          <w:i/>
          <w:iCs/>
          <w:sz w:val="24"/>
          <w:szCs w:val="24"/>
        </w:rPr>
        <w:t xml:space="preserve">Статья посвящена анализу налоговой системы России, выявлению ее структурных элементов. Названные элементы являются ориентиром при формировании налоговой политики, системы налогов и сборов, установлении специальных налоговых режимов, то есть порядка налогообложения. </w:t>
      </w:r>
    </w:p>
    <w:p w14:paraId="1ABB638B" w14:textId="77777777" w:rsidR="002F08F2" w:rsidRPr="0047795F" w:rsidRDefault="630840AF" w:rsidP="630840AF">
      <w:pPr>
        <w:shd w:val="clear" w:color="auto" w:fill="FFFFFF" w:themeFill="background1"/>
        <w:spacing w:after="0" w:line="240" w:lineRule="auto"/>
        <w:ind w:firstLine="709"/>
        <w:jc w:val="both"/>
        <w:rPr>
          <w:rFonts w:ascii="Times New Roman" w:hAnsi="Times New Roman" w:cs="Times New Roman"/>
          <w:i/>
          <w:iCs/>
          <w:sz w:val="24"/>
          <w:szCs w:val="24"/>
        </w:rPr>
      </w:pPr>
      <w:r w:rsidRPr="630840AF">
        <w:rPr>
          <w:rFonts w:ascii="Times New Roman" w:hAnsi="Times New Roman" w:cs="Times New Roman"/>
          <w:i/>
          <w:iCs/>
          <w:sz w:val="24"/>
          <w:szCs w:val="24"/>
        </w:rPr>
        <w:t xml:space="preserve">Целью статьи является научное обоснование организационной структуры налоговой системы России. Это позволит сделать вывод о том, что налоговая система имеет оптимальное количество элементов в своем составе, при которых может обеспечить необходимую собираемость налогов. </w:t>
      </w:r>
    </w:p>
    <w:p w14:paraId="00C5F6B2" w14:textId="77777777" w:rsidR="006A10F6" w:rsidRPr="002F08F2" w:rsidRDefault="630840AF" w:rsidP="630840AF">
      <w:pPr>
        <w:shd w:val="clear" w:color="auto" w:fill="FFFFFF" w:themeFill="background1"/>
        <w:spacing w:after="0" w:line="240" w:lineRule="auto"/>
        <w:ind w:firstLine="709"/>
        <w:jc w:val="both"/>
        <w:rPr>
          <w:rFonts w:ascii="Times New Roman" w:hAnsi="Times New Roman" w:cs="Times New Roman"/>
          <w:i/>
          <w:iCs/>
          <w:sz w:val="24"/>
          <w:szCs w:val="24"/>
        </w:rPr>
      </w:pPr>
      <w:r w:rsidRPr="630840AF">
        <w:rPr>
          <w:rFonts w:ascii="Times New Roman" w:hAnsi="Times New Roman" w:cs="Times New Roman"/>
          <w:b/>
          <w:bCs/>
          <w:sz w:val="24"/>
          <w:szCs w:val="24"/>
        </w:rPr>
        <w:t>Ключевые слова:</w:t>
      </w:r>
      <w:r w:rsidRPr="630840AF">
        <w:rPr>
          <w:rFonts w:ascii="Times New Roman" w:hAnsi="Times New Roman" w:cs="Times New Roman"/>
          <w:sz w:val="24"/>
          <w:szCs w:val="24"/>
        </w:rPr>
        <w:t xml:space="preserve"> </w:t>
      </w:r>
      <w:r w:rsidRPr="630840AF">
        <w:rPr>
          <w:rFonts w:ascii="Times New Roman" w:hAnsi="Times New Roman" w:cs="Times New Roman"/>
          <w:i/>
          <w:iCs/>
          <w:sz w:val="24"/>
          <w:szCs w:val="24"/>
        </w:rPr>
        <w:t>налоговая нагрузка, налоговая политика, налоговые отношения, система налогов и сборов, элементы налогообложения.</w:t>
      </w:r>
    </w:p>
    <w:p w14:paraId="1D1F4880" w14:textId="77777777" w:rsidR="006A10F6" w:rsidRPr="002F08F2" w:rsidRDefault="006A10F6" w:rsidP="006A10F6">
      <w:pPr>
        <w:shd w:val="clear" w:color="auto" w:fill="FFFFFF"/>
        <w:spacing w:after="0" w:line="240" w:lineRule="auto"/>
        <w:ind w:firstLine="709"/>
        <w:jc w:val="both"/>
        <w:rPr>
          <w:rFonts w:ascii="Times New Roman" w:hAnsi="Times New Roman" w:cs="Times New Roman"/>
          <w:i/>
          <w:sz w:val="24"/>
          <w:szCs w:val="24"/>
        </w:rPr>
      </w:pPr>
    </w:p>
    <w:p w14:paraId="3638799B" w14:textId="77777777" w:rsidR="006A10F6" w:rsidRPr="00410DEE" w:rsidRDefault="630840AF" w:rsidP="630840AF">
      <w:pPr>
        <w:shd w:val="clear" w:color="auto" w:fill="FFFFFF" w:themeFill="background1"/>
        <w:spacing w:line="240" w:lineRule="auto"/>
        <w:ind w:firstLine="709"/>
        <w:jc w:val="center"/>
        <w:rPr>
          <w:rFonts w:ascii="Times New Roman" w:hAnsi="Times New Roman" w:cs="Times New Roman"/>
          <w:b/>
          <w:bCs/>
          <w:sz w:val="24"/>
          <w:szCs w:val="24"/>
          <w:lang w:val="en-US"/>
        </w:rPr>
      </w:pPr>
      <w:r w:rsidRPr="630840AF">
        <w:rPr>
          <w:rFonts w:ascii="Times New Roman" w:hAnsi="Times New Roman" w:cs="Times New Roman"/>
          <w:b/>
          <w:bCs/>
          <w:sz w:val="24"/>
          <w:szCs w:val="24"/>
          <w:lang w:val="en-US"/>
        </w:rPr>
        <w:t>STRUCTURAL ELEMENTS OF THE TAX SYSTEM OF THE RUSSIAN FEDERATION</w:t>
      </w:r>
    </w:p>
    <w:p w14:paraId="34AFD9C4" w14:textId="77777777" w:rsidR="002F08F2" w:rsidRPr="0047795F" w:rsidRDefault="630840AF" w:rsidP="630840AF">
      <w:pPr>
        <w:shd w:val="clear" w:color="auto" w:fill="FFFFFF" w:themeFill="background1"/>
        <w:spacing w:after="0" w:line="240" w:lineRule="auto"/>
        <w:ind w:firstLine="709"/>
        <w:jc w:val="both"/>
        <w:rPr>
          <w:rFonts w:ascii="Times New Roman" w:hAnsi="Times New Roman" w:cs="Times New Roman"/>
          <w:i/>
          <w:iCs/>
          <w:sz w:val="24"/>
          <w:szCs w:val="24"/>
          <w:lang w:val="en-US"/>
        </w:rPr>
      </w:pPr>
      <w:r w:rsidRPr="630840AF">
        <w:rPr>
          <w:rFonts w:ascii="Times New Roman" w:hAnsi="Times New Roman" w:cs="Times New Roman"/>
          <w:i/>
          <w:iCs/>
          <w:sz w:val="24"/>
          <w:szCs w:val="24"/>
          <w:lang w:val="en-US"/>
        </w:rPr>
        <w:t xml:space="preserve">This article analyzes the tax system in Russia, to identify its structural elements. Due to the fact that to date have not been fully identified list of the main elements of the tax system in Russia, has also not been scientifically proved its organizational structure. The named elements provide guidance in the formation of tax policy, the system of taxes and fees, establishment of special tax regimes, i.e. of the order of taxation. The purpose of this article is the scientific study of organizational structure of tax system of Russia. This will allow us to conclude that the tax system has an optimal number of elements in its composition, which can provide the necessary tax collection. </w:t>
      </w:r>
    </w:p>
    <w:p w14:paraId="09E07FC5" w14:textId="77777777" w:rsidR="006A10F6" w:rsidRPr="002F08F2" w:rsidRDefault="630840AF" w:rsidP="630840AF">
      <w:pPr>
        <w:shd w:val="clear" w:color="auto" w:fill="FFFFFF" w:themeFill="background1"/>
        <w:spacing w:after="0" w:line="240" w:lineRule="auto"/>
        <w:ind w:firstLine="709"/>
        <w:jc w:val="both"/>
        <w:rPr>
          <w:rFonts w:ascii="Times New Roman" w:hAnsi="Times New Roman" w:cs="Times New Roman"/>
          <w:i/>
          <w:iCs/>
          <w:sz w:val="24"/>
          <w:szCs w:val="24"/>
          <w:lang w:val="en-US"/>
        </w:rPr>
      </w:pPr>
      <w:r w:rsidRPr="630840AF">
        <w:rPr>
          <w:rFonts w:ascii="Times New Roman" w:hAnsi="Times New Roman" w:cs="Times New Roman"/>
          <w:b/>
          <w:bCs/>
          <w:sz w:val="24"/>
          <w:szCs w:val="24"/>
          <w:lang w:val="en-US"/>
        </w:rPr>
        <w:t>Key words:</w:t>
      </w:r>
      <w:r w:rsidRPr="630840AF">
        <w:rPr>
          <w:rFonts w:ascii="Times New Roman" w:hAnsi="Times New Roman" w:cs="Times New Roman"/>
          <w:sz w:val="24"/>
          <w:szCs w:val="24"/>
          <w:lang w:val="en-US"/>
        </w:rPr>
        <w:t xml:space="preserve"> </w:t>
      </w:r>
      <w:r w:rsidRPr="630840AF">
        <w:rPr>
          <w:rFonts w:ascii="Times New Roman" w:hAnsi="Times New Roman" w:cs="Times New Roman"/>
          <w:i/>
          <w:iCs/>
          <w:sz w:val="24"/>
          <w:szCs w:val="24"/>
          <w:lang w:val="en-US"/>
        </w:rPr>
        <w:t>tax burden, tax policy, tax relations, tax system, elements of taxation.</w:t>
      </w:r>
    </w:p>
    <w:p w14:paraId="0612E972" w14:textId="77777777" w:rsidR="006A10F6" w:rsidRPr="002F08F2" w:rsidRDefault="006A10F6" w:rsidP="006A10F6">
      <w:pPr>
        <w:shd w:val="clear" w:color="auto" w:fill="FFFFFF"/>
        <w:spacing w:after="0" w:line="240" w:lineRule="auto"/>
        <w:ind w:firstLine="709"/>
        <w:jc w:val="both"/>
        <w:rPr>
          <w:rFonts w:ascii="Times New Roman" w:hAnsi="Times New Roman" w:cs="Times New Roman"/>
          <w:bCs/>
          <w:color w:val="000000" w:themeColor="text1"/>
          <w:sz w:val="24"/>
          <w:szCs w:val="24"/>
          <w:lang w:val="en-US"/>
        </w:rPr>
      </w:pPr>
    </w:p>
    <w:p w14:paraId="0767EB00" w14:textId="77777777" w:rsidR="006A10F6" w:rsidRPr="002F08F2" w:rsidRDefault="630840AF" w:rsidP="630840AF">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630840AF">
        <w:rPr>
          <w:rFonts w:ascii="Times New Roman" w:hAnsi="Times New Roman" w:cs="Times New Roman"/>
          <w:color w:val="000000" w:themeColor="text1"/>
          <w:sz w:val="24"/>
          <w:szCs w:val="24"/>
        </w:rPr>
        <w:t>Налоговая система – ϶ᴛᴏ совокупность налогов и сборов, взимаемых с плательщиков в порядке и на условиях, которые определены Налоговым кодексом Российской Федерации. Структуру налоговой системы и ее основные элементы обуславливают задачи социально- экономического развития государства. Исторические этапы эволюции государственности предопределяют каждую новую стадию развития налоговой системы. Из вышесказанного можно сделать вывод, что структура налоговой системы страны характеризует уровень ее государственного и экономического развития.</w:t>
      </w:r>
    </w:p>
    <w:p w14:paraId="0A2A585B" w14:textId="77777777" w:rsidR="006A10F6" w:rsidRPr="002F08F2" w:rsidRDefault="006A10F6" w:rsidP="630840AF">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Для реализации основных задач социально-экономического развития, которые ставит перед собой государство, оно выполняет изъятие у предприятий и населения части их доходов, путем взимания налогов и сборов, а также воздействие через налоговый механизм на процессы производства и обращения. </w:t>
      </w:r>
      <w:r w:rsidRPr="002F08F2">
        <w:rPr>
          <w:rFonts w:ascii="Times New Roman" w:hAnsi="Times New Roman" w:cs="Times New Roman"/>
          <w:color w:val="000000"/>
          <w:sz w:val="24"/>
          <w:szCs w:val="24"/>
          <w:shd w:val="clear" w:color="auto" w:fill="FFFFFF"/>
        </w:rPr>
        <w:t>С помощью налогового регулирования государство создает необходимые условия для ускорения накопления капитала в наиболее перспективных с точки зрения научно-технического процесса отраслях, а также в малорентабельных, но социально необходимых сферах производства. Взимание как прямых, так и косвенных налогов создает достаточную устойчивость налоговых поступлений, а также и утяжеляет зависимость размера уплачиваемых налогоплательщиком налогов от эффективности его деятельности [3].</w:t>
      </w:r>
    </w:p>
    <w:p w14:paraId="40A02F5F" w14:textId="77777777" w:rsidR="006A10F6" w:rsidRPr="002F08F2" w:rsidRDefault="630840AF" w:rsidP="630840AF">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630840AF">
        <w:rPr>
          <w:rFonts w:ascii="Times New Roman" w:hAnsi="Times New Roman" w:cs="Times New Roman"/>
          <w:color w:val="000000" w:themeColor="text1"/>
          <w:sz w:val="24"/>
          <w:szCs w:val="24"/>
        </w:rPr>
        <w:t xml:space="preserve">Для более подробного исследования налоговой системы России и ее вклада в решение важных задач государства следует выявить ее структурные элементы и привести их краткую характеристику. </w:t>
      </w:r>
    </w:p>
    <w:p w14:paraId="1AC0DA3F"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r w:rsidRPr="002F08F2">
        <w:rPr>
          <w:rFonts w:ascii="Times New Roman" w:hAnsi="Times New Roman" w:cs="Times New Roman"/>
          <w:color w:val="000000" w:themeColor="text1"/>
          <w:sz w:val="24"/>
          <w:szCs w:val="24"/>
        </w:rPr>
        <w:t>На сегодняшний день в нашей стране функционирует т</w:t>
      </w:r>
      <w:r w:rsidRPr="002F08F2">
        <w:rPr>
          <w:rFonts w:ascii="Times New Roman" w:hAnsi="Times New Roman" w:cs="Times New Roman"/>
          <w:bCs/>
          <w:color w:val="000000" w:themeColor="text1"/>
          <w:sz w:val="24"/>
          <w:szCs w:val="24"/>
        </w:rPr>
        <w:t>рехуровневая налоговая система (рисунок 1)</w:t>
      </w:r>
    </w:p>
    <w:p w14:paraId="67654FC7" w14:textId="77777777" w:rsidR="006A10F6" w:rsidRPr="002F08F2" w:rsidRDefault="007014C7" w:rsidP="00E2206E">
      <w:pPr>
        <w:tabs>
          <w:tab w:val="left" w:pos="2535"/>
        </w:tabs>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r>
        <w:rPr>
          <w:rFonts w:ascii="Times New Roman" w:hAnsi="Times New Roman" w:cs="Times New Roman"/>
          <w:noProof/>
          <w:sz w:val="24"/>
          <w:szCs w:val="24"/>
          <w:lang w:eastAsia="ru-RU"/>
        </w:rPr>
        <w:lastRenderedPageBreak/>
        <w:pict w14:anchorId="2F9F6F21">
          <v:group id="Группа 67" o:spid="_x0000_s1125" style="position:absolute;left:0;text-align:left;margin-left:62.45pt;margin-top:12.9pt;width:362.4pt;height:202.9pt;z-index:251684864" coordorigin="2059,2866" coordsize="7248,4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">
            <v:shape id="Text Box 4" o:spid="_x0000_s1126" type="#_x0000_t202" style="position:absolute;left:2059;top:2866;width:7248;height:17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14:paraId="5D3B5E97" w14:textId="77777777" w:rsidR="007014C7" w:rsidRPr="00C02686" w:rsidRDefault="007014C7" w:rsidP="006A10F6">
                    <w:pPr>
                      <w:spacing w:before="120" w:after="120" w:line="240" w:lineRule="auto"/>
                      <w:rPr>
                        <w:rFonts w:ascii="Times New Roman" w:eastAsia="TimesNewRomanPS-ItalicMT" w:hAnsi="Times New Roman"/>
                        <w:iCs/>
                        <w:color w:val="000000" w:themeColor="text1"/>
                        <w:sz w:val="24"/>
                        <w:szCs w:val="24"/>
                      </w:rPr>
                    </w:pPr>
                    <w:r w:rsidRPr="00C02686">
                      <w:rPr>
                        <w:rFonts w:ascii="Times New Roman" w:hAnsi="Times New Roman"/>
                        <w:sz w:val="24"/>
                        <w:szCs w:val="24"/>
                      </w:rPr>
                      <w:t>Федеральные налоги (</w:t>
                    </w:r>
                    <w:r w:rsidRPr="00C02686">
                      <w:rPr>
                        <w:rFonts w:ascii="Times New Roman" w:eastAsia="TimesNewRomanPS-BoldMT" w:hAnsi="Times New Roman"/>
                        <w:color w:val="000000" w:themeColor="text1"/>
                        <w:sz w:val="24"/>
                        <w:szCs w:val="24"/>
                      </w:rPr>
                      <w:t>налог на добавленную стоимость, акцизы, налог на доходы физических лиц, налог на прибыль организаций, налог на добычу полезных ископаемых, водный налог, сборы за пользование объектами животного мира и за пользование объектами водных биологических ресурсов, государственная пошли</w:t>
                    </w:r>
                    <w:r w:rsidRPr="00C02686">
                      <w:rPr>
                        <w:rFonts w:ascii="Times New Roman" w:eastAsia="TimesNewRomanPS-ItalicMT" w:hAnsi="Times New Roman"/>
                        <w:iCs/>
                        <w:color w:val="000000" w:themeColor="text1"/>
                        <w:sz w:val="24"/>
                        <w:szCs w:val="24"/>
                      </w:rPr>
                      <w:t>на</w:t>
                    </w:r>
                    <w:r>
                      <w:rPr>
                        <w:rFonts w:ascii="Times New Roman" w:eastAsia="TimesNewRomanPS-ItalicMT" w:hAnsi="Times New Roman"/>
                        <w:iCs/>
                        <w:color w:val="000000" w:themeColor="text1"/>
                        <w:sz w:val="24"/>
                        <w:szCs w:val="24"/>
                      </w:rPr>
                      <w:t>)</w:t>
                    </w:r>
                  </w:p>
                </w:txbxContent>
              </v:textbox>
            </v:shape>
            <v:shape id="Text Box 5" o:spid="_x0000_s1127" type="#_x0000_t202" style="position:absolute;left:3042;top:4607;width:5459;height:11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14:paraId="4F59F6CD" w14:textId="77777777" w:rsidR="007014C7" w:rsidRPr="00CD16E7" w:rsidRDefault="007014C7" w:rsidP="006A10F6">
                    <w:pPr>
                      <w:spacing w:before="120" w:after="120" w:line="240" w:lineRule="auto"/>
                      <w:rPr>
                        <w:rFonts w:ascii="Times New Roman" w:hAnsi="Times New Roman"/>
                        <w:sz w:val="24"/>
                        <w:szCs w:val="24"/>
                      </w:rPr>
                    </w:pPr>
                    <w:r w:rsidRPr="00CD16E7">
                      <w:rPr>
                        <w:rFonts w:ascii="Times New Roman" w:hAnsi="Times New Roman"/>
                        <w:sz w:val="24"/>
                        <w:szCs w:val="24"/>
                      </w:rPr>
                      <w:t>Региональные налоги (</w:t>
                    </w:r>
                    <w:r w:rsidRPr="00CD16E7">
                      <w:rPr>
                        <w:rFonts w:ascii="Times New Roman" w:eastAsia="TimesNewRomanPS-BoldMT" w:hAnsi="Times New Roman"/>
                        <w:color w:val="000000" w:themeColor="text1"/>
                        <w:sz w:val="24"/>
                        <w:szCs w:val="24"/>
                      </w:rPr>
                      <w:t>налог на имущество организаций, налог на игорный бизнес, транспортный налог)</w:t>
                    </w:r>
                  </w:p>
                </w:txbxContent>
              </v:textbox>
            </v:shape>
            <v:shape id="Text Box 6" o:spid="_x0000_s1128" type="#_x0000_t202" style="position:absolute;left:3879;top:5795;width:4004;height:11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14:paraId="19867716" w14:textId="77777777" w:rsidR="007014C7" w:rsidRDefault="007014C7" w:rsidP="006A10F6">
                    <w:pPr>
                      <w:spacing w:before="120" w:after="120" w:line="240" w:lineRule="auto"/>
                    </w:pPr>
                    <w:r>
                      <w:rPr>
                        <w:rFonts w:ascii="Times New Roman" w:eastAsia="TimesNewRomanPS-ItalicMT" w:hAnsi="Times New Roman"/>
                        <w:iCs/>
                        <w:color w:val="000000" w:themeColor="text1"/>
                        <w:sz w:val="24"/>
                        <w:szCs w:val="24"/>
                      </w:rPr>
                      <w:t>Местные налоги (</w:t>
                    </w:r>
                    <w:r>
                      <w:rPr>
                        <w:rFonts w:ascii="Times New Roman" w:eastAsia="TimesNewRomanPS-BoldMT" w:hAnsi="Times New Roman"/>
                        <w:color w:val="000000" w:themeColor="text1"/>
                        <w:sz w:val="24"/>
                        <w:szCs w:val="24"/>
                      </w:rPr>
                      <w:t xml:space="preserve">земельный налог, </w:t>
                    </w:r>
                    <w:r w:rsidRPr="00BB6ED4">
                      <w:rPr>
                        <w:rFonts w:ascii="Times New Roman" w:eastAsia="TimesNewRomanPS-BoldMT" w:hAnsi="Times New Roman"/>
                        <w:color w:val="000000" w:themeColor="text1"/>
                        <w:sz w:val="24"/>
                        <w:szCs w:val="24"/>
                      </w:rPr>
                      <w:t>налог на имущество физиче</w:t>
                    </w:r>
                    <w:r>
                      <w:rPr>
                        <w:rFonts w:ascii="Times New Roman" w:eastAsia="TimesNewRomanPS-BoldMT" w:hAnsi="Times New Roman"/>
                        <w:color w:val="000000" w:themeColor="text1"/>
                        <w:sz w:val="24"/>
                        <w:szCs w:val="24"/>
                      </w:rPr>
                      <w:t>ских лиц)</w:t>
                    </w:r>
                  </w:p>
                </w:txbxContent>
              </v:textbox>
            </v:shape>
          </v:group>
        </w:pict>
      </w:r>
      <w:r w:rsidR="00E2206E" w:rsidRPr="002F08F2">
        <w:rPr>
          <w:rFonts w:ascii="Times New Roman" w:eastAsia="TimesNewRomanPS-ItalicMT" w:hAnsi="Times New Roman" w:cs="Times New Roman"/>
          <w:iCs/>
          <w:color w:val="000000" w:themeColor="text1"/>
          <w:sz w:val="24"/>
          <w:szCs w:val="24"/>
        </w:rPr>
        <w:tab/>
      </w:r>
    </w:p>
    <w:p w14:paraId="4DFFF28C" w14:textId="77777777" w:rsidR="006A10F6" w:rsidRPr="002F08F2" w:rsidRDefault="006A10F6" w:rsidP="006A10F6">
      <w:pPr>
        <w:autoSpaceDE w:val="0"/>
        <w:autoSpaceDN w:val="0"/>
        <w:adjustRightInd w:val="0"/>
        <w:spacing w:after="0" w:line="240" w:lineRule="auto"/>
        <w:jc w:val="both"/>
        <w:rPr>
          <w:rFonts w:ascii="Times New Roman" w:eastAsia="TimesNewRomanPS-ItalicMT" w:hAnsi="Times New Roman" w:cs="Times New Roman"/>
          <w:iCs/>
          <w:color w:val="000000" w:themeColor="text1"/>
          <w:sz w:val="24"/>
          <w:szCs w:val="24"/>
        </w:rPr>
      </w:pPr>
    </w:p>
    <w:p w14:paraId="66FCFE07"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p>
    <w:p w14:paraId="0CE5CD97"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p>
    <w:p w14:paraId="33A0AE41"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p>
    <w:p w14:paraId="061FEB43"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p>
    <w:p w14:paraId="188425CC"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ItalicMT" w:hAnsi="Times New Roman" w:cs="Times New Roman"/>
          <w:iCs/>
          <w:color w:val="000000" w:themeColor="text1"/>
          <w:sz w:val="24"/>
          <w:szCs w:val="24"/>
        </w:rPr>
      </w:pPr>
    </w:p>
    <w:p w14:paraId="30563357"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43F804A0"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4200D767"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496217B0"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66C82AA8"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4631F88E"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4AF909B0"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4885100A"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3D7CEA7F" w14:textId="77777777" w:rsidR="006A10F6" w:rsidRPr="002F08F2" w:rsidRDefault="006A10F6" w:rsidP="006A10F6">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14:paraId="4BCC773F" w14:textId="77777777" w:rsidR="006A10F6" w:rsidRPr="002F08F2" w:rsidRDefault="006A10F6" w:rsidP="006A10F6">
      <w:pPr>
        <w:autoSpaceDE w:val="0"/>
        <w:autoSpaceDN w:val="0"/>
        <w:adjustRightInd w:val="0"/>
        <w:spacing w:after="0" w:line="240" w:lineRule="auto"/>
        <w:jc w:val="center"/>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Рис.1. Уровни налоговой системы РФ</w:t>
      </w:r>
    </w:p>
    <w:p w14:paraId="6DF670E6" w14:textId="77777777" w:rsidR="00E2206E" w:rsidRPr="002F08F2" w:rsidRDefault="00E2206E"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39418812"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Основные принципы построения налоговой системы, а также ее элементы определены Налоговым законодательством. Налоговое законодательство — это система правовых норм, изложенных в федеральных законах, законах субъекта РФ и актах органов местного самоуправления, которые устанавливают виды налогов в государстве, порядок их уплаты, регулируют взаимоотношения, связанные с возникновением, изменением и прекращением налоговых обязательств [5].</w:t>
      </w:r>
    </w:p>
    <w:p w14:paraId="1FECD6F8"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К основным структурным элементам налоговой системы можно отнести [1]:</w:t>
      </w:r>
    </w:p>
    <w:p w14:paraId="6506F7E6"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1) налоговая нагрузка;</w:t>
      </w:r>
    </w:p>
    <w:p w14:paraId="51B5B551"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 принципы построения налоговой системы Российской Федерации;</w:t>
      </w:r>
    </w:p>
    <w:p w14:paraId="4945A19F"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3) налоговые отношения и их участники;</w:t>
      </w:r>
    </w:p>
    <w:p w14:paraId="3D03FA5D"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4) налогоплательщики и другие элементы налогообложения в России;</w:t>
      </w:r>
    </w:p>
    <w:p w14:paraId="0B2DA3B6"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5) методы взимания налогов и сборов;</w:t>
      </w:r>
    </w:p>
    <w:p w14:paraId="5FE817AA"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6) специальные налоговые режимы;</w:t>
      </w:r>
    </w:p>
    <w:p w14:paraId="07C3B413"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7) налоговый контроль.</w:t>
      </w:r>
    </w:p>
    <w:p w14:paraId="7FAD50CE"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Одним из самых главных элементов налоговой системы России является налоговая нагрузка. Она представляет собой расчетный суммарный объем денежных средств, которые подлежат уплате в виде налогов, сборов, пошлин, а также взносов в государственные внебюджетные фонды. Данные налогового и бухгалтерского учета являются главным источником информации при определении уровня налоговой нагрузки [8]. Налоговая нагрузка по праву считается одним из главных структурных элементов налоговой системы, так как именно ее уровень показывает тяжесть налогового бремени, возложенную государством на предприятия. Государство должно тщательно планировать и определять уровень налоговой нагрузки на предприятия, функционирующие в различных отраслях, так как слишком высокие ее показатели в краткосрочном периоде принесут государству достаточно большой доход, но в перспективе многих предприятия не смогут выдержать возложенного на них налогового бремени, а значит приостановят свою хозяйственную деятельность. Банкротство предприятий несомненно повлияет на доходы государства, а значит в долгосрочном периоде необоснованное повышение налоговой нагрузки будет иметь пагубное воздействие на предприятия.</w:t>
      </w:r>
    </w:p>
    <w:p w14:paraId="234D6B4C"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Налоговая система России основана на ведущих принципах, в соответствии с которыми и ведется разработка всех нормативно-правовых актов в данной сфере. К принципам налоговой системы РФ, на наш взгляд, относятся:</w:t>
      </w:r>
    </w:p>
    <w:p w14:paraId="362C309F"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Cs/>
          <w:color w:val="000000" w:themeColor="text1"/>
          <w:sz w:val="24"/>
          <w:szCs w:val="24"/>
        </w:rPr>
        <w:t>1) принцип справедливости</w:t>
      </w:r>
      <w:r w:rsidRPr="002F08F2">
        <w:rPr>
          <w:rFonts w:ascii="Times New Roman" w:hAnsi="Times New Roman" w:cs="Times New Roman"/>
          <w:color w:val="000000" w:themeColor="text1"/>
          <w:sz w:val="24"/>
          <w:szCs w:val="24"/>
        </w:rPr>
        <w:t>, кᴏᴛᴏᴩый предполагает всеобщность обложения и равномерность распределения налога между гражданами соразмерно их доходам;</w:t>
      </w:r>
    </w:p>
    <w:p w14:paraId="6E90277D"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Cs/>
          <w:color w:val="000000" w:themeColor="text1"/>
          <w:sz w:val="24"/>
          <w:szCs w:val="24"/>
        </w:rPr>
        <w:lastRenderedPageBreak/>
        <w:t>2) принцип определенности</w:t>
      </w:r>
      <w:r w:rsidRPr="002F08F2">
        <w:rPr>
          <w:rFonts w:ascii="Times New Roman" w:hAnsi="Times New Roman" w:cs="Times New Roman"/>
          <w:color w:val="000000" w:themeColor="text1"/>
          <w:sz w:val="24"/>
          <w:szCs w:val="24"/>
        </w:rPr>
        <w:t>, заключающийся в том, что сумма, способ и время платежа должны быть точно и заранее известны налогоплательщику;</w:t>
      </w:r>
    </w:p>
    <w:p w14:paraId="4C43C4E2"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Cs/>
          <w:color w:val="000000" w:themeColor="text1"/>
          <w:sz w:val="24"/>
          <w:szCs w:val="24"/>
        </w:rPr>
        <w:t>3) принцип удобства</w:t>
      </w:r>
      <w:r w:rsidRPr="002F08F2">
        <w:rPr>
          <w:rFonts w:ascii="Times New Roman" w:hAnsi="Times New Roman" w:cs="Times New Roman"/>
          <w:color w:val="000000" w:themeColor="text1"/>
          <w:sz w:val="24"/>
          <w:szCs w:val="24"/>
        </w:rPr>
        <w:t> — налог должен взиматься в такое время и таким способом, кᴏᴛᴏᴩые представляют наибольшие удобства для плательщика. В первую очередь, данный принцип направлен на выполнение плательщиком, возложенных на него налоговых обязательств, а также устранение злоупотребления властью со стороны налоговых органов;</w:t>
      </w:r>
    </w:p>
    <w:p w14:paraId="788A5F41"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bCs/>
          <w:color w:val="000000" w:themeColor="text1"/>
          <w:sz w:val="24"/>
          <w:szCs w:val="24"/>
        </w:rPr>
        <w:t>4) принцип экономии</w:t>
      </w:r>
      <w:r w:rsidRPr="002F08F2">
        <w:rPr>
          <w:rFonts w:ascii="Times New Roman" w:hAnsi="Times New Roman" w:cs="Times New Roman"/>
          <w:color w:val="000000" w:themeColor="text1"/>
          <w:sz w:val="24"/>
          <w:szCs w:val="24"/>
        </w:rPr>
        <w:t>, кᴏᴛᴏᴩый подразумевает, что государство должно стремиться к сокращению издержек взимания налогов.</w:t>
      </w:r>
    </w:p>
    <w:p w14:paraId="6E061B09"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Уплата и поступление налоговых отчислений в бюджет того или иного уровня не может происходить без установления налоговых отношений. </w:t>
      </w:r>
      <w:r w:rsidRPr="002F08F2">
        <w:rPr>
          <w:rFonts w:ascii="Times New Roman" w:hAnsi="Times New Roman" w:cs="Times New Roman"/>
          <w:bCs/>
          <w:color w:val="000000" w:themeColor="text1"/>
          <w:sz w:val="24"/>
          <w:szCs w:val="24"/>
        </w:rPr>
        <w:t>Налоговые отношения </w:t>
      </w:r>
      <w:r w:rsidRPr="002F08F2">
        <w:rPr>
          <w:rFonts w:ascii="Times New Roman" w:hAnsi="Times New Roman" w:cs="Times New Roman"/>
          <w:color w:val="000000" w:themeColor="text1"/>
          <w:sz w:val="24"/>
          <w:szCs w:val="24"/>
        </w:rPr>
        <w:t>- это, находящиеся под охраной государства общественные отношения, которые возникают в сфере налогообложения и имеют экономическую основу, а также представляют социально значимую связь субъектов посредством прав и обязанностей, предусмотренных нормами налогового права. Подробная характеристика налоговых отношений определена статьей 2 НК РФ, в соответствии с которой регулируются властные отношения, складывающиеся в процессе установления, введения и взимания налогов и сборов, а также осуществления налогового контроля, обжалования актов налоговых органов и действий (бездействия) их должностных лиц, привлечения к ответственности за совершение налогового правонарушения.</w:t>
      </w:r>
    </w:p>
    <w:p w14:paraId="5E53296F" w14:textId="77777777" w:rsidR="006A10F6" w:rsidRPr="002F08F2" w:rsidRDefault="006A10F6" w:rsidP="006A10F6">
      <w:pPr>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Налоговые отношения бывают следующих видов: отношения по установлению, введению и взиманию налогов и сборов в РФ; отношения, возникающие в процессе исполнения соответствующими лицами своих налоговых обязанностей по исчислению и уплате налогов или сборов (налоговые обязательственные отношения); отношения, возникающие в процессе заключения и исполнения налоговых договоров (налоговые договорные отношения); отношения, возникающие в процессе налогового контроля и надзора за соблюдением налогового законодательства налоговые контрольные отношения); отношения, возникающие в процессе защиты прав и законных интересов участников налоговых правоотношений (налогоплательщиков, налоговых органов, государства и др., а также в процессе налоговых споров; отношения, возникающие в процессе привлечения к ответственности за совершения налоговых правонарушений (налоговые деликатные отношения) [4].</w:t>
      </w:r>
    </w:p>
    <w:p w14:paraId="70F6C69C"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Налоговые отношения не будут иметь место без их участников. В соответствии с законодательством о налогах и сборах, участниками налоговых отношений являются:</w:t>
      </w:r>
    </w:p>
    <w:p w14:paraId="528F2F7A"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1) организации и физические лица, признаваемые соответствии с НК РФ налогоплательщиками или плательщиками сборов; </w:t>
      </w:r>
    </w:p>
    <w:p w14:paraId="369FB056"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2) организации и физические лица, признаваемые в соответствии с НК РФ налоговыми агентами;</w:t>
      </w:r>
    </w:p>
    <w:p w14:paraId="1422593D"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 xml:space="preserve">3) налоговые органы; </w:t>
      </w:r>
    </w:p>
    <w:p w14:paraId="0EE379FE"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4) таможенные органы [3].</w:t>
      </w:r>
    </w:p>
    <w:p w14:paraId="7CFD28A8"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BoldMT" w:hAnsi="Times New Roman" w:cs="Times New Roman"/>
          <w:color w:val="000000" w:themeColor="text1"/>
          <w:sz w:val="24"/>
          <w:szCs w:val="24"/>
        </w:rPr>
      </w:pPr>
      <w:r w:rsidRPr="002F08F2">
        <w:rPr>
          <w:rFonts w:ascii="Times New Roman" w:eastAsia="TimesNewRomanPS-BoldMT" w:hAnsi="Times New Roman" w:cs="Times New Roman"/>
          <w:color w:val="000000" w:themeColor="text1"/>
          <w:sz w:val="24"/>
          <w:szCs w:val="24"/>
        </w:rPr>
        <w:t>Любой налог считается установленным лишь тогда, когда определены и налогоплательщики, и элементы налогообложения, а именно: объект налогообложения; налоговая база; налоговый период; налоговая ставка; порядок исчисления налога; порядок и сроки уплаты налога. В необходимых случаях при установлении налога в акте законодательства о налогах и сборах могут также предусматриваться налоговые льготы, а также основания, при которых налогоплательщик может их использовать. Сроки уплаты налогов и сборов назначаются отдельно по каждому налогу и сбору. Изменение срока уплаты налога и сбора возможно осуществить в форме отсрочки, рассрочки платежа, инвестиционного налогового кредита [1].</w:t>
      </w:r>
    </w:p>
    <w:p w14:paraId="0E556A55"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Не менее важно рассмотреть методы взимания налогов и сборов. Практика налогообложения позволяет рассмотреть три вида методов взимания налогов, а именно: метод начисления, метод удержания и кадастровый метод. Рассмотрим отдельно краткие характеристики каждого из перечисленных методов.</w:t>
      </w:r>
    </w:p>
    <w:p w14:paraId="4EF0FF5B"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lastRenderedPageBreak/>
        <w:t xml:space="preserve">При методе начисления налогоплательщик должен представить в налоговые органы налоговую декларацию (расчеты по уплате налогов). На основе этого документа и определяется сумма, подлежащая уплате. </w:t>
      </w:r>
    </w:p>
    <w:p w14:paraId="4D231163" w14:textId="77777777" w:rsidR="006A10F6" w:rsidRPr="002F08F2" w:rsidRDefault="006A10F6" w:rsidP="006A10F6">
      <w:pPr>
        <w:pStyle w:val="a9"/>
        <w:spacing w:before="0" w:beforeAutospacing="0" w:after="0" w:afterAutospacing="0"/>
        <w:ind w:firstLine="709"/>
        <w:jc w:val="both"/>
        <w:rPr>
          <w:color w:val="000000" w:themeColor="text1"/>
        </w:rPr>
      </w:pPr>
      <w:r w:rsidRPr="002F08F2">
        <w:rPr>
          <w:color w:val="000000" w:themeColor="text1"/>
        </w:rPr>
        <w:t>Метод удержания предполагает уплату налога у источника получения дохода. Данный метод часто используется при взимании налога на доходы физических лиц, налога на прибыль организаций (с доходов в виде дивидендов). Удержание налога у источника выплаты дохода имеет ряд преимуществ, в том числе: 1) налог уплачивается в момент выплаты дохода; 2) уменьшается риск уклонения от уплаты налога; 3) у источника дохода легче проконтролировать правильность исчисления суммы налога.</w:t>
      </w:r>
    </w:p>
    <w:p w14:paraId="7BF7C0F0" w14:textId="77777777" w:rsidR="006A10F6" w:rsidRPr="002F08F2" w:rsidRDefault="006A10F6" w:rsidP="006A10F6">
      <w:pPr>
        <w:pStyle w:val="a9"/>
        <w:spacing w:before="0" w:beforeAutospacing="0" w:after="0" w:afterAutospacing="0"/>
        <w:ind w:firstLine="709"/>
        <w:jc w:val="both"/>
        <w:rPr>
          <w:color w:val="000000" w:themeColor="text1"/>
        </w:rPr>
      </w:pPr>
      <w:r w:rsidRPr="002F08F2">
        <w:rPr>
          <w:color w:val="000000" w:themeColor="text1"/>
        </w:rPr>
        <w:t>При кадастровом методе сумма налогового платежа определяется на основе данных кадастра [2].</w:t>
      </w:r>
    </w:p>
    <w:p w14:paraId="34053C88"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eastAsia="TimesNewRomanPS-BoldMT" w:hAnsi="Times New Roman" w:cs="Times New Roman"/>
          <w:bCs/>
          <w:color w:val="000000" w:themeColor="text1"/>
          <w:sz w:val="24"/>
          <w:szCs w:val="24"/>
        </w:rPr>
        <w:t xml:space="preserve">На данным момент в Российской Федерации государство стремится к поддержке развивающихся предприятий. Именно для снижения налогового бремени на предприятия, и содействия их более успешному и стремительному росту в России введены специальные налоговые режимы. </w:t>
      </w:r>
      <w:r w:rsidRPr="002F08F2">
        <w:rPr>
          <w:rFonts w:ascii="Times New Roman" w:hAnsi="Times New Roman" w:cs="Times New Roman"/>
          <w:color w:val="000000" w:themeColor="text1"/>
          <w:sz w:val="24"/>
          <w:szCs w:val="24"/>
        </w:rPr>
        <w:t>Специальные налоговые режимы обуславливают особую процедуру определения элементов налогообложения, а также освобождение от ответственности по уплате отдельных налогов и сборов.</w:t>
      </w:r>
    </w:p>
    <w:p w14:paraId="47D80821"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К специальным налоговым режимам относятся: система налогообложения для сельскохозяйственных товаропроизводителей (единый сельскохозяйственный налог); упрощенная система налогообложения; система налогообложения в виде единого налога на вмененный доход для отдельных видов деятельности; система налогообложения при выполнении соглашений о разделе продукции; патентная система налогообложения [2].</w:t>
      </w:r>
    </w:p>
    <w:p w14:paraId="468505CA"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8F2">
        <w:rPr>
          <w:rFonts w:ascii="Times New Roman" w:hAnsi="Times New Roman" w:cs="Times New Roman"/>
          <w:color w:val="000000" w:themeColor="text1"/>
          <w:sz w:val="24"/>
          <w:szCs w:val="24"/>
        </w:rPr>
        <w:t>Стоит отметить, что использование специальных налоговых режимов предоставляется не всем организациям. Данные режимы созданы для поддержки конкретных отраслей экономики (единый сельскохозяйственных налог, ЕНВД) или же для обеспечения перспективы функционирования малого бизнеса (УСНО).</w:t>
      </w:r>
    </w:p>
    <w:p w14:paraId="2D425C06"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BoldMT" w:hAnsi="Times New Roman" w:cs="Times New Roman"/>
          <w:bCs/>
          <w:sz w:val="24"/>
          <w:szCs w:val="24"/>
        </w:rPr>
      </w:pPr>
      <w:r w:rsidRPr="002F08F2">
        <w:rPr>
          <w:rFonts w:ascii="Times New Roman" w:eastAsia="TimesNewRomanPS-BoldMT" w:hAnsi="Times New Roman" w:cs="Times New Roman"/>
          <w:bCs/>
          <w:sz w:val="24"/>
          <w:szCs w:val="24"/>
        </w:rPr>
        <w:t xml:space="preserve">Успешное функционирование любого механизма невозможно без постоянного контроля. Так и налоговая система страны для обеспечения успешного функционирования нуждается в налоговом контроле, который в свою очередь представляет </w:t>
      </w:r>
      <w:r w:rsidRPr="002F08F2">
        <w:rPr>
          <w:rFonts w:ascii="Times New Roman" w:hAnsi="Times New Roman" w:cs="Times New Roman"/>
          <w:sz w:val="24"/>
          <w:szCs w:val="24"/>
        </w:rPr>
        <w:t>деятельность уполномоченных органов по контролю за соблюдением налогоплательщиками, налоговыми агентами и плательщиками сборов, плательщиками страховых взносов законодательства о налогах и сборах в порядке, установленном НК РФ [2]. Налоговый контроль сводится к обеспечению правильности и соразмерности уплаты налогов и сборов. Для полноты внесения налогов в бюджет страны соответствующие органы проводят проверку налоговых деклараций.</w:t>
      </w:r>
      <w:r w:rsidRPr="002F08F2">
        <w:rPr>
          <w:rFonts w:ascii="Times New Roman" w:eastAsia="TimesNewRomanPS-BoldMT" w:hAnsi="Times New Roman" w:cs="Times New Roman"/>
          <w:bCs/>
          <w:sz w:val="24"/>
          <w:szCs w:val="24"/>
        </w:rPr>
        <w:t xml:space="preserve"> </w:t>
      </w:r>
      <w:r w:rsidRPr="002F08F2">
        <w:rPr>
          <w:rFonts w:ascii="Times New Roman" w:hAnsi="Times New Roman" w:cs="Times New Roman"/>
          <w:sz w:val="24"/>
          <w:szCs w:val="24"/>
        </w:rPr>
        <w:t>Налоговая декларация - это письменное заявление или заявление налогоплательщика, составленное в электронной форме и переданное по телекоммуникационным каналам связи с применением усиленной квалифицированно в электронной подписи или через личный кабинет налогоплательщика, об объектах налогообложения, о полученных доходах и произведенных расходах, об источниках доходов, и о других данных, служащих основанием для исчисления и уплаты налога [2].</w:t>
      </w:r>
    </w:p>
    <w:p w14:paraId="7544BFF4"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BoldMT" w:hAnsi="Times New Roman" w:cs="Times New Roman"/>
          <w:bCs/>
          <w:sz w:val="24"/>
          <w:szCs w:val="24"/>
        </w:rPr>
      </w:pPr>
      <w:r w:rsidRPr="002F08F2">
        <w:rPr>
          <w:rFonts w:ascii="Times New Roman" w:eastAsia="TimesNewRomanPS-BoldMT" w:hAnsi="Times New Roman" w:cs="Times New Roman"/>
          <w:bCs/>
          <w:sz w:val="24"/>
          <w:szCs w:val="24"/>
        </w:rPr>
        <w:t xml:space="preserve">На современном этапе развития экономических отношений, а также для еще более детального контроля за полнотой уплаты налогов и сборов </w:t>
      </w:r>
      <w:r w:rsidRPr="002F08F2">
        <w:rPr>
          <w:rFonts w:ascii="Times New Roman" w:hAnsi="Times New Roman" w:cs="Times New Roman"/>
          <w:sz w:val="24"/>
          <w:szCs w:val="24"/>
        </w:rPr>
        <w:t>производится представление налоговой и бухгалтерской отчетности в электронном виде. Передача данных документов в таком виде повышает эффективность работы сотрудников налоговых органов</w:t>
      </w:r>
      <w:r w:rsidRPr="002F08F2">
        <w:rPr>
          <w:rFonts w:ascii="Times New Roman" w:eastAsia="TimesNewRomanPS-BoldMT" w:hAnsi="Times New Roman" w:cs="Times New Roman"/>
          <w:bCs/>
          <w:sz w:val="24"/>
          <w:szCs w:val="24"/>
        </w:rPr>
        <w:t xml:space="preserve"> </w:t>
      </w:r>
      <w:r w:rsidRPr="002F08F2">
        <w:rPr>
          <w:rFonts w:ascii="Times New Roman" w:hAnsi="Times New Roman" w:cs="Times New Roman"/>
          <w:sz w:val="24"/>
          <w:szCs w:val="24"/>
        </w:rPr>
        <w:t>и избавляет организации от дополнительных неудобств, имеет и другие положительные стороны, например:</w:t>
      </w:r>
    </w:p>
    <w:p w14:paraId="1F84E06D" w14:textId="77777777" w:rsidR="006A10F6" w:rsidRPr="002F08F2" w:rsidRDefault="006A10F6" w:rsidP="006A10F6">
      <w:pPr>
        <w:autoSpaceDE w:val="0"/>
        <w:autoSpaceDN w:val="0"/>
        <w:adjustRightInd w:val="0"/>
        <w:spacing w:after="0" w:line="240" w:lineRule="auto"/>
        <w:ind w:firstLine="709"/>
        <w:jc w:val="both"/>
        <w:rPr>
          <w:rFonts w:ascii="Times New Roman" w:eastAsia="TimesNewRomanPS-BoldMT" w:hAnsi="Times New Roman" w:cs="Times New Roman"/>
          <w:bCs/>
          <w:sz w:val="24"/>
          <w:szCs w:val="24"/>
        </w:rPr>
      </w:pPr>
      <w:r w:rsidRPr="002F08F2">
        <w:rPr>
          <w:rFonts w:ascii="Times New Roman" w:hAnsi="Times New Roman" w:cs="Times New Roman"/>
          <w:sz w:val="24"/>
          <w:szCs w:val="24"/>
        </w:rPr>
        <w:t>1) значительное упрощение процедуры подготовки</w:t>
      </w:r>
      <w:r w:rsidRPr="002F08F2">
        <w:rPr>
          <w:rFonts w:ascii="Times New Roman" w:eastAsia="TimesNewRomanPS-BoldMT" w:hAnsi="Times New Roman" w:cs="Times New Roman"/>
          <w:bCs/>
          <w:sz w:val="24"/>
          <w:szCs w:val="24"/>
        </w:rPr>
        <w:t>;</w:t>
      </w:r>
    </w:p>
    <w:p w14:paraId="0255E958"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2) отсутствие в декларациях, предоставляемых налогоплательщиками арифметических ошибок и неточностей в оформлении обязательных реквизитов;</w:t>
      </w:r>
    </w:p>
    <w:p w14:paraId="2D8ED6E1"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t>3) передача разработчиками программного обеспечения по каналам связи при предоставлении налоговой отчетности по электронной почте, обновление форм отчетности налогоплательщикам [8].</w:t>
      </w:r>
    </w:p>
    <w:p w14:paraId="649A0C85" w14:textId="77777777" w:rsidR="006A10F6" w:rsidRPr="002F08F2" w:rsidRDefault="006A10F6" w:rsidP="006A10F6">
      <w:pPr>
        <w:autoSpaceDE w:val="0"/>
        <w:autoSpaceDN w:val="0"/>
        <w:adjustRightInd w:val="0"/>
        <w:spacing w:after="0" w:line="240" w:lineRule="auto"/>
        <w:ind w:firstLine="709"/>
        <w:jc w:val="both"/>
        <w:rPr>
          <w:rFonts w:ascii="Times New Roman" w:hAnsi="Times New Roman" w:cs="Times New Roman"/>
          <w:sz w:val="24"/>
          <w:szCs w:val="24"/>
        </w:rPr>
      </w:pPr>
      <w:r w:rsidRPr="002F08F2">
        <w:rPr>
          <w:rFonts w:ascii="Times New Roman" w:hAnsi="Times New Roman" w:cs="Times New Roman"/>
          <w:sz w:val="24"/>
          <w:szCs w:val="24"/>
        </w:rPr>
        <w:lastRenderedPageBreak/>
        <w:t xml:space="preserve">Таким образом, налоговая система — </w:t>
      </w:r>
      <w:r w:rsidRPr="002F08F2">
        <w:rPr>
          <w:rFonts w:ascii="Times New Roman" w:eastAsia="TimesNewRomanPS-BoldMT" w:hAnsi="Times New Roman" w:cs="Times New Roman"/>
          <w:bCs/>
          <w:sz w:val="24"/>
          <w:szCs w:val="24"/>
        </w:rPr>
        <w:t>совокупность элементов</w:t>
      </w:r>
      <w:r w:rsidRPr="002F08F2">
        <w:rPr>
          <w:rFonts w:ascii="Times New Roman" w:hAnsi="Times New Roman" w:cs="Times New Roman"/>
          <w:sz w:val="24"/>
          <w:szCs w:val="24"/>
        </w:rPr>
        <w:t>, сложившихся в сфере налогообложения в связи с установлением, введением, взиманием налогов и сборов в Российской Федерации, перечислением их в соответствующий бюджет в целях финансового обеспечения деятельности государства и муниципальных образований [6]. Все вышеперечисленные элементы налоговой системы позволяют обеспечить четкое и наиболее полное выполнение главных социально-экономических задач государства. Правильное функционирование всех элементов поможет достигнуть государству своих целей и повысить уровень социальной защищенности, а также обеспечить стабильность жизни населения.</w:t>
      </w:r>
    </w:p>
    <w:p w14:paraId="66597038" w14:textId="77777777" w:rsidR="006A10F6" w:rsidRPr="002F08F2" w:rsidRDefault="007014C7" w:rsidP="006A10F6">
      <w:pPr>
        <w:autoSpaceDE w:val="0"/>
        <w:autoSpaceDN w:val="0"/>
        <w:adjustRightInd w:val="0"/>
        <w:spacing w:after="0" w:line="240" w:lineRule="auto"/>
        <w:ind w:firstLine="709"/>
        <w:rPr>
          <w:rFonts w:ascii="Times New Roman" w:hAnsi="Times New Roman" w:cs="Times New Roman"/>
          <w:sz w:val="24"/>
          <w:szCs w:val="24"/>
        </w:rPr>
      </w:pPr>
      <w:r>
        <w:rPr>
          <w:rFonts w:ascii="Times New Roman" w:hAnsi="Times New Roman" w:cs="Times New Roman"/>
          <w:noProof/>
          <w:sz w:val="24"/>
          <w:szCs w:val="24"/>
          <w:lang w:eastAsia="ru-RU"/>
        </w:rPr>
        <w:pict w14:anchorId="13B8D98C">
          <v:shape id="Прямая со стрелкой 71" o:spid="_x0000_s1129" type="#_x0000_t32" style="position:absolute;left:0;text-align:left;margin-left:4.2pt;margin-top:7.5pt;width:473.95pt;height:3.1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"/>
        </w:pict>
      </w:r>
    </w:p>
    <w:p w14:paraId="7A1F9BC8" w14:textId="77777777" w:rsidR="00B92001"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 xml:space="preserve">Конституция Российской Федерации от 12.12.1993 г. (с изм. от 21.07.2014) № 11-ФКЗ [Электронный ресурс] // СПС «КонсультантПлюс». – Режим доступа: </w:t>
      </w:r>
      <w:hyperlink r:id="rId120" w:history="1">
        <w:r w:rsidR="00B92001" w:rsidRPr="002F08F2">
          <w:rPr>
            <w:rFonts w:ascii="Times New Roman" w:eastAsia="Times New Roman" w:hAnsi="Times New Roman" w:cs="Times New Roman"/>
            <w:sz w:val="24"/>
            <w:szCs w:val="24"/>
            <w:lang w:eastAsia="ru-RU"/>
          </w:rPr>
          <w:t>http://www.consultant.ru/document/cons_doc_LAW_28399/</w:t>
        </w:r>
      </w:hyperlink>
    </w:p>
    <w:p w14:paraId="0D37C0AA"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Налоговый кодекс Российской Федерации (часть первая) от 31.07.1998 № 146-ФЗ // [Электронный ресурс] // СПС «КонсультантПлюс». – Режим доступа: http://www.consultant.ru/document/cons_doc_LAW_19671/</w:t>
      </w:r>
    </w:p>
    <w:p w14:paraId="46C8974B"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Налоговый кодекс Российской Федерации (часть вторая) от 05.08.2000 № 117-ФЗ // [Электронный ресурс] // СПС «КонсультантПлюс». – Режим доступа: http://www.consultant.ru/document/cons_doc_LAW_28165/</w:t>
      </w:r>
    </w:p>
    <w:p w14:paraId="6BEA69C6"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Бельский К.С. Налоговая система: генезис, основные элементы, принципы // Государство и право. 2016. № 9.</w:t>
      </w:r>
    </w:p>
    <w:p w14:paraId="07919C5B"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Красноперова О.А. Налоговая система и налоговое законодательство — важнейшие элементы налогового механизма // Налоги (Журнал). 2014. № 3.</w:t>
      </w:r>
    </w:p>
    <w:p w14:paraId="2D3EC7A4"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Кузнецов Л.Д. Правовое регулирование налоговой системы России: Монография. М.: Академия экономической безопасности МВД России, 2015 г. 236 с.</w:t>
      </w:r>
    </w:p>
    <w:p w14:paraId="301712D6"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Кузнеченкова В.Е. Налоговая система России и принципы ее построения. // Финансовое право. 2014. № 3. С. 28—30.</w:t>
      </w:r>
    </w:p>
    <w:p w14:paraId="51E9B357" w14:textId="77777777" w:rsidR="006A10F6" w:rsidRPr="002F08F2" w:rsidRDefault="006A10F6" w:rsidP="00202D58">
      <w:pPr>
        <w:numPr>
          <w:ilvl w:val="0"/>
          <w:numId w:val="41"/>
        </w:numPr>
        <w:spacing w:after="0" w:line="240" w:lineRule="auto"/>
        <w:ind w:left="0" w:firstLine="397"/>
        <w:jc w:val="both"/>
        <w:rPr>
          <w:rFonts w:ascii="Times New Roman" w:eastAsia="Times New Roman" w:hAnsi="Times New Roman" w:cs="Times New Roman"/>
          <w:sz w:val="24"/>
          <w:szCs w:val="24"/>
          <w:lang w:eastAsia="ru-RU"/>
        </w:rPr>
      </w:pPr>
      <w:r w:rsidRPr="002F08F2">
        <w:rPr>
          <w:rFonts w:ascii="Times New Roman" w:eastAsia="Times New Roman" w:hAnsi="Times New Roman" w:cs="Times New Roman"/>
          <w:sz w:val="24"/>
          <w:szCs w:val="24"/>
          <w:lang w:eastAsia="ru-RU"/>
        </w:rPr>
        <w:t>Назаров В.Н. О понятии «налоговая система» и его правовом содержании // Финансовое право. 2017. № 1.</w:t>
      </w:r>
    </w:p>
    <w:p w14:paraId="017458F3" w14:textId="77777777" w:rsidR="006A10F6" w:rsidRPr="002F08F2" w:rsidRDefault="006A10F6" w:rsidP="006A10F6">
      <w:pPr>
        <w:widowControl w:val="0"/>
        <w:autoSpaceDE w:val="0"/>
        <w:autoSpaceDN w:val="0"/>
        <w:adjustRightInd w:val="0"/>
        <w:spacing w:line="240" w:lineRule="auto"/>
        <w:jc w:val="both"/>
        <w:rPr>
          <w:rFonts w:ascii="Times New Roman" w:eastAsia="MS ??" w:hAnsi="Times New Roman" w:cs="Times New Roman"/>
          <w:sz w:val="24"/>
          <w:szCs w:val="24"/>
        </w:rPr>
      </w:pPr>
    </w:p>
    <w:p w14:paraId="60086500" w14:textId="77777777" w:rsidR="006A10F6" w:rsidRDefault="006A10F6" w:rsidP="002245D5">
      <w:pPr>
        <w:jc w:val="both"/>
        <w:rPr>
          <w:rFonts w:ascii="Times New Roman" w:hAnsi="Times New Roman" w:cs="Times New Roman"/>
          <w:b/>
          <w:sz w:val="24"/>
          <w:szCs w:val="24"/>
        </w:rPr>
      </w:pPr>
    </w:p>
    <w:p w14:paraId="6A9BAC8F" w14:textId="77777777" w:rsidR="007E1000" w:rsidRDefault="007E1000" w:rsidP="002245D5">
      <w:pPr>
        <w:jc w:val="both"/>
        <w:rPr>
          <w:rFonts w:ascii="Times New Roman" w:hAnsi="Times New Roman" w:cs="Times New Roman"/>
          <w:b/>
          <w:sz w:val="24"/>
          <w:szCs w:val="24"/>
        </w:rPr>
      </w:pPr>
    </w:p>
    <w:p w14:paraId="2C28ACFC" w14:textId="77777777" w:rsidR="007E1000" w:rsidRDefault="007E1000" w:rsidP="002245D5">
      <w:pPr>
        <w:jc w:val="both"/>
        <w:rPr>
          <w:rFonts w:ascii="Times New Roman" w:hAnsi="Times New Roman" w:cs="Times New Roman"/>
          <w:b/>
          <w:sz w:val="24"/>
          <w:szCs w:val="24"/>
        </w:rPr>
      </w:pPr>
    </w:p>
    <w:p w14:paraId="67525D00" w14:textId="77777777" w:rsidR="007E1000" w:rsidRDefault="007E1000" w:rsidP="002245D5">
      <w:pPr>
        <w:jc w:val="both"/>
        <w:rPr>
          <w:rFonts w:ascii="Times New Roman" w:hAnsi="Times New Roman" w:cs="Times New Roman"/>
          <w:b/>
          <w:sz w:val="24"/>
          <w:szCs w:val="24"/>
        </w:rPr>
      </w:pPr>
    </w:p>
    <w:p w14:paraId="02A3EDED" w14:textId="77777777" w:rsidR="007E1000" w:rsidRDefault="007E1000" w:rsidP="002245D5">
      <w:pPr>
        <w:jc w:val="both"/>
        <w:rPr>
          <w:rFonts w:ascii="Times New Roman" w:hAnsi="Times New Roman" w:cs="Times New Roman"/>
          <w:b/>
          <w:sz w:val="24"/>
          <w:szCs w:val="24"/>
        </w:rPr>
      </w:pPr>
    </w:p>
    <w:p w14:paraId="63B496E2" w14:textId="77777777" w:rsidR="007E1000" w:rsidRDefault="007E1000" w:rsidP="002245D5">
      <w:pPr>
        <w:jc w:val="both"/>
        <w:rPr>
          <w:rFonts w:ascii="Times New Roman" w:hAnsi="Times New Roman" w:cs="Times New Roman"/>
          <w:b/>
          <w:sz w:val="24"/>
          <w:szCs w:val="24"/>
        </w:rPr>
      </w:pPr>
    </w:p>
    <w:p w14:paraId="3A871899" w14:textId="77777777" w:rsidR="007E1000" w:rsidRDefault="007E1000" w:rsidP="002245D5">
      <w:pPr>
        <w:jc w:val="both"/>
        <w:rPr>
          <w:rFonts w:ascii="Times New Roman" w:hAnsi="Times New Roman" w:cs="Times New Roman"/>
          <w:b/>
          <w:sz w:val="24"/>
          <w:szCs w:val="24"/>
        </w:rPr>
      </w:pPr>
    </w:p>
    <w:p w14:paraId="2F6D4EFB" w14:textId="77777777" w:rsidR="007E1000" w:rsidRDefault="007E1000" w:rsidP="002245D5">
      <w:pPr>
        <w:jc w:val="both"/>
        <w:rPr>
          <w:rFonts w:ascii="Times New Roman" w:hAnsi="Times New Roman" w:cs="Times New Roman"/>
          <w:b/>
          <w:sz w:val="24"/>
          <w:szCs w:val="24"/>
        </w:rPr>
      </w:pPr>
    </w:p>
    <w:p w14:paraId="035A956E" w14:textId="77777777" w:rsidR="007E1000" w:rsidRDefault="007E1000" w:rsidP="002245D5">
      <w:pPr>
        <w:jc w:val="both"/>
        <w:rPr>
          <w:rFonts w:ascii="Times New Roman" w:hAnsi="Times New Roman" w:cs="Times New Roman"/>
          <w:b/>
          <w:sz w:val="24"/>
          <w:szCs w:val="24"/>
        </w:rPr>
      </w:pPr>
    </w:p>
    <w:p w14:paraId="7BC35E71" w14:textId="77777777" w:rsidR="007E1000" w:rsidRDefault="007E1000" w:rsidP="002245D5">
      <w:pPr>
        <w:jc w:val="both"/>
        <w:rPr>
          <w:rFonts w:ascii="Times New Roman" w:hAnsi="Times New Roman" w:cs="Times New Roman"/>
          <w:b/>
          <w:sz w:val="24"/>
          <w:szCs w:val="24"/>
        </w:rPr>
      </w:pPr>
    </w:p>
    <w:p w14:paraId="264C1A0E" w14:textId="77777777" w:rsidR="007E1000" w:rsidRDefault="007E1000" w:rsidP="002245D5">
      <w:pPr>
        <w:jc w:val="both"/>
        <w:rPr>
          <w:rFonts w:ascii="Times New Roman" w:hAnsi="Times New Roman" w:cs="Times New Roman"/>
          <w:b/>
          <w:sz w:val="24"/>
          <w:szCs w:val="24"/>
        </w:rPr>
      </w:pPr>
    </w:p>
    <w:p w14:paraId="3DC20B7F" w14:textId="77777777" w:rsidR="007E1000" w:rsidRDefault="007E1000" w:rsidP="002245D5">
      <w:pPr>
        <w:jc w:val="both"/>
        <w:rPr>
          <w:rFonts w:ascii="Times New Roman" w:hAnsi="Times New Roman" w:cs="Times New Roman"/>
          <w:b/>
          <w:sz w:val="24"/>
          <w:szCs w:val="24"/>
        </w:rPr>
      </w:pPr>
    </w:p>
    <w:p w14:paraId="4FB66433" w14:textId="77777777" w:rsidR="007E1000" w:rsidRPr="007E1000" w:rsidRDefault="630840AF" w:rsidP="630840AF">
      <w:pPr>
        <w:shd w:val="clear" w:color="auto" w:fill="FFFFFF" w:themeFill="background1"/>
        <w:spacing w:after="0" w:line="360" w:lineRule="auto"/>
        <w:contextualSpacing/>
        <w:rPr>
          <w:rFonts w:ascii="Times New Roman" w:eastAsia="Times New Roman" w:hAnsi="Times New Roman" w:cs="Times New Roman"/>
          <w:color w:val="000000" w:themeColor="text1"/>
          <w:sz w:val="24"/>
          <w:szCs w:val="24"/>
          <w:lang w:eastAsia="ru-RU"/>
        </w:rPr>
      </w:pPr>
      <w:r w:rsidRPr="630840AF">
        <w:rPr>
          <w:rFonts w:ascii="Times New Roman" w:eastAsia="Times New Roman" w:hAnsi="Times New Roman" w:cs="Times New Roman"/>
          <w:color w:val="000000" w:themeColor="text1"/>
          <w:sz w:val="24"/>
          <w:szCs w:val="24"/>
          <w:lang w:eastAsia="ru-RU"/>
        </w:rPr>
        <w:lastRenderedPageBreak/>
        <w:t>Рубрика: Мировая экономики: современные вызовы и угрозы</w:t>
      </w:r>
    </w:p>
    <w:p w14:paraId="4DDB4903" w14:textId="77777777" w:rsidR="007E1000" w:rsidRPr="007E1000" w:rsidRDefault="630840AF" w:rsidP="630840AF">
      <w:pPr>
        <w:shd w:val="clear" w:color="auto" w:fill="FFFFFF" w:themeFill="background1"/>
        <w:spacing w:after="0" w:line="360" w:lineRule="auto"/>
        <w:contextualSpacing/>
        <w:rPr>
          <w:rFonts w:ascii="Times New Roman" w:eastAsia="Times New Roman" w:hAnsi="Times New Roman" w:cs="Times New Roman"/>
          <w:color w:val="000000" w:themeColor="text1"/>
          <w:sz w:val="24"/>
          <w:szCs w:val="24"/>
          <w:lang w:eastAsia="ru-RU"/>
        </w:rPr>
      </w:pPr>
      <w:r w:rsidRPr="630840AF">
        <w:rPr>
          <w:rFonts w:ascii="Times New Roman" w:eastAsia="Times New Roman" w:hAnsi="Times New Roman" w:cs="Times New Roman"/>
          <w:color w:val="000000" w:themeColor="text1"/>
          <w:sz w:val="24"/>
          <w:szCs w:val="24"/>
          <w:lang w:eastAsia="ru-RU"/>
        </w:rPr>
        <w:t>УДК 338.1</w:t>
      </w:r>
    </w:p>
    <w:p w14:paraId="765E2C83"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b/>
          <w:bCs/>
          <w:color w:val="000000" w:themeColor="text1"/>
          <w:sz w:val="24"/>
          <w:szCs w:val="24"/>
          <w:lang w:eastAsia="ru-RU"/>
        </w:rPr>
      </w:pPr>
      <w:r w:rsidRPr="630840AF">
        <w:rPr>
          <w:rFonts w:ascii="Times New Roman" w:eastAsia="Times New Roman" w:hAnsi="Times New Roman" w:cs="Times New Roman"/>
          <w:b/>
          <w:bCs/>
          <w:color w:val="000000" w:themeColor="text1"/>
          <w:sz w:val="24"/>
          <w:szCs w:val="24"/>
          <w:lang w:eastAsia="ru-RU"/>
        </w:rPr>
        <w:t>Развитие инновационного потенциала Российской Федерации</w:t>
      </w:r>
    </w:p>
    <w:p w14:paraId="64B5A81B"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color w:val="000000" w:themeColor="text1"/>
          <w:sz w:val="24"/>
          <w:szCs w:val="24"/>
          <w:lang w:eastAsia="ru-RU"/>
        </w:rPr>
      </w:pPr>
      <w:r w:rsidRPr="630840AF">
        <w:rPr>
          <w:rFonts w:ascii="Times New Roman" w:eastAsia="Times New Roman" w:hAnsi="Times New Roman" w:cs="Times New Roman"/>
          <w:color w:val="000000" w:themeColor="text1"/>
          <w:sz w:val="24"/>
          <w:szCs w:val="24"/>
          <w:lang w:eastAsia="ru-RU"/>
        </w:rPr>
        <w:t>Васильев Анатолий Анатольевич,</w:t>
      </w:r>
    </w:p>
    <w:p w14:paraId="6162039D"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color w:val="000000" w:themeColor="text1"/>
          <w:sz w:val="24"/>
          <w:szCs w:val="24"/>
          <w:lang w:eastAsia="ru-RU"/>
        </w:rPr>
      </w:pPr>
      <w:r w:rsidRPr="630840AF">
        <w:rPr>
          <w:rFonts w:ascii="Times New Roman" w:eastAsia="Times New Roman" w:hAnsi="Times New Roman" w:cs="Times New Roman"/>
          <w:color w:val="000000" w:themeColor="text1"/>
          <w:sz w:val="24"/>
          <w:szCs w:val="24"/>
          <w:lang w:eastAsia="ru-RU"/>
        </w:rPr>
        <w:t>бакалавр</w:t>
      </w:r>
    </w:p>
    <w:p w14:paraId="6E523F67"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i/>
          <w:iCs/>
          <w:color w:val="000000" w:themeColor="text1"/>
          <w:sz w:val="24"/>
          <w:szCs w:val="24"/>
          <w:lang w:eastAsia="ru-RU"/>
        </w:rPr>
      </w:pPr>
      <w:r w:rsidRPr="630840AF">
        <w:rPr>
          <w:rFonts w:ascii="Times New Roman" w:eastAsia="Times New Roman" w:hAnsi="Times New Roman" w:cs="Times New Roman"/>
          <w:i/>
          <w:iCs/>
          <w:color w:val="000000" w:themeColor="text1"/>
          <w:sz w:val="24"/>
          <w:szCs w:val="24"/>
          <w:lang w:eastAsia="ru-RU"/>
        </w:rPr>
        <w:t>Владивостокский государственный университет экономики и сервиса</w:t>
      </w:r>
    </w:p>
    <w:p w14:paraId="4628A3A9"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i/>
          <w:iCs/>
          <w:color w:val="000000" w:themeColor="text1"/>
          <w:sz w:val="24"/>
          <w:szCs w:val="24"/>
          <w:lang w:eastAsia="ru-RU"/>
        </w:rPr>
      </w:pPr>
      <w:r w:rsidRPr="630840AF">
        <w:rPr>
          <w:rFonts w:ascii="Times New Roman" w:eastAsia="Times New Roman" w:hAnsi="Times New Roman" w:cs="Times New Roman"/>
          <w:i/>
          <w:iCs/>
          <w:color w:val="000000" w:themeColor="text1"/>
          <w:sz w:val="24"/>
          <w:szCs w:val="24"/>
          <w:lang w:eastAsia="ru-RU"/>
        </w:rPr>
        <w:t>Россия. Владивосток</w:t>
      </w:r>
    </w:p>
    <w:p w14:paraId="1974A552"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color w:val="000000" w:themeColor="text1"/>
          <w:sz w:val="24"/>
          <w:szCs w:val="24"/>
          <w:lang w:eastAsia="ru-RU"/>
        </w:rPr>
      </w:pPr>
      <w:r w:rsidRPr="630840AF">
        <w:rPr>
          <w:rFonts w:ascii="Times New Roman" w:eastAsia="Times New Roman" w:hAnsi="Times New Roman" w:cs="Times New Roman"/>
          <w:color w:val="000000" w:themeColor="text1"/>
          <w:sz w:val="24"/>
          <w:szCs w:val="24"/>
          <w:lang w:val="en-US" w:eastAsia="ru-RU"/>
        </w:rPr>
        <w:t>E</w:t>
      </w:r>
      <w:r w:rsidRPr="630840AF">
        <w:rPr>
          <w:rFonts w:ascii="Times New Roman" w:eastAsia="Times New Roman" w:hAnsi="Times New Roman" w:cs="Times New Roman"/>
          <w:color w:val="000000" w:themeColor="text1"/>
          <w:sz w:val="24"/>
          <w:szCs w:val="24"/>
          <w:lang w:eastAsia="ru-RU"/>
        </w:rPr>
        <w:t>-</w:t>
      </w:r>
      <w:r w:rsidRPr="630840AF">
        <w:rPr>
          <w:rFonts w:ascii="Times New Roman" w:eastAsia="Times New Roman" w:hAnsi="Times New Roman" w:cs="Times New Roman"/>
          <w:color w:val="000000" w:themeColor="text1"/>
          <w:sz w:val="24"/>
          <w:szCs w:val="24"/>
          <w:lang w:val="en-US" w:eastAsia="ru-RU"/>
        </w:rPr>
        <w:t>mail</w:t>
      </w:r>
      <w:r w:rsidRPr="630840AF">
        <w:rPr>
          <w:rFonts w:ascii="Times New Roman" w:eastAsia="Times New Roman" w:hAnsi="Times New Roman" w:cs="Times New Roman"/>
          <w:color w:val="000000" w:themeColor="text1"/>
          <w:sz w:val="24"/>
          <w:szCs w:val="24"/>
          <w:lang w:eastAsia="ru-RU"/>
        </w:rPr>
        <w:t xml:space="preserve">: </w:t>
      </w:r>
      <w:hyperlink r:id="rId121">
        <w:r w:rsidRPr="630840AF">
          <w:rPr>
            <w:rFonts w:ascii="Times New Roman" w:eastAsia="Times New Roman" w:hAnsi="Times New Roman" w:cs="Times New Roman"/>
            <w:color w:val="0000FF"/>
            <w:sz w:val="24"/>
            <w:szCs w:val="24"/>
            <w:u w:val="single"/>
            <w:lang w:val="en-US" w:eastAsia="ru-RU"/>
          </w:rPr>
          <w:t>tolya</w:t>
        </w:r>
        <w:r w:rsidRPr="630840AF">
          <w:rPr>
            <w:rFonts w:ascii="Times New Roman" w:eastAsia="Times New Roman" w:hAnsi="Times New Roman" w:cs="Times New Roman"/>
            <w:color w:val="0000FF"/>
            <w:sz w:val="24"/>
            <w:szCs w:val="24"/>
            <w:u w:val="single"/>
            <w:lang w:eastAsia="ru-RU"/>
          </w:rPr>
          <w:t>.</w:t>
        </w:r>
        <w:r w:rsidRPr="630840AF">
          <w:rPr>
            <w:rFonts w:ascii="Times New Roman" w:eastAsia="Times New Roman" w:hAnsi="Times New Roman" w:cs="Times New Roman"/>
            <w:color w:val="0000FF"/>
            <w:sz w:val="24"/>
            <w:szCs w:val="24"/>
            <w:u w:val="single"/>
            <w:lang w:val="en-US" w:eastAsia="ru-RU"/>
          </w:rPr>
          <w:t>vasilev</w:t>
        </w:r>
        <w:r w:rsidRPr="630840AF">
          <w:rPr>
            <w:rFonts w:ascii="Times New Roman" w:eastAsia="Times New Roman" w:hAnsi="Times New Roman" w:cs="Times New Roman"/>
            <w:color w:val="0000FF"/>
            <w:sz w:val="24"/>
            <w:szCs w:val="24"/>
            <w:u w:val="single"/>
            <w:lang w:eastAsia="ru-RU"/>
          </w:rPr>
          <w:t>.197@</w:t>
        </w:r>
        <w:r w:rsidRPr="630840AF">
          <w:rPr>
            <w:rFonts w:ascii="Times New Roman" w:eastAsia="Times New Roman" w:hAnsi="Times New Roman" w:cs="Times New Roman"/>
            <w:color w:val="0000FF"/>
            <w:sz w:val="24"/>
            <w:szCs w:val="24"/>
            <w:u w:val="single"/>
            <w:lang w:val="en-US" w:eastAsia="ru-RU"/>
          </w:rPr>
          <w:t>mail</w:t>
        </w:r>
        <w:r w:rsidRPr="630840AF">
          <w:rPr>
            <w:rFonts w:ascii="Times New Roman" w:eastAsia="Times New Roman" w:hAnsi="Times New Roman" w:cs="Times New Roman"/>
            <w:color w:val="0000FF"/>
            <w:sz w:val="24"/>
            <w:szCs w:val="24"/>
            <w:u w:val="single"/>
            <w:lang w:eastAsia="ru-RU"/>
          </w:rPr>
          <w:t>.</w:t>
        </w:r>
        <w:r w:rsidRPr="630840AF">
          <w:rPr>
            <w:rFonts w:ascii="Times New Roman" w:eastAsia="Times New Roman" w:hAnsi="Times New Roman" w:cs="Times New Roman"/>
            <w:color w:val="0000FF"/>
            <w:sz w:val="24"/>
            <w:szCs w:val="24"/>
            <w:u w:val="single"/>
            <w:lang w:val="en-US" w:eastAsia="ru-RU"/>
          </w:rPr>
          <w:t>ru</w:t>
        </w:r>
      </w:hyperlink>
      <w:r w:rsidRPr="630840AF">
        <w:rPr>
          <w:rFonts w:ascii="Times New Roman" w:eastAsia="Times New Roman" w:hAnsi="Times New Roman" w:cs="Times New Roman"/>
          <w:color w:val="000000" w:themeColor="text1"/>
          <w:sz w:val="24"/>
          <w:szCs w:val="24"/>
          <w:lang w:eastAsia="ru-RU"/>
        </w:rPr>
        <w:t>; тел.: +7-(984)-148-60-96</w:t>
      </w:r>
    </w:p>
    <w:p w14:paraId="1B60BA6B" w14:textId="77777777" w:rsidR="007E1000" w:rsidRPr="007E1000" w:rsidRDefault="630840AF" w:rsidP="630840AF">
      <w:pPr>
        <w:shd w:val="clear" w:color="auto" w:fill="FFFFFF" w:themeFill="background1"/>
        <w:spacing w:after="0" w:line="360" w:lineRule="auto"/>
        <w:contextualSpacing/>
        <w:jc w:val="center"/>
        <w:rPr>
          <w:rFonts w:ascii="Times New Roman" w:eastAsia="Times New Roman" w:hAnsi="Times New Roman" w:cs="Times New Roman"/>
          <w:color w:val="000000" w:themeColor="text1"/>
          <w:sz w:val="24"/>
          <w:szCs w:val="24"/>
          <w:lang w:eastAsia="ru-RU"/>
        </w:rPr>
      </w:pPr>
      <w:r w:rsidRPr="630840AF">
        <w:rPr>
          <w:rFonts w:ascii="Times New Roman" w:eastAsia="Times New Roman" w:hAnsi="Times New Roman" w:cs="Times New Roman"/>
          <w:color w:val="000000" w:themeColor="text1"/>
          <w:sz w:val="24"/>
          <w:szCs w:val="24"/>
          <w:lang w:eastAsia="ru-RU"/>
        </w:rPr>
        <w:t>Ул. Гоголя, 41, г. Владивосток, Приморский край, Россия, 690014</w:t>
      </w:r>
    </w:p>
    <w:p w14:paraId="222C0D7E"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6BEC1B1B" w14:textId="77777777" w:rsidR="007E1000" w:rsidRPr="007E1000" w:rsidRDefault="007E1000" w:rsidP="630840AF">
      <w:pPr>
        <w:shd w:val="clear" w:color="auto" w:fill="FFFFFF" w:themeFill="background1"/>
        <w:spacing w:line="240" w:lineRule="auto"/>
        <w:jc w:val="both"/>
        <w:rPr>
          <w:rFonts w:ascii="Times New Roman" w:eastAsia="Times New Roman" w:hAnsi="Times New Roman" w:cs="Times New Roman"/>
          <w:i/>
          <w:iCs/>
          <w:color w:val="000000" w:themeColor="text1"/>
          <w:sz w:val="24"/>
          <w:szCs w:val="24"/>
          <w:lang w:eastAsia="ru-RU"/>
        </w:rPr>
      </w:pPr>
      <w:r w:rsidRPr="630840AF">
        <w:rPr>
          <w:rFonts w:ascii="Times New Roman" w:eastAsia="Times New Roman" w:hAnsi="Times New Roman" w:cs="Times New Roman"/>
          <w:i/>
          <w:iCs/>
          <w:color w:val="000000" w:themeColor="text1"/>
          <w:sz w:val="24"/>
          <w:szCs w:val="24"/>
          <w:lang w:eastAsia="ru-RU"/>
        </w:rPr>
        <w:t>В статье анализируются вопросы, касающиеся инновационного потенциала РФ, в частности сущность и состояние инновационного потенциала страны в настоящее время.</w:t>
      </w:r>
      <w:r w:rsidRPr="007E1000">
        <w:rPr>
          <w:rFonts w:ascii="Times New Roman" w:eastAsia="Times New Roman" w:hAnsi="Times New Roman" w:cs="Times New Roman"/>
          <w:color w:val="000000" w:themeColor="text1"/>
          <w:spacing w:val="2"/>
          <w:sz w:val="24"/>
          <w:szCs w:val="24"/>
          <w:shd w:val="clear" w:color="auto" w:fill="FFFFFF"/>
          <w:lang w:eastAsia="ru-RU"/>
        </w:rPr>
        <w:t xml:space="preserve">  </w:t>
      </w:r>
      <w:r w:rsidRPr="630840AF">
        <w:rPr>
          <w:rFonts w:ascii="Times New Roman" w:eastAsia="Times New Roman" w:hAnsi="Times New Roman" w:cs="Times New Roman"/>
          <w:i/>
          <w:iCs/>
          <w:color w:val="000000" w:themeColor="text1"/>
          <w:spacing w:val="2"/>
          <w:sz w:val="24"/>
          <w:szCs w:val="24"/>
          <w:shd w:val="clear" w:color="auto" w:fill="FFFFFF"/>
          <w:lang w:eastAsia="ru-RU"/>
        </w:rPr>
        <w:t>Россия ставит перед собой амбициозные, но достижимые цели долгосрочного развития, заключающиеся в обеспечении высокого уровня благосостояния населения и закреплении геополитической роли страны как одного из лидеров, определяющих мировую политическую повестку дня. Наиболее эффективным возможным способом достижения этих целей, может являться перепрофилирование российской экономики, ее отраслей из сырьевой области на инновационную социально место-ориентированную модель развития отраслей с высокой долей добавленной стоимости – обрабатывающих отраслей, инфраструктуры, информационных технологий и т.п.</w:t>
      </w:r>
    </w:p>
    <w:p w14:paraId="0C39A1D0" w14:textId="77777777" w:rsidR="007E1000" w:rsidRPr="007E1000" w:rsidRDefault="007E1000" w:rsidP="630840AF">
      <w:pPr>
        <w:shd w:val="clear" w:color="auto" w:fill="FFFFFF" w:themeFill="background1"/>
        <w:spacing w:line="240" w:lineRule="auto"/>
        <w:jc w:val="both"/>
        <w:rPr>
          <w:rFonts w:ascii="Times New Roman" w:eastAsia="Times New Roman" w:hAnsi="Times New Roman" w:cs="Times New Roman"/>
          <w:i/>
          <w:iCs/>
          <w:color w:val="000000" w:themeColor="text1"/>
          <w:sz w:val="24"/>
          <w:szCs w:val="24"/>
          <w:lang w:eastAsia="ru-RU"/>
        </w:rPr>
      </w:pPr>
      <w:r w:rsidRPr="630840AF">
        <w:rPr>
          <w:rFonts w:ascii="Times New Roman" w:eastAsia="Times New Roman" w:hAnsi="Times New Roman" w:cs="Times New Roman"/>
          <w:b/>
          <w:bCs/>
          <w:i/>
          <w:iCs/>
          <w:color w:val="333333"/>
          <w:sz w:val="24"/>
          <w:szCs w:val="24"/>
          <w:shd w:val="clear" w:color="auto" w:fill="FFFFFF"/>
          <w:lang w:eastAsia="ru-RU"/>
        </w:rPr>
        <w:t>Ключевые слова и словосочетания:</w:t>
      </w:r>
      <w:r w:rsidRPr="630840AF">
        <w:rPr>
          <w:rFonts w:ascii="Times New Roman" w:eastAsia="Times New Roman" w:hAnsi="Times New Roman" w:cs="Times New Roman"/>
          <w:i/>
          <w:iCs/>
          <w:color w:val="333333"/>
          <w:sz w:val="24"/>
          <w:szCs w:val="24"/>
          <w:shd w:val="clear" w:color="auto" w:fill="FFFFFF"/>
          <w:lang w:eastAsia="ru-RU"/>
        </w:rPr>
        <w:t xml:space="preserve"> </w:t>
      </w:r>
      <w:r w:rsidRPr="630840AF">
        <w:rPr>
          <w:rFonts w:ascii="Times New Roman" w:eastAsia="Times New Roman" w:hAnsi="Times New Roman" w:cs="Times New Roman"/>
          <w:i/>
          <w:iCs/>
          <w:color w:val="000000" w:themeColor="text1"/>
          <w:sz w:val="24"/>
          <w:szCs w:val="24"/>
          <w:lang w:eastAsia="ru-RU"/>
        </w:rPr>
        <w:t xml:space="preserve">инновационный потенциал, экономическая система, инновационное </w:t>
      </w:r>
      <w:r w:rsidRPr="007E1000">
        <w:fldChar w:fldCharType="begin"/>
      </w:r>
      <w:r w:rsidRPr="007E1000">
        <w:rPr>
          <w:rFonts w:ascii="Times New Roman" w:eastAsia="Times New Roman" w:hAnsi="Times New Roman" w:cs="Times New Roman"/>
          <w:i/>
          <w:sz w:val="24"/>
          <w:szCs w:val="24"/>
          <w:lang w:val="en-US" w:eastAsia="ru-RU"/>
        </w:rPr>
        <w:instrText>eq</w:instrText>
      </w:r>
      <w:r w:rsidRPr="007E1000">
        <w:rPr>
          <w:rFonts w:ascii="Times New Roman" w:eastAsia="Times New Roman" w:hAnsi="Times New Roman" w:cs="Times New Roman"/>
          <w:i/>
          <w:sz w:val="24"/>
          <w:szCs w:val="24"/>
          <w:lang w:eastAsia="ru-RU"/>
        </w:rPr>
        <w:instrText xml:space="preserve"> </w:instrText>
      </w:r>
      <w:r w:rsidRPr="007E1000">
        <w:rPr>
          <w:rFonts w:ascii="Times New Roman" w:eastAsia="Times New Roman" w:hAnsi="Times New Roman" w:cs="Times New Roman"/>
          <w:i/>
          <w:noProof/>
          <w:color w:val="FFFFFF"/>
          <w:spacing w:val="-20000"/>
          <w:sz w:val="24"/>
          <w:szCs w:val="24"/>
          <w:lang w:val="en-US" w:eastAsia="ru-RU"/>
        </w:rPr>
        <w:instrText> </w:instrText>
      </w:r>
      <w:r w:rsidRPr="007E1000">
        <w:rPr>
          <w:rFonts w:ascii="Times New Roman" w:eastAsia="Times New Roman" w:hAnsi="Times New Roman" w:cs="Times New Roman"/>
          <w:i/>
          <w:noProof/>
          <w:color w:val="FFFFFF"/>
          <w:spacing w:val="-20000"/>
          <w:sz w:val="24"/>
          <w:szCs w:val="24"/>
          <w:lang w:eastAsia="ru-RU"/>
        </w:rPr>
        <w:instrText xml:space="preserve">мерах </w:instrText>
      </w:r>
      <w:r w:rsidRPr="007E1000">
        <w:rPr>
          <w:rFonts w:ascii="Times New Roman" w:eastAsia="Times New Roman" w:hAnsi="Times New Roman" w:cs="Times New Roman"/>
          <w:i/>
          <w:noProof/>
          <w:color w:val="000000" w:themeColor="text1"/>
          <w:sz w:val="24"/>
          <w:szCs w:val="24"/>
          <w:lang w:eastAsia="ru-RU"/>
        </w:rPr>
        <w:instrText>развитие</w:instrText>
      </w:r>
      <w:r w:rsidRPr="007E1000">
        <w:rPr>
          <w:rFonts w:ascii="Times New Roman" w:eastAsia="Times New Roman" w:hAnsi="Times New Roman" w:cs="Times New Roman"/>
          <w:i/>
          <w:noProof/>
          <w:color w:val="FFFFFF"/>
          <w:spacing w:val="-20000"/>
          <w:sz w:val="24"/>
          <w:szCs w:val="24"/>
          <w:lang w:val="en-US" w:eastAsia="ru-RU"/>
        </w:rPr>
        <w:instrText> </w:instrText>
      </w:r>
      <w:r w:rsidRPr="007E1000">
        <w:rPr>
          <w:rFonts w:ascii="Times New Roman" w:eastAsia="Times New Roman" w:hAnsi="Times New Roman" w:cs="Times New Roman"/>
          <w:i/>
          <w:noProof/>
          <w:color w:val="FFFFFF"/>
          <w:spacing w:val="-20000"/>
          <w:sz w:val="24"/>
          <w:szCs w:val="24"/>
          <w:lang w:eastAsia="ru-RU"/>
        </w:rPr>
        <w:instrText>особенности</w:instrText>
      </w:r>
      <w:r w:rsidRPr="007E1000">
        <w:rPr>
          <w:rFonts w:ascii="Times New Roman" w:eastAsia="Times New Roman" w:hAnsi="Times New Roman" w:cs="Times New Roman"/>
          <w:i/>
          <w:sz w:val="24"/>
          <w:szCs w:val="24"/>
          <w:lang w:val="en-US" w:eastAsia="ru-RU"/>
        </w:rPr>
        <w:fldChar w:fldCharType="end"/>
      </w:r>
      <w:r w:rsidRPr="007E1000">
        <w:rPr>
          <w:rFonts w:ascii="Times New Roman" w:eastAsia="Times New Roman" w:hAnsi="Times New Roman" w:cs="Times New Roman"/>
          <w:i/>
          <w:sz w:val="24"/>
          <w:szCs w:val="24"/>
          <w:lang w:eastAsia="ru-RU"/>
        </w:rPr>
        <w:t>, инновации, инвестиции, нововведения, инвестиционная привлекательность страны.</w:t>
      </w:r>
    </w:p>
    <w:p w14:paraId="5CA355FA" w14:textId="77777777" w:rsidR="007E1000" w:rsidRPr="007E1000" w:rsidRDefault="630840AF" w:rsidP="630840AF">
      <w:pPr>
        <w:shd w:val="clear" w:color="auto" w:fill="FFFFFF" w:themeFill="background1"/>
        <w:spacing w:line="240" w:lineRule="auto"/>
        <w:jc w:val="both"/>
        <w:rPr>
          <w:rFonts w:ascii="Times New Roman" w:eastAsia="Times New Roman" w:hAnsi="Times New Roman" w:cs="Times New Roman"/>
          <w:b/>
          <w:bCs/>
          <w:color w:val="000000" w:themeColor="text1"/>
          <w:sz w:val="24"/>
          <w:szCs w:val="24"/>
          <w:lang w:val="en-US" w:eastAsia="ru-RU"/>
        </w:rPr>
      </w:pPr>
      <w:r w:rsidRPr="630840AF">
        <w:rPr>
          <w:rFonts w:ascii="Times New Roman" w:eastAsia="Times New Roman" w:hAnsi="Times New Roman" w:cs="Times New Roman"/>
          <w:b/>
          <w:bCs/>
          <w:color w:val="000000" w:themeColor="text1"/>
          <w:sz w:val="24"/>
          <w:szCs w:val="24"/>
          <w:lang w:val="en-US" w:eastAsia="ru-RU"/>
        </w:rPr>
        <w:t>Development of potential for innovation in Russian Federation</w:t>
      </w:r>
    </w:p>
    <w:p w14:paraId="0D954CDD" w14:textId="77777777" w:rsidR="007E1000" w:rsidRPr="007E1000" w:rsidRDefault="007E1000" w:rsidP="630840AF">
      <w:pPr>
        <w:shd w:val="clear" w:color="auto" w:fill="FFFFFF" w:themeFill="background1"/>
        <w:spacing w:line="240" w:lineRule="auto"/>
        <w:jc w:val="both"/>
        <w:rPr>
          <w:rFonts w:ascii="Times New Roman" w:eastAsia="Times New Roman" w:hAnsi="Times New Roman" w:cs="Times New Roman"/>
          <w:i/>
          <w:iCs/>
          <w:color w:val="333333"/>
          <w:sz w:val="24"/>
          <w:szCs w:val="24"/>
          <w:lang w:val="en-US" w:eastAsia="ru-RU"/>
        </w:rPr>
      </w:pPr>
      <w:r w:rsidRPr="630840AF">
        <w:rPr>
          <w:rFonts w:ascii="Times New Roman" w:eastAsia="Times New Roman" w:hAnsi="Times New Roman" w:cs="Times New Roman"/>
          <w:i/>
          <w:iCs/>
          <w:color w:val="333333"/>
          <w:sz w:val="24"/>
          <w:szCs w:val="24"/>
          <w:shd w:val="clear" w:color="auto" w:fill="FFFFFF"/>
          <w:lang w:val="en-US" w:eastAsia="ru-RU"/>
        </w:rPr>
        <w:t>The article analyzes the issues related to the innovation potential of the Russian Federation, in particular the essence and state of the country's innovation potential at the present time. Russia sets ambitious but achievable long-term development goals, which are to ensure a high level of well-being of the population and to consolidate the country's geopolitical role as one of the leaders determining the global political agenda. The only possible way to achieve these goals is for the economy to adopt an innovative, socially oriented development model.</w:t>
      </w:r>
    </w:p>
    <w:p w14:paraId="68C5DA09" w14:textId="77777777" w:rsidR="007E1000" w:rsidRPr="007E1000" w:rsidRDefault="007E1000" w:rsidP="007E1000">
      <w:pPr>
        <w:spacing w:line="240" w:lineRule="auto"/>
        <w:jc w:val="both"/>
        <w:rPr>
          <w:rFonts w:eastAsia="Times New Roman" w:cs="Times New Roman"/>
          <w:lang w:val="en-US"/>
        </w:rPr>
      </w:pPr>
      <w:r w:rsidRPr="007E1000">
        <w:rPr>
          <w:rFonts w:ascii="Times New Roman" w:eastAsia="Times New Roman" w:hAnsi="Times New Roman" w:cs="Times New Roman"/>
          <w:b/>
          <w:i/>
          <w:color w:val="333333"/>
          <w:sz w:val="24"/>
          <w:szCs w:val="24"/>
          <w:shd w:val="clear" w:color="auto" w:fill="FFFFFF"/>
          <w:lang w:val="en-US"/>
        </w:rPr>
        <w:t>Key words</w:t>
      </w:r>
      <w:r w:rsidRPr="007E1000">
        <w:rPr>
          <w:rFonts w:ascii="Times New Roman" w:eastAsia="Times New Roman" w:hAnsi="Times New Roman" w:cs="Times New Roman"/>
          <w:i/>
          <w:color w:val="333333"/>
          <w:sz w:val="24"/>
          <w:szCs w:val="24"/>
          <w:shd w:val="clear" w:color="auto" w:fill="FFFFFF"/>
          <w:lang w:val="en-US"/>
        </w:rPr>
        <w:t>: innovative potential, economic system, innovative measures development features, innovations, investments, novelty, investment attractiveness of the country.</w:t>
      </w:r>
    </w:p>
    <w:p w14:paraId="64D4540D"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Состояние инновационного потенциала любого государства можно оценить в том случае, если инновационная деятельность рассматривается в единстве с научно-технической и производственной деятельностью. Потенциал каждой подсистемы может достичь максимальную эффективность в тесном взаимодействии с иными подсистемами в рамках единой системы инновационной деятельности.</w:t>
      </w:r>
    </w:p>
    <w:p w14:paraId="6995F74F"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Исследование понятия «инновационный потенциал» подразумевает применение широкого спектра подходов к ее изучению [1, с.51]. Экономическое содержание инновационного потенциала, связанного с созданием общих условий воспроизводства в Национальной Инновационной Системе, обусловливает возможность его рассмотрения в качестве фактора развития инновационного производства, поскольку формирует условия для эффективного использования ресурсов и технологий, стимулирует развитие конкурентной и </w:t>
      </w:r>
      <w:r w:rsidRPr="007E1000">
        <w:rPr>
          <w:rFonts w:ascii="Times New Roman" w:eastAsia="Times New Roman" w:hAnsi="Times New Roman" w:cs="Times New Roman"/>
          <w:color w:val="000000" w:themeColor="text1"/>
          <w:sz w:val="24"/>
          <w:szCs w:val="24"/>
          <w:lang w:eastAsia="ru-RU"/>
        </w:rPr>
        <w:lastRenderedPageBreak/>
        <w:t xml:space="preserve">инновационной среды, содействует экономическому росту на микро, мезо- и макроуровнях системы. Состояние инновационного потенциала характеризует способность национальной экономики создавать и рационально использовать накопленное богатство, живой и овеществленный труд, их оптимальное сочетание в производственной деятельности.  </w:t>
      </w:r>
    </w:p>
    <w:p w14:paraId="4645AEEC"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Исследуя сущность инновационного потенциала, обратимся к анализу его структуры, где выделяются ресурсная, внутренняя и результативная его составляющие. Выделение структурных характеристик инновационного потенциала соответствует методологическим подходам в исследовании инновационного потенциала как экономической категории. </w:t>
      </w:r>
    </w:p>
    <w:p w14:paraId="0276BB85"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Так, сторонники ресурсного подхода (Г.М. Добров, К.М. Миско, Г.И. Жиц, и др.) пришли к выводу о необходимости обобщения комплекса накопленных ресурсов, включающих в себя кадровую, технологическую, финансовую и научную составляющие, что привело к появлению ключевых слов в определении инновационного потенциала — «способность» и «готовность» [2, с. 15-16].</w:t>
      </w:r>
    </w:p>
    <w:p w14:paraId="4FB6A52A"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Сторонники результативного подхода (Л.С. Бляхман, Ф.Л. Мерсон, Э.М. Торф и др.) определили достигнутый уровень инновационного потенциала, что обусловлено конкретными экономическими показателями (инновационная активность предприятий, патентная эффективность, обеспеченность передовыми технологиями и др.).</w:t>
      </w:r>
    </w:p>
    <w:p w14:paraId="66237591"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Сторонники внутренней составляющей инновационного потенциала (В.А. Гунин, В.П. Устинов и др.) структурируют инновационный потенциал по блокам и определяют способность инновационной деятельности преобразовывать ресурсы в инновационный продукт. Воспользуемся определением инновационного потенциала как «...совокупности взаимосвязанных условий и ресурсов, обеспечивающих возможность воспроизводства инновационной деятельности».</w:t>
      </w:r>
    </w:p>
    <w:p w14:paraId="0583133B"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Каждому типу экономической системы будет соответствовать свой инновационный потенциал, возникший на определенном уровне хозяйственного развития как следствие структурных изменений, происходящих в экономике и обусловленных процессом общественного разделения труда. Следовательно, инновационный потенциал является, с одной стороны, результатом процесса структурообразования, с другой — выступает элементом экономической системы, обеспечивающим увязку различных видов инновационной деятельности. Тип инновационного потенциала целесообразно определять исходя из исторического типа хозяйственных систем.</w:t>
      </w:r>
    </w:p>
    <w:p w14:paraId="23392A82"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При переходе от командно-административной системы хозяйствования к рыночной изменяется и характер инновационного потенциала. Это проявляется в изменении его структуры, форм связей, способов функционирования. Рыночной экономике соответствует рыночный инновационный потенциал, под которым понимаем все то, что обладает способностью осуществлять и интенсифицировать инновационную деятельность.</w:t>
      </w:r>
    </w:p>
    <w:p w14:paraId="5656E458" w14:textId="77777777" w:rsidR="007E1000" w:rsidRPr="007E1000" w:rsidRDefault="007E1000" w:rsidP="007E1000">
      <w:pPr>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Вместе с тем, отметим, что в условиях рыночной экономики процесс общественного производства осуществляется как в частном (рыночном), так и в общественном (нерыночном) секторах. Это предполагает существование, наряду с рыночными формами, нерыночных форм взаимодействия между субъектами инновационного потенциала. В частности, общественный сектор может быть представлен фундаментальными исследованиями и фундаментальной наукой.</w:t>
      </w:r>
    </w:p>
    <w:p w14:paraId="66F79FC3"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Только инновационное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мерах </w:instrText>
      </w:r>
      <w:r w:rsidRPr="007E1000">
        <w:rPr>
          <w:rFonts w:ascii="Times New Roman" w:eastAsia="Times New Roman" w:hAnsi="Times New Roman" w:cs="Times New Roman"/>
          <w:noProof/>
          <w:color w:val="000000" w:themeColor="text1"/>
          <w:sz w:val="24"/>
          <w:szCs w:val="24"/>
          <w:lang w:eastAsia="ru-RU"/>
        </w:rPr>
        <w:instrText>развитие</w:instrText>
      </w:r>
      <w:r w:rsidRPr="007E1000">
        <w:rPr>
          <w:rFonts w:ascii="Times New Roman" w:eastAsia="Times New Roman" w:hAnsi="Times New Roman" w:cs="Times New Roman"/>
          <w:noProof/>
          <w:color w:val="FFFFFF"/>
          <w:spacing w:val="-20000"/>
          <w:sz w:val="24"/>
          <w:szCs w:val="24"/>
        </w:rPr>
        <w:instrText> особенности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способно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обеспечить</w:instrText>
      </w:r>
      <w:r w:rsidRPr="007E1000">
        <w:rPr>
          <w:rFonts w:ascii="Times New Roman" w:eastAsia="Times New Roman" w:hAnsi="Times New Roman" w:cs="Times New Roman"/>
          <w:noProof/>
          <w:color w:val="FFFFFF"/>
          <w:spacing w:val="-20000"/>
          <w:sz w:val="24"/>
          <w:szCs w:val="24"/>
        </w:rPr>
        <w:instrText> проектов</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государству конкурентоспособность. При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блокам </w:instrText>
      </w:r>
      <w:r w:rsidRPr="007E1000">
        <w:rPr>
          <w:rFonts w:ascii="Times New Roman" w:eastAsia="Times New Roman" w:hAnsi="Times New Roman" w:cs="Times New Roman"/>
          <w:noProof/>
          <w:color w:val="000000" w:themeColor="text1"/>
          <w:sz w:val="24"/>
          <w:szCs w:val="24"/>
          <w:lang w:eastAsia="ru-RU"/>
        </w:rPr>
        <w:instrText>этом</w:instrText>
      </w:r>
      <w:r w:rsidRPr="007E1000">
        <w:rPr>
          <w:rFonts w:ascii="Times New Roman" w:eastAsia="Times New Roman" w:hAnsi="Times New Roman" w:cs="Times New Roman"/>
          <w:noProof/>
          <w:color w:val="FFFFFF"/>
          <w:spacing w:val="-20000"/>
          <w:sz w:val="24"/>
          <w:szCs w:val="24"/>
        </w:rPr>
        <w:instrText> тенциала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настоящее время при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плане </w:instrText>
      </w:r>
      <w:r w:rsidRPr="007E1000">
        <w:rPr>
          <w:rFonts w:ascii="Times New Roman" w:eastAsia="Times New Roman" w:hAnsi="Times New Roman" w:cs="Times New Roman"/>
          <w:noProof/>
          <w:color w:val="000000" w:themeColor="text1"/>
          <w:sz w:val="24"/>
          <w:szCs w:val="24"/>
          <w:lang w:eastAsia="ru-RU"/>
        </w:rPr>
        <w:instrText>очень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высоких темпах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development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noProof/>
          <w:color w:val="FFFFFF"/>
          <w:spacing w:val="-20000"/>
          <w:sz w:val="24"/>
          <w:szCs w:val="24"/>
        </w:rPr>
        <w:instrText> служат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технического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прогресса</w:instrText>
      </w:r>
      <w:r w:rsidRPr="007E1000">
        <w:rPr>
          <w:rFonts w:ascii="Times New Roman" w:eastAsia="Times New Roman" w:hAnsi="Times New Roman" w:cs="Times New Roman"/>
          <w:noProof/>
          <w:color w:val="FFFFFF"/>
          <w:spacing w:val="-20000"/>
          <w:sz w:val="24"/>
          <w:szCs w:val="24"/>
        </w:rPr>
        <w:instrText> потенциал</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инновации не могут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стран </w:instrText>
      </w:r>
      <w:r w:rsidRPr="007E1000">
        <w:rPr>
          <w:rFonts w:ascii="Times New Roman" w:eastAsia="Times New Roman" w:hAnsi="Times New Roman" w:cs="Times New Roman"/>
          <w:noProof/>
          <w:color w:val="000000" w:themeColor="text1"/>
          <w:sz w:val="24"/>
          <w:szCs w:val="24"/>
          <w:lang w:eastAsia="ru-RU"/>
        </w:rPr>
        <w:instrText>возникать</w:instrText>
      </w:r>
      <w:r w:rsidRPr="007E1000">
        <w:rPr>
          <w:rFonts w:ascii="Times New Roman" w:eastAsia="Times New Roman" w:hAnsi="Times New Roman" w:cs="Times New Roman"/>
          <w:noProof/>
          <w:color w:val="FFFFFF"/>
          <w:spacing w:val="-20000"/>
          <w:sz w:val="24"/>
          <w:szCs w:val="24"/>
        </w:rPr>
        <w:instrText> index</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сами собой, для их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инновационного </w:instrText>
      </w:r>
      <w:r w:rsidRPr="007E1000">
        <w:rPr>
          <w:rFonts w:ascii="Times New Roman" w:eastAsia="Times New Roman" w:hAnsi="Times New Roman" w:cs="Times New Roman"/>
          <w:noProof/>
          <w:color w:val="000000" w:themeColor="text1"/>
          <w:sz w:val="24"/>
          <w:szCs w:val="24"/>
          <w:lang w:eastAsia="ru-RU"/>
        </w:rPr>
        <w:instrText>создания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необходима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количественных </w:instrText>
      </w:r>
      <w:r w:rsidRPr="007E1000">
        <w:rPr>
          <w:rFonts w:ascii="Times New Roman" w:eastAsia="Times New Roman" w:hAnsi="Times New Roman" w:cs="Times New Roman"/>
          <w:noProof/>
          <w:color w:val="000000" w:themeColor="text1"/>
          <w:sz w:val="24"/>
          <w:szCs w:val="24"/>
          <w:lang w:eastAsia="ru-RU"/>
        </w:rPr>
        <w:instrText>определенная</w:instrText>
      </w:r>
      <w:r w:rsidRPr="007E1000">
        <w:rPr>
          <w:rFonts w:ascii="Times New Roman" w:eastAsia="Times New Roman" w:hAnsi="Times New Roman" w:cs="Times New Roman"/>
          <w:noProof/>
          <w:color w:val="FFFFFF"/>
          <w:spacing w:val="-20000"/>
          <w:sz w:val="24"/>
          <w:szCs w:val="24"/>
        </w:rPr>
        <w:instrText> логически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база,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подготовка</w:instrText>
      </w:r>
      <w:r w:rsidRPr="007E1000">
        <w:rPr>
          <w:rFonts w:ascii="Times New Roman" w:eastAsia="Times New Roman" w:hAnsi="Times New Roman" w:cs="Times New Roman"/>
          <w:noProof/>
          <w:color w:val="FFFFFF"/>
          <w:spacing w:val="-20000"/>
          <w:sz w:val="24"/>
          <w:szCs w:val="24"/>
        </w:rPr>
        <w:instrText> разным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поддержание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экономический </w:instrText>
      </w:r>
      <w:r w:rsidRPr="007E1000">
        <w:rPr>
          <w:rFonts w:ascii="Times New Roman" w:eastAsia="Times New Roman" w:hAnsi="Times New Roman" w:cs="Times New Roman"/>
          <w:noProof/>
          <w:color w:val="000000" w:themeColor="text1"/>
          <w:sz w:val="24"/>
          <w:szCs w:val="24"/>
          <w:lang w:eastAsia="ru-RU"/>
        </w:rPr>
        <w:instrText>которой</w:instrText>
      </w:r>
      <w:r w:rsidRPr="007E1000">
        <w:rPr>
          <w:rFonts w:ascii="Times New Roman" w:eastAsia="Times New Roman" w:hAnsi="Times New Roman" w:cs="Times New Roman"/>
          <w:noProof/>
          <w:color w:val="FFFFFF"/>
          <w:spacing w:val="-20000"/>
          <w:sz w:val="24"/>
          <w:szCs w:val="24"/>
        </w:rPr>
        <w:instrText> несмотря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являются первоочередными за</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указанной </w:instrText>
      </w:r>
      <w:r w:rsidRPr="007E1000">
        <w:rPr>
          <w:rFonts w:ascii="Times New Roman" w:eastAsia="Times New Roman" w:hAnsi="Times New Roman" w:cs="Times New Roman"/>
          <w:noProof/>
          <w:color w:val="000000" w:themeColor="text1"/>
          <w:sz w:val="24"/>
          <w:szCs w:val="24"/>
          <w:lang w:eastAsia="ru-RU"/>
        </w:rPr>
        <w:instrText>дачами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государства. </w:t>
      </w:r>
      <w:r w:rsidRPr="007E1000">
        <w:rPr>
          <w:rFonts w:ascii="Times New Roman" w:eastAsia="Times New Roman" w:hAnsi="Times New Roman" w:cs="Times New Roman"/>
          <w:color w:val="000000" w:themeColor="text1"/>
          <w:sz w:val="24"/>
          <w:szCs w:val="24"/>
          <w:lang w:eastAsia="ru-RU"/>
        </w:rPr>
        <w:lastRenderedPageBreak/>
        <w:t xml:space="preserve">Именно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сущность </w:instrText>
      </w:r>
      <w:r w:rsidRPr="007E1000">
        <w:rPr>
          <w:rFonts w:ascii="Times New Roman" w:eastAsia="Times New Roman" w:hAnsi="Times New Roman" w:cs="Times New Roman"/>
          <w:noProof/>
          <w:color w:val="000000" w:themeColor="text1"/>
          <w:sz w:val="24"/>
          <w:szCs w:val="24"/>
          <w:lang w:eastAsia="ru-RU"/>
        </w:rPr>
        <w:instrText>обладание</w:instrText>
      </w:r>
      <w:r w:rsidRPr="007E1000">
        <w:rPr>
          <w:rFonts w:ascii="Times New Roman" w:eastAsia="Times New Roman" w:hAnsi="Times New Roman" w:cs="Times New Roman"/>
          <w:noProof/>
          <w:color w:val="FFFFFF"/>
          <w:spacing w:val="-20000"/>
          <w:sz w:val="24"/>
          <w:szCs w:val="24"/>
        </w:rPr>
        <w:instrText> процессе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базой для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возникновения</w:instrText>
      </w:r>
      <w:r w:rsidRPr="007E1000">
        <w:rPr>
          <w:rFonts w:ascii="Times New Roman" w:eastAsia="Times New Roman" w:hAnsi="Times New Roman" w:cs="Times New Roman"/>
          <w:noProof/>
          <w:color w:val="FFFFFF"/>
          <w:spacing w:val="-20000"/>
          <w:sz w:val="24"/>
          <w:szCs w:val="24"/>
        </w:rPr>
        <w:instrText> типу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инноваций мы определяем как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рисунок </w:instrText>
      </w:r>
      <w:r w:rsidRPr="007E1000">
        <w:rPr>
          <w:rFonts w:ascii="Times New Roman" w:eastAsia="Times New Roman" w:hAnsi="Times New Roman" w:cs="Times New Roman"/>
          <w:noProof/>
          <w:color w:val="000000" w:themeColor="text1"/>
          <w:sz w:val="24"/>
          <w:szCs w:val="24"/>
          <w:lang w:eastAsia="ru-RU"/>
        </w:rPr>
        <w:instrText>инновационный</w:instrText>
      </w:r>
      <w:r w:rsidRPr="007E1000">
        <w:rPr>
          <w:rFonts w:ascii="Times New Roman" w:eastAsia="Times New Roman" w:hAnsi="Times New Roman" w:cs="Times New Roman"/>
          <w:noProof/>
          <w:color w:val="FFFFFF"/>
          <w:spacing w:val="-20000"/>
          <w:sz w:val="24"/>
          <w:szCs w:val="24"/>
        </w:rPr>
        <w:instrText> знания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потенциал страны.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средством </w:instrText>
      </w:r>
      <w:r w:rsidRPr="007E1000">
        <w:rPr>
          <w:rFonts w:ascii="Times New Roman" w:eastAsia="Times New Roman" w:hAnsi="Times New Roman" w:cs="Times New Roman"/>
          <w:noProof/>
          <w:color w:val="000000" w:themeColor="text1"/>
          <w:sz w:val="24"/>
          <w:szCs w:val="24"/>
          <w:lang w:eastAsia="ru-RU"/>
        </w:rPr>
        <w:instrText>Таким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образом, инновационный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последние </w:instrText>
      </w:r>
      <w:r w:rsidRPr="007E1000">
        <w:rPr>
          <w:rFonts w:ascii="Times New Roman" w:eastAsia="Times New Roman" w:hAnsi="Times New Roman" w:cs="Times New Roman"/>
          <w:noProof/>
          <w:color w:val="000000" w:themeColor="text1"/>
          <w:sz w:val="24"/>
          <w:szCs w:val="24"/>
          <w:lang w:eastAsia="ru-RU"/>
        </w:rPr>
        <w:instrText>потенциал</w:instrText>
      </w:r>
      <w:r w:rsidRPr="007E1000">
        <w:rPr>
          <w:rFonts w:ascii="Times New Roman" w:eastAsia="Times New Roman" w:hAnsi="Times New Roman" w:cs="Times New Roman"/>
          <w:noProof/>
          <w:color w:val="FFFFFF"/>
          <w:spacing w:val="-20000"/>
          <w:sz w:val="24"/>
          <w:szCs w:val="24"/>
        </w:rPr>
        <w:instrText> научный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формиру</w:t>
      </w:r>
      <w:r w:rsidRPr="007E1000">
        <w:rPr>
          <w:rFonts w:ascii="Times New Roman" w:eastAsia="Times New Roman" w:hAnsi="Times New Roman" w:cs="Times New Roman"/>
          <w:sz w:val="24"/>
          <w:szCs w:val="24"/>
          <w:highlight w:val="white"/>
        </w:rPr>
        <w:t>ется</w:t>
      </w:r>
      <w:r w:rsidRPr="007E1000">
        <w:rPr>
          <w:rFonts w:ascii="Times New Roman" w:eastAsia="Times New Roman" w:hAnsi="Times New Roman" w:cs="Times New Roman"/>
          <w:color w:val="000000" w:themeColor="text1"/>
          <w:sz w:val="24"/>
          <w:szCs w:val="24"/>
          <w:lang w:eastAsia="ru-RU"/>
        </w:rPr>
        <w:t xml:space="preserve"> в трех временных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задача </w:instrText>
      </w:r>
      <w:r w:rsidRPr="007E1000">
        <w:rPr>
          <w:rFonts w:ascii="Times New Roman" w:eastAsia="Times New Roman" w:hAnsi="Times New Roman" w:cs="Times New Roman"/>
          <w:noProof/>
          <w:color w:val="000000" w:themeColor="text1"/>
          <w:sz w:val="24"/>
          <w:szCs w:val="24"/>
          <w:lang w:eastAsia="ru-RU"/>
        </w:rPr>
        <w:instrText>измерениях</w:instrText>
      </w:r>
      <w:r w:rsidRPr="007E1000">
        <w:rPr>
          <w:rFonts w:ascii="Times New Roman" w:eastAsia="Times New Roman" w:hAnsi="Times New Roman" w:cs="Times New Roman"/>
          <w:noProof/>
          <w:color w:val="FFFFFF"/>
          <w:spacing w:val="-20000"/>
          <w:sz w:val="24"/>
          <w:szCs w:val="24"/>
        </w:rPr>
        <w:instrText> значениям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прошлом, настоящем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государство </w:instrText>
      </w:r>
      <w:r w:rsidRPr="007E1000">
        <w:rPr>
          <w:rFonts w:ascii="Times New Roman" w:eastAsia="Times New Roman" w:hAnsi="Times New Roman" w:cs="Times New Roman"/>
          <w:noProof/>
          <w:color w:val="000000" w:themeColor="text1"/>
          <w:sz w:val="24"/>
          <w:szCs w:val="24"/>
          <w:lang w:eastAsia="ru-RU"/>
        </w:rPr>
        <w:instrText>будущем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Он должен базиро</w:t>
      </w:r>
      <w:r w:rsidRPr="007E1000">
        <w:rPr>
          <w:rFonts w:ascii="Times New Roman" w:eastAsia="Times New Roman" w:hAnsi="Times New Roman" w:cs="Times New Roman"/>
          <w:sz w:val="24"/>
          <w:szCs w:val="24"/>
          <w:highlight w:val="white"/>
        </w:rPr>
        <w:t>ваться</w:t>
      </w:r>
      <w:r w:rsidRPr="007E1000">
        <w:rPr>
          <w:rFonts w:ascii="Times New Roman" w:eastAsia="Times New Roman" w:hAnsi="Times New Roman" w:cs="Times New Roman"/>
          <w:color w:val="000000" w:themeColor="text1"/>
          <w:sz w:val="24"/>
          <w:szCs w:val="24"/>
          <w:lang w:eastAsia="ru-RU"/>
        </w:rPr>
        <w:t xml:space="preserve"> на уже имеющихся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научных</w:instrText>
      </w:r>
      <w:r w:rsidRPr="007E1000">
        <w:rPr>
          <w:rFonts w:ascii="Times New Roman" w:eastAsia="Times New Roman" w:hAnsi="Times New Roman" w:cs="Times New Roman"/>
          <w:noProof/>
          <w:color w:val="FFFFFF"/>
          <w:spacing w:val="-20000"/>
          <w:sz w:val="24"/>
          <w:szCs w:val="24"/>
        </w:rPr>
        <w:instrText> опред</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разработках, исходить из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оловом </w:instrText>
      </w:r>
      <w:r w:rsidRPr="007E1000">
        <w:rPr>
          <w:rFonts w:ascii="Times New Roman" w:eastAsia="Times New Roman" w:hAnsi="Times New Roman" w:cs="Times New Roman"/>
          <w:noProof/>
          <w:color w:val="000000" w:themeColor="text1"/>
          <w:sz w:val="24"/>
          <w:szCs w:val="24"/>
          <w:lang w:eastAsia="ru-RU"/>
        </w:rPr>
        <w:instrText>достижений</w:instrText>
      </w:r>
      <w:r w:rsidRPr="007E1000">
        <w:rPr>
          <w:rFonts w:ascii="Times New Roman" w:eastAsia="Times New Roman" w:hAnsi="Times New Roman" w:cs="Times New Roman"/>
          <w:noProof/>
          <w:color w:val="FFFFFF"/>
          <w:spacing w:val="-20000"/>
          <w:sz w:val="24"/>
          <w:szCs w:val="24"/>
        </w:rPr>
        <w:instrText> которые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научных школ,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инновационным </w:instrText>
      </w:r>
      <w:r w:rsidRPr="007E1000">
        <w:rPr>
          <w:rFonts w:ascii="Times New Roman" w:eastAsia="Times New Roman" w:hAnsi="Times New Roman" w:cs="Times New Roman"/>
          <w:noProof/>
          <w:color w:val="000000" w:themeColor="text1"/>
          <w:sz w:val="24"/>
          <w:szCs w:val="24"/>
          <w:lang w:eastAsia="ru-RU"/>
        </w:rPr>
        <w:instrText>приносить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результаты на организованных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scoreboard </w:instrText>
      </w:r>
      <w:r w:rsidRPr="007E1000">
        <w:rPr>
          <w:rFonts w:ascii="Times New Roman" w:eastAsia="Times New Roman" w:hAnsi="Times New Roman" w:cs="Times New Roman"/>
          <w:noProof/>
          <w:color w:val="000000" w:themeColor="text1"/>
          <w:sz w:val="24"/>
          <w:szCs w:val="24"/>
          <w:lang w:eastAsia="ru-RU"/>
        </w:rPr>
        <w:instrText>ранее</w:instrText>
      </w:r>
      <w:r w:rsidRPr="007E1000">
        <w:rPr>
          <w:rFonts w:ascii="Times New Roman" w:eastAsia="Times New Roman" w:hAnsi="Times New Roman" w:cs="Times New Roman"/>
          <w:noProof/>
          <w:color w:val="FFFFFF"/>
          <w:spacing w:val="-20000"/>
          <w:sz w:val="24"/>
          <w:szCs w:val="24"/>
        </w:rPr>
        <w:instrText> венных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предприятиях</w:instrText>
      </w:r>
      <w:r w:rsidRPr="007E1000">
        <w:rPr>
          <w:rFonts w:ascii="Times New Roman" w:eastAsia="Times New Roman" w:hAnsi="Times New Roman" w:cs="Times New Roman"/>
          <w:noProof/>
          <w:color w:val="FFFFFF"/>
          <w:spacing w:val="-20000"/>
          <w:sz w:val="24"/>
          <w:szCs w:val="24"/>
        </w:rPr>
        <w:instrText> стратегия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настоящее время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последние </w:instrText>
      </w:r>
      <w:r w:rsidRPr="007E1000">
        <w:rPr>
          <w:rFonts w:ascii="Times New Roman" w:eastAsia="Times New Roman" w:hAnsi="Times New Roman" w:cs="Times New Roman"/>
          <w:noProof/>
          <w:color w:val="000000" w:themeColor="text1"/>
          <w:sz w:val="24"/>
          <w:szCs w:val="24"/>
          <w:lang w:eastAsia="ru-RU"/>
        </w:rPr>
        <w:instrText>инновационный</w:instrText>
      </w:r>
      <w:r w:rsidRPr="007E1000">
        <w:rPr>
          <w:rFonts w:ascii="Times New Roman" w:eastAsia="Times New Roman" w:hAnsi="Times New Roman" w:cs="Times New Roman"/>
          <w:noProof/>
          <w:color w:val="FFFFFF"/>
          <w:spacing w:val="-20000"/>
          <w:sz w:val="24"/>
          <w:szCs w:val="24"/>
        </w:rPr>
        <w:instrText> мира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потенциал создают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изменение </w:instrText>
      </w:r>
      <w:r w:rsidRPr="007E1000">
        <w:rPr>
          <w:rFonts w:ascii="Times New Roman" w:eastAsia="Times New Roman" w:hAnsi="Times New Roman" w:cs="Times New Roman"/>
          <w:noProof/>
          <w:color w:val="000000" w:themeColor="text1"/>
          <w:sz w:val="24"/>
          <w:szCs w:val="24"/>
          <w:lang w:eastAsia="ru-RU"/>
        </w:rPr>
        <w:instrText>высококвалифицированные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кадры, текущие научные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 </w:instrText>
      </w:r>
      <w:r w:rsidRPr="007E1000">
        <w:rPr>
          <w:rFonts w:ascii="Times New Roman" w:eastAsia="Times New Roman" w:hAnsi="Times New Roman" w:cs="Times New Roman"/>
          <w:noProof/>
          <w:color w:val="000000" w:themeColor="text1"/>
          <w:sz w:val="24"/>
          <w:szCs w:val="24"/>
          <w:lang w:eastAsia="ru-RU"/>
        </w:rPr>
        <w:instrText>внедрения</w:instrText>
      </w:r>
      <w:r w:rsidRPr="007E1000">
        <w:rPr>
          <w:rFonts w:ascii="Times New Roman" w:eastAsia="Times New Roman" w:hAnsi="Times New Roman" w:cs="Times New Roman"/>
          <w:noProof/>
          <w:color w:val="FFFFFF"/>
          <w:spacing w:val="-20000"/>
          <w:sz w:val="24"/>
          <w:szCs w:val="24"/>
        </w:rPr>
        <w:instrText> инноваций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разработки.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наконец</w:instrText>
      </w:r>
      <w:r w:rsidRPr="007E1000">
        <w:rPr>
          <w:rFonts w:ascii="Times New Roman" w:eastAsia="Times New Roman" w:hAnsi="Times New Roman" w:cs="Times New Roman"/>
          <w:noProof/>
          <w:color w:val="FFFFFF"/>
          <w:spacing w:val="-20000"/>
          <w:sz w:val="24"/>
          <w:szCs w:val="24"/>
        </w:rPr>
        <w:instrText> проблемы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инновационный потенциал - это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некоторые </w:instrText>
      </w:r>
      <w:r w:rsidRPr="007E1000">
        <w:rPr>
          <w:rFonts w:ascii="Times New Roman" w:eastAsia="Times New Roman" w:hAnsi="Times New Roman" w:cs="Times New Roman"/>
          <w:noProof/>
          <w:color w:val="000000" w:themeColor="text1"/>
          <w:sz w:val="24"/>
          <w:szCs w:val="24"/>
          <w:lang w:eastAsia="ru-RU"/>
        </w:rPr>
        <w:instrText>возможность</w:instrText>
      </w:r>
      <w:r w:rsidRPr="007E1000">
        <w:rPr>
          <w:rFonts w:ascii="Times New Roman" w:eastAsia="Times New Roman" w:hAnsi="Times New Roman" w:cs="Times New Roman"/>
          <w:noProof/>
          <w:color w:val="FFFFFF"/>
          <w:spacing w:val="-20000"/>
          <w:sz w:val="24"/>
          <w:szCs w:val="24"/>
        </w:rPr>
        <w:instrText> огромному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будущих успехов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другими </w:instrText>
      </w:r>
      <w:r w:rsidRPr="007E1000">
        <w:rPr>
          <w:rFonts w:ascii="Times New Roman" w:eastAsia="Times New Roman" w:hAnsi="Times New Roman" w:cs="Times New Roman"/>
          <w:noProof/>
          <w:color w:val="000000" w:themeColor="text1"/>
          <w:sz w:val="24"/>
          <w:szCs w:val="24"/>
          <w:lang w:eastAsia="ru-RU"/>
        </w:rPr>
        <w:instrText>ученых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исследователей, это новые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пласты </w:instrText>
      </w:r>
      <w:r w:rsidRPr="007E1000">
        <w:rPr>
          <w:rFonts w:ascii="Times New Roman" w:eastAsia="Times New Roman" w:hAnsi="Times New Roman" w:cs="Times New Roman"/>
          <w:noProof/>
          <w:color w:val="000000" w:themeColor="text1"/>
          <w:sz w:val="24"/>
          <w:szCs w:val="24"/>
          <w:lang w:eastAsia="ru-RU"/>
        </w:rPr>
        <w:instrText>изобретения</w:instrText>
      </w:r>
      <w:r w:rsidRPr="007E1000">
        <w:rPr>
          <w:rFonts w:ascii="Times New Roman" w:eastAsia="Times New Roman" w:hAnsi="Times New Roman" w:cs="Times New Roman"/>
          <w:noProof/>
          <w:color w:val="FFFFFF"/>
          <w:spacing w:val="-20000"/>
          <w:sz w:val="24"/>
          <w:szCs w:val="24"/>
        </w:rPr>
        <w:instrText> различные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внедрения,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которые</w:instrText>
      </w:r>
      <w:r w:rsidRPr="007E1000">
        <w:rPr>
          <w:rFonts w:ascii="Times New Roman" w:eastAsia="Times New Roman" w:hAnsi="Times New Roman" w:cs="Times New Roman"/>
          <w:noProof/>
          <w:color w:val="FFFFFF"/>
          <w:spacing w:val="-20000"/>
          <w:sz w:val="24"/>
          <w:szCs w:val="24"/>
        </w:rPr>
        <w:instrText> арсенала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приобретут вещественную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инновационный </w:instrText>
      </w:r>
      <w:r w:rsidRPr="007E1000">
        <w:rPr>
          <w:rFonts w:ascii="Times New Roman" w:eastAsia="Times New Roman" w:hAnsi="Times New Roman" w:cs="Times New Roman"/>
          <w:noProof/>
          <w:color w:val="000000" w:themeColor="text1"/>
          <w:sz w:val="24"/>
          <w:szCs w:val="24"/>
          <w:lang w:eastAsia="ru-RU"/>
        </w:rPr>
        <w:instrText>форму</w:instrText>
      </w:r>
      <w:r w:rsidRPr="007E1000">
        <w:rPr>
          <w:rFonts w:ascii="Times New Roman" w:eastAsia="Times New Roman" w:hAnsi="Times New Roman" w:cs="Times New Roman"/>
          <w:noProof/>
          <w:color w:val="FFFFFF"/>
          <w:spacing w:val="-20000"/>
          <w:sz w:val="24"/>
          <w:szCs w:val="24"/>
        </w:rPr>
        <w:instrText> венных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через какой-то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заказу </w:instrText>
      </w:r>
      <w:r w:rsidRPr="007E1000">
        <w:rPr>
          <w:rFonts w:ascii="Times New Roman" w:eastAsia="Times New Roman" w:hAnsi="Times New Roman" w:cs="Times New Roman"/>
          <w:noProof/>
          <w:color w:val="000000" w:themeColor="text1"/>
          <w:sz w:val="24"/>
          <w:szCs w:val="24"/>
          <w:lang w:eastAsia="ru-RU"/>
        </w:rPr>
        <w:instrText>промежуток</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времени [3, с. 254].</w:t>
      </w:r>
    </w:p>
    <w:p w14:paraId="2129CE1D"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Важнейшим показателем инновационного потенциала уже на сформировавшейся базе результатов науки и производственного потенциала, являются инновационные традиции страны. Инновационные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направления </w:instrText>
      </w:r>
      <w:r w:rsidRPr="007E1000">
        <w:rPr>
          <w:rFonts w:ascii="Times New Roman" w:eastAsia="Times New Roman" w:hAnsi="Times New Roman" w:cs="Times New Roman"/>
          <w:noProof/>
          <w:color w:val="000000" w:themeColor="text1"/>
          <w:sz w:val="24"/>
          <w:szCs w:val="24"/>
          <w:lang w:eastAsia="ru-RU"/>
        </w:rPr>
        <w:instrText>традиции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 это совокупность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модернизацией </w:instrText>
      </w:r>
      <w:r w:rsidRPr="007E1000">
        <w:rPr>
          <w:rFonts w:ascii="Times New Roman" w:eastAsia="Times New Roman" w:hAnsi="Times New Roman" w:cs="Times New Roman"/>
          <w:noProof/>
          <w:color w:val="000000" w:themeColor="text1"/>
          <w:sz w:val="24"/>
          <w:szCs w:val="24"/>
          <w:lang w:eastAsia="ru-RU"/>
        </w:rPr>
        <w:instrText>предыдущих</w:instrText>
      </w:r>
      <w:r w:rsidRPr="007E1000">
        <w:rPr>
          <w:rFonts w:ascii="Times New Roman" w:eastAsia="Times New Roman" w:hAnsi="Times New Roman" w:cs="Times New Roman"/>
          <w:noProof/>
          <w:color w:val="FFFFFF"/>
          <w:spacing w:val="-20000"/>
          <w:sz w:val="24"/>
          <w:szCs w:val="24"/>
        </w:rPr>
        <w:instrText> настоящее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достижений страны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сфере</w:instrText>
      </w:r>
      <w:r w:rsidRPr="007E1000">
        <w:rPr>
          <w:rFonts w:ascii="Times New Roman" w:eastAsia="Times New Roman" w:hAnsi="Times New Roman" w:cs="Times New Roman"/>
          <w:noProof/>
          <w:color w:val="FFFFFF"/>
          <w:spacing w:val="-20000"/>
          <w:sz w:val="24"/>
          <w:szCs w:val="24"/>
        </w:rPr>
        <w:instrText> структурного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инноваций. Они определяются не </w:t>
      </w:r>
      <w:r w:rsidRPr="007E1000">
        <w:rPr>
          <w:rFonts w:ascii="Times New Roman" w:eastAsia="Times New Roman" w:hAnsi="Times New Roman" w:cs="Times New Roman"/>
          <w:sz w:val="24"/>
          <w:szCs w:val="24"/>
          <w:highlight w:val="white"/>
        </w:rPr>
        <w:t>только</w:t>
      </w:r>
      <w:r w:rsidRPr="007E1000">
        <w:rPr>
          <w:rFonts w:ascii="Times New Roman" w:eastAsia="Times New Roman" w:hAnsi="Times New Roman" w:cs="Times New Roman"/>
          <w:color w:val="000000" w:themeColor="text1"/>
          <w:sz w:val="24"/>
          <w:szCs w:val="24"/>
          <w:lang w:eastAsia="ru-RU"/>
        </w:rPr>
        <w:t xml:space="preserve"> количеством разработок,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связи </w:instrText>
      </w:r>
      <w:r w:rsidRPr="007E1000">
        <w:rPr>
          <w:rFonts w:ascii="Times New Roman" w:eastAsia="Times New Roman" w:hAnsi="Times New Roman" w:cs="Times New Roman"/>
          <w:noProof/>
          <w:color w:val="000000" w:themeColor="text1"/>
          <w:sz w:val="24"/>
          <w:szCs w:val="24"/>
          <w:lang w:eastAsia="ru-RU"/>
        </w:rPr>
        <w:instrText>совершенных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границах того или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фундаме </w:instrText>
      </w:r>
      <w:r w:rsidRPr="007E1000">
        <w:rPr>
          <w:rFonts w:ascii="Times New Roman" w:eastAsia="Times New Roman" w:hAnsi="Times New Roman" w:cs="Times New Roman"/>
          <w:noProof/>
          <w:color w:val="000000" w:themeColor="text1"/>
          <w:sz w:val="24"/>
          <w:szCs w:val="24"/>
          <w:lang w:eastAsia="ru-RU"/>
        </w:rPr>
        <w:instrText>иного</w:instrText>
      </w:r>
      <w:r w:rsidRPr="007E1000">
        <w:rPr>
          <w:rFonts w:ascii="Times New Roman" w:eastAsia="Times New Roman" w:hAnsi="Times New Roman" w:cs="Times New Roman"/>
          <w:noProof/>
          <w:color w:val="FFFFFF"/>
          <w:spacing w:val="-20000"/>
          <w:sz w:val="24"/>
          <w:szCs w:val="24"/>
        </w:rPr>
        <w:instrText> инда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государства, но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совокупностью</w:instrText>
      </w:r>
      <w:r w:rsidRPr="007E1000">
        <w:rPr>
          <w:rFonts w:ascii="Times New Roman" w:eastAsia="Times New Roman" w:hAnsi="Times New Roman" w:cs="Times New Roman"/>
          <w:noProof/>
          <w:color w:val="FFFFFF"/>
          <w:spacing w:val="-20000"/>
          <w:sz w:val="24"/>
          <w:szCs w:val="24"/>
        </w:rPr>
        <w:instrText> помогающие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ресурсов, опыта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каждый </w:instrText>
      </w:r>
      <w:r w:rsidRPr="007E1000">
        <w:rPr>
          <w:rFonts w:ascii="Times New Roman" w:eastAsia="Times New Roman" w:hAnsi="Times New Roman" w:cs="Times New Roman"/>
          <w:noProof/>
          <w:color w:val="000000" w:themeColor="text1"/>
          <w:sz w:val="24"/>
          <w:szCs w:val="24"/>
          <w:lang w:eastAsia="ru-RU"/>
        </w:rPr>
        <w:instrText>знаний</w:instrText>
      </w:r>
      <w:r w:rsidRPr="007E1000">
        <w:rPr>
          <w:rFonts w:ascii="Times New Roman" w:eastAsia="Times New Roman" w:hAnsi="Times New Roman" w:cs="Times New Roman"/>
          <w:noProof/>
          <w:color w:val="FFFFFF"/>
          <w:spacing w:val="-20000"/>
          <w:sz w:val="24"/>
          <w:szCs w:val="24"/>
        </w:rPr>
        <w:instrText> тенциала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накопленных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инновационный </w:instrText>
      </w:r>
      <w:r w:rsidRPr="007E1000">
        <w:rPr>
          <w:rFonts w:ascii="Times New Roman" w:eastAsia="Times New Roman" w:hAnsi="Times New Roman" w:cs="Times New Roman"/>
          <w:noProof/>
          <w:color w:val="000000" w:themeColor="text1"/>
          <w:sz w:val="24"/>
          <w:szCs w:val="24"/>
          <w:lang w:eastAsia="ru-RU"/>
        </w:rPr>
        <w:instrText>стране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 всю ее историю. Общепризнанным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несмотря </w:instrText>
      </w:r>
      <w:r w:rsidRPr="007E1000">
        <w:rPr>
          <w:rFonts w:ascii="Times New Roman" w:eastAsia="Times New Roman" w:hAnsi="Times New Roman" w:cs="Times New Roman"/>
          <w:noProof/>
          <w:color w:val="000000" w:themeColor="text1"/>
          <w:sz w:val="24"/>
          <w:szCs w:val="24"/>
          <w:lang w:eastAsia="ru-RU"/>
        </w:rPr>
        <w:instrText>является</w:instrText>
      </w:r>
      <w:r w:rsidRPr="007E1000">
        <w:rPr>
          <w:rFonts w:ascii="Times New Roman" w:eastAsia="Times New Roman" w:hAnsi="Times New Roman" w:cs="Times New Roman"/>
          <w:noProof/>
          <w:color w:val="FFFFFF"/>
          <w:spacing w:val="-20000"/>
          <w:sz w:val="24"/>
          <w:szCs w:val="24"/>
        </w:rPr>
        <w:instrText> инноваций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факт, что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Российская</w:instrText>
      </w:r>
      <w:r w:rsidRPr="007E1000">
        <w:rPr>
          <w:rFonts w:ascii="Times New Roman" w:eastAsia="Times New Roman" w:hAnsi="Times New Roman" w:cs="Times New Roman"/>
          <w:noProof/>
          <w:color w:val="FFFFFF"/>
          <w:spacing w:val="-20000"/>
          <w:sz w:val="24"/>
          <w:szCs w:val="24"/>
        </w:rPr>
        <w:instrText> общественном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Федерация обладает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инновационного </w:instrText>
      </w:r>
      <w:r w:rsidRPr="007E1000">
        <w:rPr>
          <w:rFonts w:ascii="Times New Roman" w:eastAsia="Times New Roman" w:hAnsi="Times New Roman" w:cs="Times New Roman"/>
          <w:noProof/>
          <w:color w:val="000000" w:themeColor="text1"/>
          <w:sz w:val="24"/>
          <w:szCs w:val="24"/>
          <w:lang w:eastAsia="ru-RU"/>
        </w:rPr>
        <w:instrText>сильными</w:instrText>
      </w:r>
      <w:r w:rsidRPr="007E1000">
        <w:rPr>
          <w:rFonts w:ascii="Times New Roman" w:eastAsia="Times New Roman" w:hAnsi="Times New Roman" w:cs="Times New Roman"/>
          <w:noProof/>
          <w:color w:val="FFFFFF"/>
          <w:spacing w:val="-20000"/>
          <w:sz w:val="24"/>
          <w:szCs w:val="24"/>
        </w:rPr>
        <w:instrText> определяют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инновационными традициями.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forum </w:instrText>
      </w:r>
      <w:r w:rsidRPr="007E1000">
        <w:rPr>
          <w:rFonts w:ascii="Times New Roman" w:eastAsia="Times New Roman" w:hAnsi="Times New Roman" w:cs="Times New Roman"/>
          <w:noProof/>
          <w:color w:val="000000" w:themeColor="text1"/>
          <w:sz w:val="24"/>
          <w:szCs w:val="24"/>
          <w:lang w:eastAsia="ru-RU"/>
        </w:rPr>
        <w:instrText>Свидетельством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этого может слу</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такое </w:instrText>
      </w:r>
      <w:r w:rsidRPr="007E1000">
        <w:rPr>
          <w:rFonts w:ascii="Times New Roman" w:eastAsia="Times New Roman" w:hAnsi="Times New Roman" w:cs="Times New Roman"/>
          <w:noProof/>
          <w:color w:val="000000" w:themeColor="text1"/>
          <w:sz w:val="24"/>
          <w:szCs w:val="24"/>
          <w:lang w:eastAsia="ru-RU"/>
        </w:rPr>
        <w:instrText>жить</w:instrText>
      </w:r>
      <w:r w:rsidRPr="007E1000">
        <w:rPr>
          <w:rFonts w:ascii="Times New Roman" w:eastAsia="Times New Roman" w:hAnsi="Times New Roman" w:cs="Times New Roman"/>
          <w:noProof/>
          <w:color w:val="FFFFFF"/>
          <w:spacing w:val="-20000"/>
          <w:sz w:val="24"/>
          <w:szCs w:val="24"/>
        </w:rPr>
        <w:instrText> вклад</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огромный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список</w:instrText>
      </w:r>
      <w:r w:rsidRPr="007E1000">
        <w:rPr>
          <w:rFonts w:ascii="Times New Roman" w:eastAsia="Times New Roman" w:hAnsi="Times New Roman" w:cs="Times New Roman"/>
          <w:noProof/>
          <w:color w:val="FFFFFF"/>
          <w:spacing w:val="-20000"/>
          <w:sz w:val="24"/>
          <w:szCs w:val="24"/>
        </w:rPr>
        <w:instrText> арсенала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международно-известных внедрений и инноваций,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может </w:instrText>
      </w:r>
      <w:r w:rsidRPr="007E1000">
        <w:rPr>
          <w:rFonts w:ascii="Times New Roman" w:eastAsia="Times New Roman" w:hAnsi="Times New Roman" w:cs="Times New Roman"/>
          <w:noProof/>
          <w:color w:val="000000" w:themeColor="text1"/>
          <w:sz w:val="24"/>
          <w:szCs w:val="24"/>
          <w:lang w:eastAsia="ru-RU"/>
        </w:rPr>
        <w:instrText>предложенных</w:instrText>
      </w:r>
      <w:r w:rsidRPr="007E1000">
        <w:rPr>
          <w:rFonts w:ascii="Times New Roman" w:eastAsia="Times New Roman" w:hAnsi="Times New Roman" w:cs="Times New Roman"/>
          <w:noProof/>
          <w:color w:val="FFFFFF"/>
          <w:spacing w:val="-20000"/>
          <w:sz w:val="24"/>
          <w:szCs w:val="24"/>
        </w:rPr>
        <w:instrText> развитие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российскими учеными, 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также </w:instrText>
      </w:r>
      <w:r w:rsidRPr="007E1000">
        <w:rPr>
          <w:rFonts w:ascii="Times New Roman" w:eastAsia="Times New Roman" w:hAnsi="Times New Roman" w:cs="Times New Roman"/>
          <w:noProof/>
          <w:color w:val="000000" w:themeColor="text1"/>
          <w:sz w:val="24"/>
          <w:szCs w:val="24"/>
          <w:lang w:eastAsia="ru-RU"/>
        </w:rPr>
        <w:instrText>также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сами исследователи – известные отечественные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южная </w:instrText>
      </w:r>
      <w:r w:rsidRPr="007E1000">
        <w:rPr>
          <w:rFonts w:ascii="Times New Roman" w:eastAsia="Times New Roman" w:hAnsi="Times New Roman" w:cs="Times New Roman"/>
          <w:noProof/>
          <w:color w:val="000000" w:themeColor="text1"/>
          <w:sz w:val="24"/>
          <w:szCs w:val="24"/>
          <w:lang w:eastAsia="ru-RU"/>
        </w:rPr>
        <w:instrText>инноваторы</w:instrText>
      </w:r>
      <w:r w:rsidRPr="007E1000">
        <w:rPr>
          <w:rFonts w:ascii="Times New Roman" w:eastAsia="Times New Roman" w:hAnsi="Times New Roman" w:cs="Times New Roman"/>
          <w:noProof/>
          <w:color w:val="FFFFFF"/>
          <w:spacing w:val="-20000"/>
          <w:sz w:val="24"/>
          <w:szCs w:val="24"/>
        </w:rPr>
        <w:instrText> technological</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внесшие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колоссальный</w:instrText>
      </w:r>
      <w:r w:rsidRPr="007E1000">
        <w:rPr>
          <w:rFonts w:ascii="Times New Roman" w:eastAsia="Times New Roman" w:hAnsi="Times New Roman" w:cs="Times New Roman"/>
          <w:noProof/>
          <w:color w:val="FFFFFF"/>
          <w:spacing w:val="-20000"/>
          <w:sz w:val="24"/>
          <w:szCs w:val="24"/>
        </w:rPr>
        <w:instrText> указанной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вклад в развитие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внутренней </w:instrText>
      </w:r>
      <w:r w:rsidRPr="007E1000">
        <w:rPr>
          <w:rFonts w:ascii="Times New Roman" w:eastAsia="Times New Roman" w:hAnsi="Times New Roman" w:cs="Times New Roman"/>
          <w:noProof/>
          <w:color w:val="000000" w:themeColor="text1"/>
          <w:sz w:val="24"/>
          <w:szCs w:val="24"/>
          <w:lang w:eastAsia="ru-RU"/>
        </w:rPr>
        <w:instrText>научно-технического</w:instrText>
      </w:r>
      <w:r w:rsidRPr="007E1000">
        <w:rPr>
          <w:rFonts w:ascii="Times New Roman" w:eastAsia="Times New Roman" w:hAnsi="Times New Roman" w:cs="Times New Roman"/>
          <w:noProof/>
          <w:color w:val="FFFFFF"/>
          <w:spacing w:val="-20000"/>
          <w:sz w:val="24"/>
          <w:szCs w:val="24"/>
        </w:rPr>
        <w:instrText> увеличение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прогресса. Исходя из этого, можно сказать, что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приходится </w:instrText>
      </w:r>
      <w:r w:rsidRPr="007E1000">
        <w:rPr>
          <w:rFonts w:ascii="Times New Roman" w:eastAsia="Times New Roman" w:hAnsi="Times New Roman" w:cs="Times New Roman"/>
          <w:noProof/>
          <w:color w:val="000000" w:themeColor="text1"/>
          <w:sz w:val="24"/>
          <w:szCs w:val="24"/>
          <w:lang w:eastAsia="ru-RU"/>
        </w:rPr>
        <w:instrText>инновации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 могут возникнуть 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существует </w:instrText>
      </w:r>
      <w:r w:rsidRPr="007E1000">
        <w:rPr>
          <w:rFonts w:ascii="Times New Roman" w:eastAsia="Times New Roman" w:hAnsi="Times New Roman" w:cs="Times New Roman"/>
          <w:noProof/>
          <w:color w:val="000000" w:themeColor="text1"/>
          <w:sz w:val="24"/>
          <w:szCs w:val="24"/>
          <w:lang w:eastAsia="ru-RU"/>
        </w:rPr>
        <w:instrText>пустом</w:instrText>
      </w:r>
      <w:r w:rsidRPr="007E1000">
        <w:rPr>
          <w:rFonts w:ascii="Times New Roman" w:eastAsia="Times New Roman" w:hAnsi="Times New Roman" w:cs="Times New Roman"/>
          <w:noProof/>
          <w:color w:val="FFFFFF"/>
          <w:spacing w:val="-20000"/>
          <w:sz w:val="24"/>
          <w:szCs w:val="24"/>
        </w:rPr>
        <w:instrText> бизнес</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месте.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Инновационные</w:instrText>
      </w:r>
      <w:r w:rsidRPr="007E1000">
        <w:rPr>
          <w:rFonts w:ascii="Times New Roman" w:eastAsia="Times New Roman" w:hAnsi="Times New Roman" w:cs="Times New Roman"/>
          <w:noProof/>
          <w:color w:val="FFFFFF"/>
          <w:spacing w:val="-20000"/>
          <w:sz w:val="24"/>
          <w:szCs w:val="24"/>
        </w:rPr>
        <w:instrText> страны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традиции, таким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возникнуть </w:instrText>
      </w:r>
      <w:r w:rsidRPr="007E1000">
        <w:rPr>
          <w:rFonts w:ascii="Times New Roman" w:eastAsia="Times New Roman" w:hAnsi="Times New Roman" w:cs="Times New Roman"/>
          <w:noProof/>
          <w:color w:val="000000" w:themeColor="text1"/>
          <w:sz w:val="24"/>
          <w:szCs w:val="24"/>
          <w:lang w:eastAsia="ru-RU"/>
        </w:rPr>
        <w:instrText>образом</w:instrText>
      </w:r>
      <w:r w:rsidRPr="007E1000">
        <w:rPr>
          <w:rFonts w:ascii="Times New Roman" w:eastAsia="Times New Roman" w:hAnsi="Times New Roman" w:cs="Times New Roman"/>
          <w:noProof/>
          <w:color w:val="FFFFFF"/>
          <w:spacing w:val="-20000"/>
          <w:sz w:val="24"/>
          <w:szCs w:val="24"/>
        </w:rPr>
        <w:instrText> промышленности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являются базой для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потенциал </w:instrText>
      </w:r>
      <w:r w:rsidRPr="007E1000">
        <w:rPr>
          <w:rFonts w:ascii="Times New Roman" w:eastAsia="Times New Roman" w:hAnsi="Times New Roman" w:cs="Times New Roman"/>
          <w:noProof/>
          <w:color w:val="000000" w:themeColor="text1"/>
          <w:sz w:val="24"/>
          <w:szCs w:val="24"/>
          <w:lang w:eastAsia="ru-RU"/>
        </w:rPr>
        <w:instrText>возникновения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нововведений и инноваций</w:t>
      </w:r>
      <w:r w:rsidRPr="007E1000">
        <w:rPr>
          <w:rFonts w:ascii="Times New Roman" w:eastAsia="Times New Roman" w:hAnsi="Times New Roman" w:cs="Times New Roman"/>
          <w:sz w:val="24"/>
          <w:szCs w:val="24"/>
        </w:rPr>
        <w:t>.</w:t>
      </w:r>
    </w:p>
    <w:p w14:paraId="35D7E459"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Еще одним важным фактором, определяющим способность государства не только создавать что-то новое, но и внедрять его, использовать на практике является восприимчивость общества к инновациям. Восприимчивость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общества</w:instrText>
      </w:r>
      <w:r w:rsidRPr="007E1000">
        <w:rPr>
          <w:rFonts w:ascii="Times New Roman" w:eastAsia="Times New Roman" w:hAnsi="Times New Roman" w:cs="Times New Roman"/>
          <w:noProof/>
          <w:color w:val="FFFFFF"/>
          <w:spacing w:val="-20000"/>
          <w:sz w:val="24"/>
          <w:szCs w:val="24"/>
        </w:rPr>
        <w:instrText> инноваций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 инновациям – это способность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инновационный </w:instrText>
      </w:r>
      <w:r w:rsidRPr="007E1000">
        <w:rPr>
          <w:rFonts w:ascii="Times New Roman" w:eastAsia="Times New Roman" w:hAnsi="Times New Roman" w:cs="Times New Roman"/>
          <w:noProof/>
          <w:color w:val="000000" w:themeColor="text1"/>
          <w:sz w:val="24"/>
          <w:szCs w:val="24"/>
          <w:lang w:eastAsia="ru-RU"/>
        </w:rPr>
        <w:instrText>населения</w:instrText>
      </w:r>
      <w:r w:rsidRPr="007E1000">
        <w:rPr>
          <w:rFonts w:ascii="Times New Roman" w:eastAsia="Times New Roman" w:hAnsi="Times New Roman" w:cs="Times New Roman"/>
          <w:noProof/>
          <w:color w:val="FFFFFF"/>
          <w:spacing w:val="-20000"/>
          <w:sz w:val="24"/>
          <w:szCs w:val="24"/>
        </w:rPr>
        <w:instrText> который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принимать и адаптировать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различных </w:instrText>
      </w:r>
      <w:r w:rsidRPr="007E1000">
        <w:rPr>
          <w:rFonts w:ascii="Times New Roman" w:eastAsia="Times New Roman" w:hAnsi="Times New Roman" w:cs="Times New Roman"/>
          <w:noProof/>
          <w:color w:val="000000" w:themeColor="text1"/>
          <w:sz w:val="24"/>
          <w:szCs w:val="24"/>
          <w:lang w:eastAsia="ru-RU"/>
        </w:rPr>
        <w:instrText>инновации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повседневной жизни.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классификация </w:instrText>
      </w:r>
      <w:r w:rsidRPr="007E1000">
        <w:rPr>
          <w:rFonts w:ascii="Times New Roman" w:eastAsia="Times New Roman" w:hAnsi="Times New Roman" w:cs="Times New Roman"/>
          <w:noProof/>
          <w:color w:val="000000" w:themeColor="text1"/>
          <w:sz w:val="24"/>
          <w:szCs w:val="24"/>
          <w:lang w:eastAsia="ru-RU"/>
        </w:rPr>
        <w:instrText>современном</w:instrText>
      </w:r>
      <w:r w:rsidRPr="007E1000">
        <w:rPr>
          <w:rFonts w:ascii="Times New Roman" w:eastAsia="Times New Roman" w:hAnsi="Times New Roman" w:cs="Times New Roman"/>
          <w:noProof/>
          <w:color w:val="FFFFFF"/>
          <w:spacing w:val="-20000"/>
          <w:sz w:val="24"/>
          <w:szCs w:val="24"/>
        </w:rPr>
        <w:instrText> инновационного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мире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каждое</w:instrText>
      </w:r>
      <w:r w:rsidRPr="007E1000">
        <w:rPr>
          <w:rFonts w:ascii="Times New Roman" w:eastAsia="Times New Roman" w:hAnsi="Times New Roman" w:cs="Times New Roman"/>
          <w:noProof/>
          <w:color w:val="FFFFFF"/>
          <w:spacing w:val="-20000"/>
          <w:sz w:val="24"/>
          <w:szCs w:val="24"/>
        </w:rPr>
        <w:instrText> инновационные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государство восприимчиво 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зяйственных </w:instrText>
      </w:r>
      <w:r w:rsidRPr="007E1000">
        <w:rPr>
          <w:rFonts w:ascii="Times New Roman" w:eastAsia="Times New Roman" w:hAnsi="Times New Roman" w:cs="Times New Roman"/>
          <w:noProof/>
          <w:color w:val="000000" w:themeColor="text1"/>
          <w:sz w:val="24"/>
          <w:szCs w:val="24"/>
          <w:lang w:eastAsia="ru-RU"/>
        </w:rPr>
        <w:instrText>инновациям</w:instrText>
      </w:r>
      <w:r w:rsidRPr="007E1000">
        <w:rPr>
          <w:rFonts w:ascii="Times New Roman" w:eastAsia="Times New Roman" w:hAnsi="Times New Roman" w:cs="Times New Roman"/>
          <w:noProof/>
          <w:color w:val="FFFFFF"/>
          <w:spacing w:val="-20000"/>
          <w:sz w:val="24"/>
          <w:szCs w:val="24"/>
        </w:rPr>
        <w:instrText> довольно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разной степени, к тому же, восприимчивость, также в значительной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organisation </w:instrText>
      </w:r>
      <w:r w:rsidRPr="007E1000">
        <w:rPr>
          <w:rFonts w:ascii="Times New Roman" w:eastAsia="Times New Roman" w:hAnsi="Times New Roman" w:cs="Times New Roman"/>
          <w:noProof/>
          <w:color w:val="000000" w:themeColor="text1"/>
          <w:sz w:val="24"/>
          <w:szCs w:val="24"/>
          <w:lang w:eastAsia="ru-RU"/>
        </w:rPr>
        <w:instrText>мере</w:instrText>
      </w:r>
      <w:r w:rsidRPr="007E1000">
        <w:rPr>
          <w:rFonts w:ascii="Times New Roman" w:eastAsia="Times New Roman" w:hAnsi="Times New Roman" w:cs="Times New Roman"/>
          <w:noProof/>
          <w:color w:val="FFFFFF"/>
          <w:spacing w:val="-20000"/>
          <w:sz w:val="24"/>
          <w:szCs w:val="24"/>
        </w:rPr>
        <w:instrText> обесп</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зависит от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направления</w:instrText>
      </w:r>
      <w:r w:rsidRPr="007E1000">
        <w:rPr>
          <w:rFonts w:ascii="Times New Roman" w:eastAsia="Times New Roman" w:hAnsi="Times New Roman" w:cs="Times New Roman"/>
          <w:noProof/>
          <w:color w:val="FFFFFF"/>
          <w:spacing w:val="-20000"/>
          <w:sz w:val="24"/>
          <w:szCs w:val="24"/>
        </w:rPr>
        <w:instrText> более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инноваций. Так, на степень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european </w:instrText>
      </w:r>
      <w:r w:rsidRPr="007E1000">
        <w:rPr>
          <w:rFonts w:ascii="Times New Roman" w:eastAsia="Times New Roman" w:hAnsi="Times New Roman" w:cs="Times New Roman"/>
          <w:noProof/>
          <w:color w:val="000000" w:themeColor="text1"/>
          <w:sz w:val="24"/>
          <w:szCs w:val="24"/>
          <w:lang w:eastAsia="ru-RU"/>
        </w:rPr>
        <w:instrText>восприимчивости</w:instrText>
      </w:r>
      <w:r w:rsidRPr="007E1000">
        <w:rPr>
          <w:rFonts w:ascii="Times New Roman" w:eastAsia="Times New Roman" w:hAnsi="Times New Roman" w:cs="Times New Roman"/>
          <w:noProof/>
          <w:color w:val="FFFFFF"/>
          <w:spacing w:val="-20000"/>
          <w:sz w:val="24"/>
          <w:szCs w:val="24"/>
        </w:rPr>
        <w:instrText> общества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общества к инновациям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сектора </w:instrText>
      </w:r>
      <w:r w:rsidRPr="007E1000">
        <w:rPr>
          <w:rFonts w:ascii="Times New Roman" w:eastAsia="Times New Roman" w:hAnsi="Times New Roman" w:cs="Times New Roman"/>
          <w:noProof/>
          <w:color w:val="000000" w:themeColor="text1"/>
          <w:sz w:val="24"/>
          <w:szCs w:val="24"/>
          <w:lang w:eastAsia="ru-RU"/>
        </w:rPr>
        <w:instrText>влияют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приверженность страны 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проблема </w:instrText>
      </w:r>
      <w:r w:rsidRPr="007E1000">
        <w:rPr>
          <w:rFonts w:ascii="Times New Roman" w:eastAsia="Times New Roman" w:hAnsi="Times New Roman" w:cs="Times New Roman"/>
          <w:noProof/>
          <w:color w:val="000000" w:themeColor="text1"/>
          <w:sz w:val="24"/>
          <w:szCs w:val="24"/>
          <w:lang w:eastAsia="ru-RU"/>
        </w:rPr>
        <w:instrText>каким-либо</w:instrText>
      </w:r>
      <w:r w:rsidRPr="007E1000">
        <w:rPr>
          <w:rFonts w:ascii="Times New Roman" w:eastAsia="Times New Roman" w:hAnsi="Times New Roman" w:cs="Times New Roman"/>
          <w:noProof/>
          <w:color w:val="FFFFFF"/>
          <w:spacing w:val="-20000"/>
          <w:sz w:val="24"/>
          <w:szCs w:val="24"/>
        </w:rPr>
        <w:instrText> создание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традициям,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религиозным</w:instrText>
      </w:r>
      <w:r w:rsidRPr="007E1000">
        <w:rPr>
          <w:rFonts w:ascii="Times New Roman" w:eastAsia="Times New Roman" w:hAnsi="Times New Roman" w:cs="Times New Roman"/>
          <w:noProof/>
          <w:color w:val="FFFFFF"/>
          <w:spacing w:val="-20000"/>
          <w:sz w:val="24"/>
          <w:szCs w:val="24"/>
        </w:rPr>
        <w:instrText> камнерезного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канонам, политический режим страны, открытость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камнерезного </w:instrText>
      </w:r>
      <w:r w:rsidRPr="007E1000">
        <w:rPr>
          <w:rFonts w:ascii="Times New Roman" w:eastAsia="Times New Roman" w:hAnsi="Times New Roman" w:cs="Times New Roman"/>
          <w:noProof/>
          <w:color w:val="000000" w:themeColor="text1"/>
          <w:sz w:val="24"/>
          <w:szCs w:val="24"/>
          <w:lang w:eastAsia="ru-RU"/>
        </w:rPr>
        <w:instrText>экономики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доступность информации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кризис </w:instrText>
      </w:r>
      <w:r w:rsidRPr="007E1000">
        <w:rPr>
          <w:rFonts w:ascii="Times New Roman" w:eastAsia="Times New Roman" w:hAnsi="Times New Roman" w:cs="Times New Roman"/>
          <w:noProof/>
          <w:color w:val="000000" w:themeColor="text1"/>
          <w:sz w:val="24"/>
          <w:szCs w:val="24"/>
          <w:lang w:eastAsia="ru-RU"/>
        </w:rPr>
        <w:instrText>другие</w:instrText>
      </w:r>
      <w:r w:rsidRPr="007E1000">
        <w:rPr>
          <w:rFonts w:ascii="Times New Roman" w:eastAsia="Times New Roman" w:hAnsi="Times New Roman" w:cs="Times New Roman"/>
          <w:noProof/>
          <w:color w:val="FFFFFF"/>
          <w:spacing w:val="-20000"/>
          <w:sz w:val="24"/>
          <w:szCs w:val="24"/>
        </w:rPr>
        <w:instrText> инновационного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факторы.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Например</w:instrText>
      </w:r>
      <w:r w:rsidRPr="007E1000">
        <w:rPr>
          <w:rFonts w:ascii="Times New Roman" w:eastAsia="Times New Roman" w:hAnsi="Times New Roman" w:cs="Times New Roman"/>
          <w:noProof/>
          <w:color w:val="FFFFFF"/>
          <w:spacing w:val="-20000"/>
          <w:sz w:val="24"/>
          <w:szCs w:val="24"/>
        </w:rPr>
        <w:instrText> ленных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несмотря на большой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обеспечивающим </w:instrText>
      </w:r>
      <w:r w:rsidRPr="007E1000">
        <w:rPr>
          <w:rFonts w:ascii="Times New Roman" w:eastAsia="Times New Roman" w:hAnsi="Times New Roman" w:cs="Times New Roman"/>
          <w:noProof/>
          <w:color w:val="000000" w:themeColor="text1"/>
          <w:sz w:val="24"/>
          <w:szCs w:val="24"/>
          <w:lang w:eastAsia="ru-RU"/>
        </w:rPr>
        <w:instrText>потенциал</w:instrText>
      </w:r>
      <w:r w:rsidRPr="007E1000">
        <w:rPr>
          <w:rFonts w:ascii="Times New Roman" w:eastAsia="Times New Roman" w:hAnsi="Times New Roman" w:cs="Times New Roman"/>
          <w:noProof/>
          <w:color w:val="FFFFFF"/>
          <w:spacing w:val="-20000"/>
          <w:sz w:val="24"/>
          <w:szCs w:val="24"/>
        </w:rPr>
        <w:instrText> 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исследований стволовых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уровню </w:instrText>
      </w:r>
      <w:r w:rsidRPr="007E1000">
        <w:rPr>
          <w:rFonts w:ascii="Times New Roman" w:eastAsia="Times New Roman" w:hAnsi="Times New Roman" w:cs="Times New Roman"/>
          <w:noProof/>
          <w:color w:val="000000" w:themeColor="text1"/>
          <w:sz w:val="24"/>
          <w:szCs w:val="24"/>
          <w:lang w:eastAsia="ru-RU"/>
        </w:rPr>
        <w:instrText>клеток</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многие государства считают их опасными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противоречащими</w:instrText>
      </w:r>
      <w:r w:rsidRPr="007E1000">
        <w:rPr>
          <w:rFonts w:ascii="Times New Roman" w:eastAsia="Times New Roman" w:hAnsi="Times New Roman" w:cs="Times New Roman"/>
          <w:noProof/>
          <w:color w:val="FFFFFF"/>
          <w:spacing w:val="-20000"/>
          <w:sz w:val="24"/>
          <w:szCs w:val="24"/>
        </w:rPr>
        <w:instrText> возникновения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религиозным воззрениям.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привлекающие </w:instrText>
      </w:r>
      <w:r w:rsidRPr="007E1000">
        <w:rPr>
          <w:rFonts w:ascii="Times New Roman" w:eastAsia="Times New Roman" w:hAnsi="Times New Roman" w:cs="Times New Roman"/>
          <w:noProof/>
          <w:color w:val="000000" w:themeColor="text1"/>
          <w:sz w:val="24"/>
          <w:szCs w:val="24"/>
          <w:lang w:eastAsia="ru-RU"/>
        </w:rPr>
        <w:instrText>Из-за</w:instrText>
      </w:r>
      <w:r w:rsidRPr="007E1000">
        <w:rPr>
          <w:rFonts w:ascii="Times New Roman" w:eastAsia="Times New Roman" w:hAnsi="Times New Roman" w:cs="Times New Roman"/>
          <w:noProof/>
          <w:color w:val="FFFFFF"/>
          <w:spacing w:val="-20000"/>
          <w:sz w:val="24"/>
          <w:szCs w:val="24"/>
        </w:rPr>
        <w:instrText> которых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тоталитарного политического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согласно </w:instrText>
      </w:r>
      <w:r w:rsidRPr="007E1000">
        <w:rPr>
          <w:rFonts w:ascii="Times New Roman" w:eastAsia="Times New Roman" w:hAnsi="Times New Roman" w:cs="Times New Roman"/>
          <w:noProof/>
          <w:color w:val="000000" w:themeColor="text1"/>
          <w:sz w:val="24"/>
          <w:szCs w:val="24"/>
          <w:lang w:eastAsia="ru-RU"/>
        </w:rPr>
        <w:instrText>режима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Северной Кореи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управленческих </w:instrText>
      </w:r>
      <w:r w:rsidRPr="007E1000">
        <w:rPr>
          <w:rFonts w:ascii="Times New Roman" w:eastAsia="Times New Roman" w:hAnsi="Times New Roman" w:cs="Times New Roman"/>
          <w:noProof/>
          <w:color w:val="000000" w:themeColor="text1"/>
          <w:sz w:val="24"/>
          <w:szCs w:val="24"/>
          <w:lang w:eastAsia="ru-RU"/>
        </w:rPr>
        <w:instrText>распространение</w:instrText>
      </w:r>
      <w:r w:rsidRPr="007E1000">
        <w:rPr>
          <w:rFonts w:ascii="Times New Roman" w:eastAsia="Times New Roman" w:hAnsi="Times New Roman" w:cs="Times New Roman"/>
          <w:noProof/>
          <w:color w:val="FFFFFF"/>
          <w:spacing w:val="-20000"/>
          <w:sz w:val="24"/>
          <w:szCs w:val="24"/>
        </w:rPr>
        <w:instrText> уровень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Интернет-технологий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этой</w:instrText>
      </w:r>
      <w:r w:rsidRPr="007E1000">
        <w:rPr>
          <w:rFonts w:ascii="Times New Roman" w:eastAsia="Times New Roman" w:hAnsi="Times New Roman" w:cs="Times New Roman"/>
          <w:noProof/>
          <w:color w:val="FFFFFF"/>
          <w:spacing w:val="-20000"/>
          <w:sz w:val="24"/>
          <w:szCs w:val="24"/>
        </w:rPr>
        <w:instrText> можно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стране крайне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также </w:instrText>
      </w:r>
      <w:r w:rsidRPr="007E1000">
        <w:rPr>
          <w:rFonts w:ascii="Times New Roman" w:eastAsia="Times New Roman" w:hAnsi="Times New Roman" w:cs="Times New Roman"/>
          <w:noProof/>
          <w:color w:val="000000" w:themeColor="text1"/>
          <w:sz w:val="24"/>
          <w:szCs w:val="24"/>
          <w:lang w:eastAsia="ru-RU"/>
        </w:rPr>
        <w:instrText>затруднено</w:instrText>
      </w:r>
      <w:r w:rsidRPr="007E1000">
        <w:rPr>
          <w:rFonts w:ascii="Times New Roman" w:eastAsia="Times New Roman" w:hAnsi="Times New Roman" w:cs="Times New Roman"/>
          <w:noProof/>
          <w:color w:val="FFFFFF"/>
          <w:spacing w:val="-20000"/>
          <w:sz w:val="24"/>
          <w:szCs w:val="24"/>
        </w:rPr>
        <w:instrText> двадцать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0F68ECE0"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Также на восприимчивость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помощью </w:instrText>
      </w:r>
      <w:r w:rsidRPr="007E1000">
        <w:rPr>
          <w:rFonts w:ascii="Times New Roman" w:eastAsia="Times New Roman" w:hAnsi="Times New Roman" w:cs="Times New Roman"/>
          <w:noProof/>
          <w:color w:val="000000" w:themeColor="text1"/>
          <w:sz w:val="24"/>
          <w:szCs w:val="24"/>
          <w:lang w:eastAsia="ru-RU"/>
        </w:rPr>
        <w:instrText>общества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 инновациям оказывают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емпы </w:instrText>
      </w:r>
      <w:r w:rsidRPr="007E1000">
        <w:rPr>
          <w:rFonts w:ascii="Times New Roman" w:eastAsia="Times New Roman" w:hAnsi="Times New Roman" w:cs="Times New Roman"/>
          <w:noProof/>
          <w:color w:val="000000" w:themeColor="text1"/>
          <w:sz w:val="24"/>
          <w:szCs w:val="24"/>
          <w:lang w:eastAsia="ru-RU"/>
        </w:rPr>
        <w:instrText>влияние</w:instrText>
      </w:r>
      <w:r w:rsidRPr="007E1000">
        <w:rPr>
          <w:rFonts w:ascii="Times New Roman" w:eastAsia="Times New Roman" w:hAnsi="Times New Roman" w:cs="Times New Roman"/>
          <w:noProof/>
          <w:color w:val="FFFFFF"/>
          <w:spacing w:val="-20000"/>
          <w:sz w:val="24"/>
          <w:szCs w:val="24"/>
        </w:rPr>
        <w:instrText> управленческих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институты, </w:t>
      </w:r>
      <w:r w:rsidRPr="007E1000">
        <w:rPr>
          <w:rFonts w:ascii="Times New Roman" w:eastAsia="Times New Roman" w:hAnsi="Times New Roman" w:cs="Times New Roman"/>
          <w:sz w:val="24"/>
          <w:szCs w:val="24"/>
          <w:highlight w:val="white"/>
        </w:rPr>
        <w:t>стимулирующие</w:t>
      </w:r>
      <w:r w:rsidRPr="007E1000">
        <w:rPr>
          <w:rFonts w:ascii="Times New Roman" w:eastAsia="Times New Roman" w:hAnsi="Times New Roman" w:cs="Times New Roman"/>
          <w:color w:val="000000" w:themeColor="text1"/>
          <w:sz w:val="24"/>
          <w:szCs w:val="24"/>
          <w:lang w:eastAsia="ru-RU"/>
        </w:rPr>
        <w:t xml:space="preserve"> либо де стимулирующие возможность инновациям быть </w:t>
      </w:r>
      <w:r w:rsidRPr="007E1000">
        <w:rPr>
          <w:rFonts w:ascii="Times New Roman" w:eastAsia="Times New Roman" w:hAnsi="Times New Roman" w:cs="Times New Roman"/>
          <w:sz w:val="24"/>
          <w:szCs w:val="24"/>
          <w:highlight w:val="white"/>
        </w:rPr>
        <w:t>внедренными</w:t>
      </w:r>
      <w:r w:rsidRPr="007E1000">
        <w:rPr>
          <w:rFonts w:ascii="Times New Roman" w:eastAsia="Times New Roman" w:hAnsi="Times New Roman" w:cs="Times New Roman"/>
          <w:color w:val="000000" w:themeColor="text1"/>
          <w:sz w:val="24"/>
          <w:szCs w:val="24"/>
          <w:lang w:eastAsia="ru-RU"/>
        </w:rPr>
        <w:t xml:space="preserve"> в повседневную жизнь. Это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потенциале </w:instrText>
      </w:r>
      <w:r w:rsidRPr="007E1000">
        <w:rPr>
          <w:rFonts w:ascii="Times New Roman" w:eastAsia="Times New Roman" w:hAnsi="Times New Roman" w:cs="Times New Roman"/>
          <w:noProof/>
          <w:color w:val="000000" w:themeColor="text1"/>
          <w:sz w:val="24"/>
          <w:szCs w:val="24"/>
          <w:lang w:eastAsia="ru-RU"/>
        </w:rPr>
        <w:instrText>различные</w:instrText>
      </w:r>
      <w:r w:rsidRPr="007E1000">
        <w:rPr>
          <w:rFonts w:ascii="Times New Roman" w:eastAsia="Times New Roman" w:hAnsi="Times New Roman" w:cs="Times New Roman"/>
          <w:noProof/>
          <w:color w:val="FFFFFF"/>
          <w:spacing w:val="-20000"/>
          <w:sz w:val="24"/>
          <w:szCs w:val="24"/>
        </w:rPr>
        <w:instrText> росси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коммерческие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некоммерческие</w:instrText>
      </w:r>
      <w:r w:rsidRPr="007E1000">
        <w:rPr>
          <w:rFonts w:ascii="Times New Roman" w:eastAsia="Times New Roman" w:hAnsi="Times New Roman" w:cs="Times New Roman"/>
          <w:noProof/>
          <w:color w:val="FFFFFF"/>
          <w:spacing w:val="-20000"/>
          <w:sz w:val="24"/>
          <w:szCs w:val="24"/>
        </w:rPr>
        <w:instrText> определяет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организации, являющиеся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тического </w:instrText>
      </w:r>
      <w:r w:rsidRPr="007E1000">
        <w:rPr>
          <w:rFonts w:ascii="Times New Roman" w:eastAsia="Times New Roman" w:hAnsi="Times New Roman" w:cs="Times New Roman"/>
          <w:noProof/>
          <w:color w:val="000000" w:themeColor="text1"/>
          <w:sz w:val="24"/>
          <w:szCs w:val="24"/>
          <w:lang w:eastAsia="ru-RU"/>
        </w:rPr>
        <w:instrText>серединным</w:instrText>
      </w:r>
      <w:r w:rsidRPr="007E1000">
        <w:rPr>
          <w:rFonts w:ascii="Times New Roman" w:eastAsia="Times New Roman" w:hAnsi="Times New Roman" w:cs="Times New Roman"/>
          <w:noProof/>
          <w:color w:val="FFFFFF"/>
          <w:spacing w:val="-20000"/>
          <w:sz w:val="24"/>
          <w:szCs w:val="24"/>
        </w:rPr>
        <w:instrText> тенциала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звеном между «лабораторной»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структурного </w:instrText>
      </w:r>
      <w:r w:rsidRPr="007E1000">
        <w:rPr>
          <w:rFonts w:ascii="Times New Roman" w:eastAsia="Times New Roman" w:hAnsi="Times New Roman" w:cs="Times New Roman"/>
          <w:noProof/>
          <w:color w:val="000000" w:themeColor="text1"/>
          <w:sz w:val="24"/>
          <w:szCs w:val="24"/>
          <w:lang w:eastAsia="ru-RU"/>
        </w:rPr>
        <w:instrText>разработкой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ученых и товаром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значению </w:instrText>
      </w:r>
      <w:r w:rsidRPr="007E1000">
        <w:rPr>
          <w:rFonts w:ascii="Times New Roman" w:eastAsia="Times New Roman" w:hAnsi="Times New Roman" w:cs="Times New Roman"/>
          <w:noProof/>
          <w:color w:val="000000" w:themeColor="text1"/>
          <w:sz w:val="24"/>
          <w:szCs w:val="24"/>
          <w:lang w:eastAsia="ru-RU"/>
        </w:rPr>
        <w:instrText>услугой</w:instrText>
      </w:r>
      <w:r w:rsidRPr="007E1000">
        <w:rPr>
          <w:rFonts w:ascii="Times New Roman" w:eastAsia="Times New Roman" w:hAnsi="Times New Roman" w:cs="Times New Roman"/>
          <w:noProof/>
          <w:color w:val="FFFFFF"/>
          <w:spacing w:val="-20000"/>
          <w:sz w:val="24"/>
          <w:szCs w:val="24"/>
        </w:rPr>
        <w:instrText> ществляются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доступным для </w:t>
      </w:r>
      <w:r w:rsidRPr="007E1000">
        <w:rPr>
          <w:rFonts w:ascii="Times New Roman" w:eastAsia="Times New Roman" w:hAnsi="Times New Roman" w:cs="Times New Roman"/>
          <w:sz w:val="24"/>
          <w:szCs w:val="24"/>
          <w:highlight w:val="white"/>
        </w:rPr>
        <w:t xml:space="preserve">применения </w:t>
      </w:r>
      <w:r w:rsidRPr="007E1000">
        <w:rPr>
          <w:rFonts w:ascii="Times New Roman" w:eastAsia="Times New Roman" w:hAnsi="Times New Roman" w:cs="Times New Roman"/>
          <w:color w:val="000000" w:themeColor="text1"/>
          <w:sz w:val="24"/>
          <w:szCs w:val="24"/>
          <w:lang w:eastAsia="ru-RU"/>
        </w:rPr>
        <w:t xml:space="preserve">в реальных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поэтому </w:instrText>
      </w:r>
      <w:r w:rsidRPr="007E1000">
        <w:rPr>
          <w:rFonts w:ascii="Times New Roman" w:eastAsia="Times New Roman" w:hAnsi="Times New Roman" w:cs="Times New Roman"/>
          <w:noProof/>
          <w:color w:val="000000" w:themeColor="text1"/>
          <w:sz w:val="24"/>
          <w:szCs w:val="24"/>
          <w:lang w:eastAsia="ru-RU"/>
        </w:rPr>
        <w:instrText>условиях</w:instrText>
      </w:r>
      <w:r w:rsidRPr="007E1000">
        <w:rPr>
          <w:rFonts w:ascii="Times New Roman" w:eastAsia="Times New Roman" w:hAnsi="Times New Roman" w:cs="Times New Roman"/>
          <w:noProof/>
          <w:color w:val="FFFFFF"/>
          <w:spacing w:val="-20000"/>
          <w:sz w:val="24"/>
          <w:szCs w:val="24"/>
        </w:rPr>
        <w:instrText> развитие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0120C489"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Сфера применения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хозяйствования </w:instrText>
      </w:r>
      <w:r w:rsidRPr="007E1000">
        <w:rPr>
          <w:rFonts w:ascii="Times New Roman" w:eastAsia="Times New Roman" w:hAnsi="Times New Roman" w:cs="Times New Roman"/>
          <w:noProof/>
          <w:color w:val="000000" w:themeColor="text1"/>
          <w:sz w:val="24"/>
          <w:szCs w:val="24"/>
          <w:lang w:eastAsia="ru-RU"/>
        </w:rPr>
        <w:instrText>инноваций</w:instrText>
      </w:r>
      <w:r w:rsidRPr="007E1000">
        <w:rPr>
          <w:rFonts w:ascii="Times New Roman" w:eastAsia="Times New Roman" w:hAnsi="Times New Roman" w:cs="Times New Roman"/>
          <w:noProof/>
          <w:color w:val="FFFFFF"/>
          <w:spacing w:val="-20000"/>
          <w:sz w:val="24"/>
          <w:szCs w:val="24"/>
        </w:rPr>
        <w:instrText> обществе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344E503A"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а) все субъекты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экономики</w:instrText>
      </w:r>
      <w:r w:rsidRPr="007E1000">
        <w:rPr>
          <w:rFonts w:ascii="Times New Roman" w:eastAsia="Times New Roman" w:hAnsi="Times New Roman" w:cs="Times New Roman"/>
          <w:noProof/>
          <w:color w:val="FFFFFF"/>
          <w:spacing w:val="-20000"/>
          <w:sz w:val="24"/>
          <w:szCs w:val="24"/>
        </w:rPr>
        <w:instrText> российской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которыми данная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дополнительных </w:instrText>
      </w:r>
      <w:r w:rsidRPr="007E1000">
        <w:rPr>
          <w:rFonts w:ascii="Times New Roman" w:eastAsia="Times New Roman" w:hAnsi="Times New Roman" w:cs="Times New Roman"/>
          <w:noProof/>
          <w:color w:val="000000" w:themeColor="text1"/>
          <w:sz w:val="24"/>
          <w:szCs w:val="24"/>
          <w:lang w:eastAsia="ru-RU"/>
        </w:rPr>
        <w:instrText>инновация</w:instrText>
      </w:r>
      <w:r w:rsidRPr="007E1000">
        <w:rPr>
          <w:rFonts w:ascii="Times New Roman" w:eastAsia="Times New Roman" w:hAnsi="Times New Roman" w:cs="Times New Roman"/>
          <w:noProof/>
          <w:color w:val="FFFFFF"/>
          <w:spacing w:val="-20000"/>
          <w:sz w:val="24"/>
          <w:szCs w:val="24"/>
        </w:rPr>
        <w:instrText> которые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будет востребована;</w:t>
      </w:r>
    </w:p>
    <w:p w14:paraId="07C146BC"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б)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можно </w:instrText>
      </w:r>
      <w:r w:rsidRPr="007E1000">
        <w:rPr>
          <w:rFonts w:ascii="Times New Roman" w:eastAsia="Times New Roman" w:hAnsi="Times New Roman" w:cs="Times New Roman"/>
          <w:noProof/>
          <w:color w:val="000000" w:themeColor="text1"/>
          <w:sz w:val="24"/>
          <w:szCs w:val="24"/>
          <w:lang w:eastAsia="ru-RU"/>
        </w:rPr>
        <w:instrText>отрасли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которых внедрение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также </w:instrText>
      </w:r>
      <w:r w:rsidRPr="007E1000">
        <w:rPr>
          <w:rFonts w:ascii="Times New Roman" w:eastAsia="Times New Roman" w:hAnsi="Times New Roman" w:cs="Times New Roman"/>
          <w:noProof/>
          <w:color w:val="000000" w:themeColor="text1"/>
          <w:sz w:val="24"/>
          <w:szCs w:val="24"/>
          <w:lang w:eastAsia="ru-RU"/>
        </w:rPr>
        <w:instrText>данной</w:instrText>
      </w:r>
      <w:r w:rsidRPr="007E1000">
        <w:rPr>
          <w:rFonts w:ascii="Times New Roman" w:eastAsia="Times New Roman" w:hAnsi="Times New Roman" w:cs="Times New Roman"/>
          <w:noProof/>
          <w:color w:val="FFFFFF"/>
          <w:spacing w:val="-20000"/>
          <w:sz w:val="24"/>
          <w:szCs w:val="24"/>
        </w:rPr>
        <w:instrText> объясняет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возможно</w:instrText>
      </w:r>
      <w:r w:rsidRPr="007E1000">
        <w:rPr>
          <w:rFonts w:ascii="Times New Roman" w:eastAsia="Times New Roman" w:hAnsi="Times New Roman" w:cs="Times New Roman"/>
          <w:noProof/>
          <w:color w:val="FFFFFF"/>
          <w:spacing w:val="-20000"/>
          <w:sz w:val="24"/>
          <w:szCs w:val="24"/>
        </w:rPr>
        <w:instrText> конечном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[4, с. 58-60].</w:t>
      </w:r>
    </w:p>
    <w:p w14:paraId="1B7558A2"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Сфера применения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помогающие </w:instrText>
      </w:r>
      <w:r w:rsidRPr="007E1000">
        <w:rPr>
          <w:rFonts w:ascii="Times New Roman" w:eastAsia="Times New Roman" w:hAnsi="Times New Roman" w:cs="Times New Roman"/>
          <w:noProof/>
          <w:color w:val="000000" w:themeColor="text1"/>
          <w:sz w:val="24"/>
          <w:szCs w:val="24"/>
          <w:lang w:eastAsia="ru-RU"/>
        </w:rPr>
        <w:instrText>инновации</w:instrText>
      </w:r>
      <w:r w:rsidRPr="007E1000">
        <w:rPr>
          <w:rFonts w:ascii="Times New Roman" w:eastAsia="Times New Roman" w:hAnsi="Times New Roman" w:cs="Times New Roman"/>
          <w:noProof/>
          <w:color w:val="FFFFFF"/>
          <w:spacing w:val="-20000"/>
          <w:sz w:val="24"/>
          <w:szCs w:val="24"/>
        </w:rPr>
        <w:instrText> таким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может быть от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world </w:instrText>
      </w:r>
      <w:r w:rsidRPr="007E1000">
        <w:rPr>
          <w:rFonts w:ascii="Times New Roman" w:eastAsia="Times New Roman" w:hAnsi="Times New Roman" w:cs="Times New Roman"/>
          <w:noProof/>
          <w:color w:val="000000" w:themeColor="text1"/>
          <w:sz w:val="24"/>
          <w:szCs w:val="24"/>
          <w:lang w:eastAsia="ru-RU"/>
        </w:rPr>
        <w:instrText>очень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узкой до всеобъемлющей. На</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значениям </w:instrText>
      </w:r>
      <w:r w:rsidRPr="007E1000">
        <w:rPr>
          <w:rFonts w:ascii="Times New Roman" w:eastAsia="Times New Roman" w:hAnsi="Times New Roman" w:cs="Times New Roman"/>
          <w:noProof/>
          <w:color w:val="000000" w:themeColor="text1"/>
          <w:sz w:val="24"/>
          <w:szCs w:val="24"/>
          <w:lang w:eastAsia="ru-RU"/>
        </w:rPr>
        <w:instrText>пример</w:instrText>
      </w:r>
      <w:r w:rsidRPr="007E1000">
        <w:rPr>
          <w:rFonts w:ascii="Times New Roman" w:eastAsia="Times New Roman" w:hAnsi="Times New Roman" w:cs="Times New Roman"/>
          <w:noProof/>
          <w:color w:val="FFFFFF"/>
          <w:spacing w:val="-20000"/>
          <w:sz w:val="24"/>
          <w:szCs w:val="24"/>
        </w:rPr>
        <w:instrText> темпу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изобретение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какого-либо</w:instrText>
      </w:r>
      <w:r w:rsidRPr="007E1000">
        <w:rPr>
          <w:rFonts w:ascii="Times New Roman" w:eastAsia="Times New Roman" w:hAnsi="Times New Roman" w:cs="Times New Roman"/>
          <w:noProof/>
          <w:color w:val="FFFFFF"/>
          <w:spacing w:val="-20000"/>
          <w:sz w:val="24"/>
          <w:szCs w:val="24"/>
        </w:rPr>
        <w:instrText> кризис</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лекарства от очень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инновациям </w:instrText>
      </w:r>
      <w:r w:rsidRPr="007E1000">
        <w:rPr>
          <w:rFonts w:ascii="Times New Roman" w:eastAsia="Times New Roman" w:hAnsi="Times New Roman" w:cs="Times New Roman"/>
          <w:noProof/>
          <w:color w:val="000000" w:themeColor="text1"/>
          <w:sz w:val="24"/>
          <w:szCs w:val="24"/>
          <w:lang w:eastAsia="ru-RU"/>
        </w:rPr>
        <w:instrText>редкого</w:instrText>
      </w:r>
      <w:r w:rsidRPr="007E1000">
        <w:rPr>
          <w:rFonts w:ascii="Times New Roman" w:eastAsia="Times New Roman" w:hAnsi="Times New Roman" w:cs="Times New Roman"/>
          <w:noProof/>
          <w:color w:val="FFFFFF"/>
          <w:spacing w:val="-20000"/>
          <w:sz w:val="24"/>
          <w:szCs w:val="24"/>
        </w:rPr>
        <w:instrText> обществе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заболевания имеет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значению </w:instrText>
      </w:r>
      <w:r w:rsidRPr="007E1000">
        <w:rPr>
          <w:rFonts w:ascii="Times New Roman" w:eastAsia="Times New Roman" w:hAnsi="Times New Roman" w:cs="Times New Roman"/>
          <w:noProof/>
          <w:color w:val="000000" w:themeColor="text1"/>
          <w:sz w:val="24"/>
          <w:szCs w:val="24"/>
          <w:lang w:eastAsia="ru-RU"/>
        </w:rPr>
        <w:instrText>очень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узкую сферу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дований </w:instrText>
      </w:r>
      <w:r w:rsidRPr="007E1000">
        <w:rPr>
          <w:rFonts w:ascii="Times New Roman" w:eastAsia="Times New Roman" w:hAnsi="Times New Roman" w:cs="Times New Roman"/>
          <w:noProof/>
          <w:color w:val="000000" w:themeColor="text1"/>
          <w:sz w:val="24"/>
          <w:szCs w:val="24"/>
          <w:lang w:eastAsia="ru-RU"/>
        </w:rPr>
        <w:instrText>применения</w:instrText>
      </w:r>
      <w:r w:rsidRPr="007E1000">
        <w:rPr>
          <w:rFonts w:ascii="Times New Roman" w:eastAsia="Times New Roman" w:hAnsi="Times New Roman" w:cs="Times New Roman"/>
          <w:noProof/>
          <w:color w:val="FFFFFF"/>
          <w:spacing w:val="-20000"/>
          <w:sz w:val="24"/>
          <w:szCs w:val="24"/>
        </w:rPr>
        <w:instrText> внутренней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а изобретение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сотовой</w:instrText>
      </w:r>
      <w:r w:rsidRPr="007E1000">
        <w:rPr>
          <w:rFonts w:ascii="Times New Roman" w:eastAsia="Times New Roman" w:hAnsi="Times New Roman" w:cs="Times New Roman"/>
          <w:noProof/>
          <w:color w:val="FFFFFF"/>
          <w:spacing w:val="-20000"/>
          <w:sz w:val="24"/>
          <w:szCs w:val="24"/>
        </w:rPr>
        <w:instrText> блокам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телефонной связи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возможности </w:instrText>
      </w:r>
      <w:r w:rsidRPr="007E1000">
        <w:rPr>
          <w:rFonts w:ascii="Times New Roman" w:eastAsia="Times New Roman" w:hAnsi="Times New Roman" w:cs="Times New Roman"/>
          <w:noProof/>
          <w:color w:val="000000" w:themeColor="text1"/>
          <w:sz w:val="24"/>
          <w:szCs w:val="24"/>
          <w:lang w:eastAsia="ru-RU"/>
        </w:rPr>
        <w:instrText>получило</w:instrText>
      </w:r>
      <w:r w:rsidRPr="007E1000">
        <w:rPr>
          <w:rFonts w:ascii="Times New Roman" w:eastAsia="Times New Roman" w:hAnsi="Times New Roman" w:cs="Times New Roman"/>
          <w:noProof/>
          <w:color w:val="FFFFFF"/>
          <w:spacing w:val="-20000"/>
          <w:sz w:val="24"/>
          <w:szCs w:val="24"/>
        </w:rPr>
        <w:instrText> получения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распространение практически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потенциале </w:instrText>
      </w:r>
      <w:r w:rsidRPr="007E1000">
        <w:rPr>
          <w:rFonts w:ascii="Times New Roman" w:eastAsia="Times New Roman" w:hAnsi="Times New Roman" w:cs="Times New Roman"/>
          <w:noProof/>
          <w:color w:val="000000" w:themeColor="text1"/>
          <w:sz w:val="24"/>
          <w:szCs w:val="24"/>
          <w:lang w:eastAsia="ru-RU"/>
        </w:rPr>
        <w:instrText>повсеместно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Однако, учитывая то, что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более </w:instrText>
      </w:r>
      <w:r w:rsidRPr="007E1000">
        <w:rPr>
          <w:rFonts w:ascii="Times New Roman" w:eastAsia="Times New Roman" w:hAnsi="Times New Roman" w:cs="Times New Roman"/>
          <w:noProof/>
          <w:color w:val="000000" w:themeColor="text1"/>
          <w:sz w:val="24"/>
          <w:szCs w:val="24"/>
          <w:lang w:eastAsia="ru-RU"/>
        </w:rPr>
        <w:instrText>каждая</w:instrText>
      </w:r>
      <w:r w:rsidRPr="007E1000">
        <w:rPr>
          <w:rFonts w:ascii="Times New Roman" w:eastAsia="Times New Roman" w:hAnsi="Times New Roman" w:cs="Times New Roman"/>
          <w:noProof/>
          <w:color w:val="FFFFFF"/>
          <w:spacing w:val="-20000"/>
          <w:sz w:val="24"/>
          <w:szCs w:val="24"/>
        </w:rPr>
        <w:instrText> которые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создает</w:instrText>
      </w:r>
      <w:r w:rsidRPr="007E1000">
        <w:rPr>
          <w:rFonts w:ascii="Times New Roman" w:eastAsia="Times New Roman" w:hAnsi="Times New Roman" w:cs="Times New Roman"/>
          <w:noProof/>
          <w:color w:val="FFFFFF"/>
          <w:spacing w:val="-20000"/>
          <w:sz w:val="24"/>
          <w:szCs w:val="24"/>
        </w:rPr>
        <w:instrText> соглас</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базу для последующих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него </w:instrText>
      </w:r>
      <w:r w:rsidRPr="007E1000">
        <w:rPr>
          <w:rFonts w:ascii="Times New Roman" w:eastAsia="Times New Roman" w:hAnsi="Times New Roman" w:cs="Times New Roman"/>
          <w:noProof/>
          <w:color w:val="000000" w:themeColor="text1"/>
          <w:sz w:val="24"/>
          <w:szCs w:val="24"/>
          <w:lang w:eastAsia="ru-RU"/>
        </w:rPr>
        <w:instrText>инноваций</w:instrText>
      </w:r>
      <w:r w:rsidRPr="007E1000">
        <w:rPr>
          <w:rFonts w:ascii="Times New Roman" w:eastAsia="Times New Roman" w:hAnsi="Times New Roman" w:cs="Times New Roman"/>
          <w:noProof/>
          <w:color w:val="FFFFFF"/>
          <w:spacing w:val="-20000"/>
          <w:sz w:val="24"/>
          <w:szCs w:val="24"/>
        </w:rPr>
        <w:instrText> максимально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нельзя «отбрасывать»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technology </w:instrText>
      </w:r>
      <w:r w:rsidRPr="007E1000">
        <w:rPr>
          <w:rFonts w:ascii="Times New Roman" w:eastAsia="Times New Roman" w:hAnsi="Times New Roman" w:cs="Times New Roman"/>
          <w:noProof/>
          <w:color w:val="000000" w:themeColor="text1"/>
          <w:sz w:val="24"/>
          <w:szCs w:val="24"/>
          <w:lang w:eastAsia="ru-RU"/>
        </w:rPr>
        <w:instrText>инновации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 узкой сферой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страны </w:instrText>
      </w:r>
      <w:r w:rsidRPr="007E1000">
        <w:rPr>
          <w:rFonts w:ascii="Times New Roman" w:eastAsia="Times New Roman" w:hAnsi="Times New Roman" w:cs="Times New Roman"/>
          <w:noProof/>
          <w:color w:val="000000" w:themeColor="text1"/>
          <w:sz w:val="24"/>
          <w:szCs w:val="24"/>
          <w:lang w:eastAsia="ru-RU"/>
        </w:rPr>
        <w:instrText>применения</w:instrText>
      </w:r>
      <w:r w:rsidRPr="007E1000">
        <w:rPr>
          <w:rFonts w:ascii="Times New Roman" w:eastAsia="Times New Roman" w:hAnsi="Times New Roman" w:cs="Times New Roman"/>
          <w:noProof/>
          <w:color w:val="FFFFFF"/>
          <w:spacing w:val="-20000"/>
          <w:sz w:val="24"/>
          <w:szCs w:val="24"/>
        </w:rPr>
        <w:instrText> другие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Возможно,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после</w:instrText>
      </w:r>
      <w:r w:rsidRPr="007E1000">
        <w:rPr>
          <w:rFonts w:ascii="Times New Roman" w:eastAsia="Times New Roman" w:hAnsi="Times New Roman" w:cs="Times New Roman"/>
          <w:noProof/>
          <w:color w:val="FFFFFF"/>
          <w:spacing w:val="-20000"/>
          <w:sz w:val="24"/>
          <w:szCs w:val="24"/>
        </w:rPr>
        <w:instrText> развитие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некоторых доработок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ляется </w:instrText>
      </w:r>
      <w:r w:rsidRPr="007E1000">
        <w:rPr>
          <w:rFonts w:ascii="Times New Roman" w:eastAsia="Times New Roman" w:hAnsi="Times New Roman" w:cs="Times New Roman"/>
          <w:noProof/>
          <w:color w:val="000000" w:themeColor="text1"/>
          <w:sz w:val="24"/>
          <w:szCs w:val="24"/>
          <w:lang w:eastAsia="ru-RU"/>
        </w:rPr>
        <w:instrText>видоизменений</w:instrText>
      </w:r>
      <w:r w:rsidRPr="007E1000">
        <w:rPr>
          <w:rFonts w:ascii="Times New Roman" w:eastAsia="Times New Roman" w:hAnsi="Times New Roman" w:cs="Times New Roman"/>
          <w:noProof/>
          <w:color w:val="FFFFFF"/>
          <w:spacing w:val="-20000"/>
          <w:sz w:val="24"/>
          <w:szCs w:val="24"/>
        </w:rPr>
        <w:instrText> мающихся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они будут способны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многим </w:instrText>
      </w:r>
      <w:r w:rsidRPr="007E1000">
        <w:rPr>
          <w:rFonts w:ascii="Times New Roman" w:eastAsia="Times New Roman" w:hAnsi="Times New Roman" w:cs="Times New Roman"/>
          <w:noProof/>
          <w:color w:val="000000" w:themeColor="text1"/>
          <w:sz w:val="24"/>
          <w:szCs w:val="24"/>
          <w:lang w:eastAsia="ru-RU"/>
        </w:rPr>
        <w:instrText>улучшить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w:t>
      </w:r>
      <w:r w:rsidRPr="007E1000">
        <w:rPr>
          <w:rFonts w:ascii="Times New Roman" w:eastAsia="Times New Roman" w:hAnsi="Times New Roman" w:cs="Times New Roman"/>
          <w:color w:val="000000" w:themeColor="text1"/>
          <w:sz w:val="24"/>
          <w:szCs w:val="24"/>
          <w:lang w:eastAsia="ru-RU"/>
        </w:rPr>
        <w:lastRenderedPageBreak/>
        <w:t xml:space="preserve">жизнь огромному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стратегия </w:instrText>
      </w:r>
      <w:r w:rsidRPr="007E1000">
        <w:rPr>
          <w:rFonts w:ascii="Times New Roman" w:eastAsia="Times New Roman" w:hAnsi="Times New Roman" w:cs="Times New Roman"/>
          <w:noProof/>
          <w:color w:val="000000" w:themeColor="text1"/>
          <w:sz w:val="24"/>
          <w:szCs w:val="24"/>
          <w:lang w:eastAsia="ru-RU"/>
        </w:rPr>
        <w:instrText>числу</w:instrText>
      </w:r>
      <w:r w:rsidRPr="007E1000">
        <w:rPr>
          <w:rFonts w:ascii="Times New Roman" w:eastAsia="Times New Roman" w:hAnsi="Times New Roman" w:cs="Times New Roman"/>
          <w:noProof/>
          <w:color w:val="FFFFFF"/>
          <w:spacing w:val="-20000"/>
          <w:sz w:val="24"/>
          <w:szCs w:val="24"/>
        </w:rPr>
        <w:instrText> контроль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людей. Так,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например</w:instrText>
      </w:r>
      <w:r w:rsidRPr="007E1000">
        <w:rPr>
          <w:rFonts w:ascii="Times New Roman" w:eastAsia="Times New Roman" w:hAnsi="Times New Roman" w:cs="Times New Roman"/>
          <w:noProof/>
          <w:color w:val="FFFFFF"/>
          <w:spacing w:val="-20000"/>
          <w:sz w:val="24"/>
          <w:szCs w:val="24"/>
        </w:rPr>
        <w:instrText> человеческие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случилось с компьютерами.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возможность </w:instrText>
      </w:r>
      <w:r w:rsidRPr="007E1000">
        <w:rPr>
          <w:rFonts w:ascii="Times New Roman" w:eastAsia="Times New Roman" w:hAnsi="Times New Roman" w:cs="Times New Roman"/>
          <w:noProof/>
          <w:color w:val="000000" w:themeColor="text1"/>
          <w:sz w:val="24"/>
          <w:szCs w:val="24"/>
          <w:lang w:eastAsia="ru-RU"/>
        </w:rPr>
        <w:instrText>Созданные</w:instrText>
      </w:r>
      <w:r w:rsidRPr="007E1000">
        <w:rPr>
          <w:rFonts w:ascii="Times New Roman" w:eastAsia="Times New Roman" w:hAnsi="Times New Roman" w:cs="Times New Roman"/>
          <w:noProof/>
          <w:color w:val="FFFFFF"/>
          <w:spacing w:val="-20000"/>
          <w:sz w:val="24"/>
          <w:szCs w:val="24"/>
        </w:rPr>
        <w:instrText> таблица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первоначально для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обеспечении </w:instrText>
      </w:r>
      <w:r w:rsidRPr="007E1000">
        <w:rPr>
          <w:rFonts w:ascii="Times New Roman" w:eastAsia="Times New Roman" w:hAnsi="Times New Roman" w:cs="Times New Roman"/>
          <w:noProof/>
          <w:color w:val="000000" w:themeColor="text1"/>
          <w:sz w:val="24"/>
          <w:szCs w:val="24"/>
          <w:lang w:eastAsia="ru-RU"/>
        </w:rPr>
        <w:instrText>узкого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круга специалиста,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настоящим </w:instrText>
      </w:r>
      <w:r w:rsidRPr="007E1000">
        <w:rPr>
          <w:rFonts w:ascii="Times New Roman" w:eastAsia="Times New Roman" w:hAnsi="Times New Roman" w:cs="Times New Roman"/>
          <w:noProof/>
          <w:color w:val="000000" w:themeColor="text1"/>
          <w:sz w:val="24"/>
          <w:szCs w:val="24"/>
          <w:lang w:eastAsia="ru-RU"/>
        </w:rPr>
        <w:instrText>сейчас</w:instrText>
      </w:r>
      <w:r w:rsidRPr="007E1000">
        <w:rPr>
          <w:rFonts w:ascii="Times New Roman" w:eastAsia="Times New Roman" w:hAnsi="Times New Roman" w:cs="Times New Roman"/>
          <w:noProof/>
          <w:color w:val="FFFFFF"/>
          <w:spacing w:val="-20000"/>
          <w:sz w:val="24"/>
          <w:szCs w:val="24"/>
        </w:rPr>
        <w:instrText> профе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они распространены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миллионах</w:instrText>
      </w:r>
      <w:r w:rsidRPr="007E1000">
        <w:rPr>
          <w:rFonts w:ascii="Times New Roman" w:eastAsia="Times New Roman" w:hAnsi="Times New Roman" w:cs="Times New Roman"/>
          <w:noProof/>
          <w:color w:val="FFFFFF"/>
          <w:spacing w:val="-20000"/>
          <w:sz w:val="24"/>
          <w:szCs w:val="24"/>
        </w:rPr>
        <w:instrText> результатом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фирм и домохозяйств во все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экспорта </w:instrText>
      </w:r>
      <w:r w:rsidRPr="007E1000">
        <w:rPr>
          <w:rFonts w:ascii="Times New Roman" w:eastAsia="Times New Roman" w:hAnsi="Times New Roman" w:cs="Times New Roman"/>
          <w:noProof/>
          <w:color w:val="000000" w:themeColor="text1"/>
          <w:sz w:val="24"/>
          <w:szCs w:val="24"/>
          <w:lang w:eastAsia="ru-RU"/>
        </w:rPr>
        <w:instrText>мире</w:instrText>
      </w:r>
      <w:r w:rsidRPr="007E1000">
        <w:rPr>
          <w:rFonts w:ascii="Times New Roman" w:eastAsia="Times New Roman" w:hAnsi="Times New Roman" w:cs="Times New Roman"/>
          <w:noProof/>
          <w:color w:val="FFFFFF"/>
          <w:spacing w:val="-20000"/>
          <w:sz w:val="24"/>
          <w:szCs w:val="24"/>
        </w:rPr>
        <w:instrText> компонента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687DF3F7"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Мотивация и контроль за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информационные </w:instrText>
      </w:r>
      <w:r w:rsidRPr="007E1000">
        <w:rPr>
          <w:rFonts w:ascii="Times New Roman" w:eastAsia="Times New Roman" w:hAnsi="Times New Roman" w:cs="Times New Roman"/>
          <w:noProof/>
          <w:color w:val="000000" w:themeColor="text1"/>
          <w:sz w:val="24"/>
          <w:szCs w:val="24"/>
          <w:lang w:eastAsia="ru-RU"/>
        </w:rPr>
        <w:instrText>разработками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 это совокупность способов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innovation </w:instrText>
      </w:r>
      <w:r w:rsidRPr="007E1000">
        <w:rPr>
          <w:rFonts w:ascii="Times New Roman" w:eastAsia="Times New Roman" w:hAnsi="Times New Roman" w:cs="Times New Roman"/>
          <w:noProof/>
          <w:color w:val="000000" w:themeColor="text1"/>
          <w:sz w:val="24"/>
          <w:szCs w:val="24"/>
          <w:lang w:eastAsia="ru-RU"/>
        </w:rPr>
        <w:instrText>методов</w:instrText>
      </w:r>
      <w:r w:rsidRPr="007E1000">
        <w:rPr>
          <w:rFonts w:ascii="Times New Roman" w:eastAsia="Times New Roman" w:hAnsi="Times New Roman" w:cs="Times New Roman"/>
          <w:noProof/>
          <w:color w:val="FFFFFF"/>
          <w:spacing w:val="-20000"/>
          <w:sz w:val="24"/>
          <w:szCs w:val="24"/>
        </w:rPr>
        <w:instrText> другие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государственного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регулирования</w:instrText>
      </w:r>
      <w:r w:rsidRPr="007E1000">
        <w:rPr>
          <w:rFonts w:ascii="Times New Roman" w:eastAsia="Times New Roman" w:hAnsi="Times New Roman" w:cs="Times New Roman"/>
          <w:noProof/>
          <w:color w:val="FFFFFF"/>
          <w:spacing w:val="-20000"/>
          <w:sz w:val="24"/>
          <w:szCs w:val="24"/>
        </w:rPr>
        <w:instrText> правлении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инновационной деятельности. Она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инновационный </w:instrText>
      </w:r>
      <w:r w:rsidRPr="007E1000">
        <w:rPr>
          <w:rFonts w:ascii="Times New Roman" w:eastAsia="Times New Roman" w:hAnsi="Times New Roman" w:cs="Times New Roman"/>
          <w:noProof/>
          <w:color w:val="000000" w:themeColor="text1"/>
          <w:sz w:val="24"/>
          <w:szCs w:val="24"/>
          <w:lang w:eastAsia="ru-RU"/>
        </w:rPr>
        <w:instrText>отражена</w:instrText>
      </w:r>
      <w:r w:rsidRPr="007E1000">
        <w:rPr>
          <w:rFonts w:ascii="Times New Roman" w:eastAsia="Times New Roman" w:hAnsi="Times New Roman" w:cs="Times New Roman"/>
          <w:noProof/>
          <w:color w:val="FFFFFF"/>
          <w:spacing w:val="-20000"/>
          <w:sz w:val="24"/>
          <w:szCs w:val="24"/>
        </w:rPr>
        <w:instrText> нарастающий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прежде всего в за</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обществе </w:instrText>
      </w:r>
      <w:r w:rsidRPr="007E1000">
        <w:rPr>
          <w:rFonts w:ascii="Times New Roman" w:eastAsia="Times New Roman" w:hAnsi="Times New Roman" w:cs="Times New Roman"/>
          <w:noProof/>
          <w:color w:val="000000" w:themeColor="text1"/>
          <w:sz w:val="24"/>
          <w:szCs w:val="24"/>
          <w:lang w:eastAsia="ru-RU"/>
        </w:rPr>
        <w:instrText>конодательной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базе, актах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стью </w:instrText>
      </w:r>
      <w:r w:rsidRPr="007E1000">
        <w:rPr>
          <w:rFonts w:ascii="Times New Roman" w:eastAsia="Times New Roman" w:hAnsi="Times New Roman" w:cs="Times New Roman"/>
          <w:noProof/>
          <w:color w:val="000000" w:themeColor="text1"/>
          <w:sz w:val="24"/>
          <w:szCs w:val="24"/>
          <w:lang w:eastAsia="ru-RU"/>
        </w:rPr>
        <w:instrText>Правительства</w:instrText>
      </w:r>
      <w:r w:rsidRPr="007E1000">
        <w:rPr>
          <w:rFonts w:ascii="Times New Roman" w:eastAsia="Times New Roman" w:hAnsi="Times New Roman" w:cs="Times New Roman"/>
          <w:noProof/>
          <w:color w:val="FFFFFF"/>
          <w:spacing w:val="-20000"/>
          <w:sz w:val="24"/>
          <w:szCs w:val="24"/>
        </w:rPr>
        <w:instrText> управление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национальных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проектах</w:instrText>
      </w:r>
      <w:r w:rsidRPr="007E1000">
        <w:rPr>
          <w:rFonts w:ascii="Times New Roman" w:eastAsia="Times New Roman" w:hAnsi="Times New Roman" w:cs="Times New Roman"/>
          <w:noProof/>
          <w:color w:val="FFFFFF"/>
          <w:spacing w:val="-20000"/>
          <w:sz w:val="24"/>
          <w:szCs w:val="24"/>
        </w:rPr>
        <w:instrText> внедрению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Мотивация и контроль за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обеспечивает </w:instrText>
      </w:r>
      <w:r w:rsidRPr="007E1000">
        <w:rPr>
          <w:rFonts w:ascii="Times New Roman" w:eastAsia="Times New Roman" w:hAnsi="Times New Roman" w:cs="Times New Roman"/>
          <w:noProof/>
          <w:color w:val="000000" w:themeColor="text1"/>
          <w:sz w:val="24"/>
          <w:szCs w:val="24"/>
          <w:lang w:eastAsia="ru-RU"/>
        </w:rPr>
        <w:instrText>разработками</w:instrText>
      </w:r>
      <w:r w:rsidRPr="007E1000">
        <w:rPr>
          <w:rFonts w:ascii="Times New Roman" w:eastAsia="Times New Roman" w:hAnsi="Times New Roman" w:cs="Times New Roman"/>
          <w:noProof/>
          <w:color w:val="FFFFFF"/>
          <w:spacing w:val="-20000"/>
          <w:sz w:val="24"/>
          <w:szCs w:val="24"/>
        </w:rPr>
        <w:instrText> нанообщес</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 это стимулирование государством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обусловлено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инноваций в какой-либо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индексах </w:instrText>
      </w:r>
      <w:r w:rsidRPr="007E1000">
        <w:rPr>
          <w:rFonts w:ascii="Times New Roman" w:eastAsia="Times New Roman" w:hAnsi="Times New Roman" w:cs="Times New Roman"/>
          <w:noProof/>
          <w:color w:val="000000" w:themeColor="text1"/>
          <w:sz w:val="24"/>
          <w:szCs w:val="24"/>
          <w:lang w:eastAsia="ru-RU"/>
        </w:rPr>
        <w:instrText>сфере</w:instrText>
      </w:r>
      <w:r w:rsidRPr="007E1000">
        <w:rPr>
          <w:rFonts w:ascii="Times New Roman" w:eastAsia="Times New Roman" w:hAnsi="Times New Roman" w:cs="Times New Roman"/>
          <w:noProof/>
          <w:color w:val="FFFFFF"/>
          <w:spacing w:val="-20000"/>
          <w:sz w:val="24"/>
          <w:szCs w:val="24"/>
        </w:rPr>
        <w:instrText> социальных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мониторинг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результатов</w:instrText>
      </w:r>
      <w:r w:rsidRPr="007E1000">
        <w:rPr>
          <w:rFonts w:ascii="Times New Roman" w:eastAsia="Times New Roman" w:hAnsi="Times New Roman" w:cs="Times New Roman"/>
          <w:noProof/>
          <w:color w:val="FFFFFF"/>
          <w:spacing w:val="-20000"/>
          <w:sz w:val="24"/>
          <w:szCs w:val="24"/>
        </w:rPr>
        <w:instrText> значению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исследований. Фактически, государственно стимулирование представляет собой </w:t>
      </w:r>
      <w:r w:rsidRPr="007E1000">
        <w:rPr>
          <w:rFonts w:ascii="Times New Roman" w:eastAsia="Times New Roman" w:hAnsi="Times New Roman" w:cs="Times New Roman"/>
          <w:sz w:val="24"/>
          <w:szCs w:val="24"/>
          <w:highlight w:val="white"/>
        </w:rPr>
        <w:t>материальную</w:t>
      </w:r>
      <w:r w:rsidRPr="007E1000">
        <w:rPr>
          <w:rFonts w:ascii="Times New Roman" w:eastAsia="Times New Roman" w:hAnsi="Times New Roman" w:cs="Times New Roman"/>
          <w:color w:val="000000" w:themeColor="text1"/>
          <w:sz w:val="24"/>
          <w:szCs w:val="24"/>
          <w:lang w:eastAsia="ru-RU"/>
        </w:rPr>
        <w:t xml:space="preserve"> готовность государственного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отсутствует </w:instrText>
      </w:r>
      <w:r w:rsidRPr="007E1000">
        <w:rPr>
          <w:rFonts w:ascii="Times New Roman" w:eastAsia="Times New Roman" w:hAnsi="Times New Roman" w:cs="Times New Roman"/>
          <w:noProof/>
          <w:color w:val="000000" w:themeColor="text1"/>
          <w:sz w:val="24"/>
          <w:szCs w:val="24"/>
          <w:lang w:eastAsia="ru-RU"/>
        </w:rPr>
        <w:instrText>частного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сектора к внедрению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между </w:instrText>
      </w:r>
      <w:r w:rsidRPr="007E1000">
        <w:rPr>
          <w:rFonts w:ascii="Times New Roman" w:eastAsia="Times New Roman" w:hAnsi="Times New Roman" w:cs="Times New Roman"/>
          <w:noProof/>
          <w:color w:val="000000" w:themeColor="text1"/>
          <w:sz w:val="24"/>
          <w:szCs w:val="24"/>
          <w:lang w:eastAsia="ru-RU"/>
        </w:rPr>
        <w:instrText>инноваций</w:instrText>
      </w:r>
      <w:r w:rsidRPr="007E1000">
        <w:rPr>
          <w:rFonts w:ascii="Times New Roman" w:eastAsia="Times New Roman" w:hAnsi="Times New Roman" w:cs="Times New Roman"/>
          <w:noProof/>
          <w:color w:val="FFFFFF"/>
          <w:spacing w:val="-20000"/>
          <w:sz w:val="24"/>
          <w:szCs w:val="24"/>
        </w:rPr>
        <w:instrText> проектов</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 это совокупность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материальных</w:instrText>
      </w:r>
      <w:r w:rsidRPr="007E1000">
        <w:rPr>
          <w:rFonts w:ascii="Times New Roman" w:eastAsia="Times New Roman" w:hAnsi="Times New Roman" w:cs="Times New Roman"/>
          <w:noProof/>
          <w:color w:val="FFFFFF"/>
          <w:spacing w:val="-20000"/>
          <w:sz w:val="24"/>
          <w:szCs w:val="24"/>
        </w:rPr>
        <w:instrText> привлекать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ресурсов государства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экспорта </w:instrText>
      </w:r>
      <w:r w:rsidRPr="007E1000">
        <w:rPr>
          <w:rFonts w:ascii="Times New Roman" w:eastAsia="Times New Roman" w:hAnsi="Times New Roman" w:cs="Times New Roman"/>
          <w:noProof/>
          <w:color w:val="000000" w:themeColor="text1"/>
          <w:sz w:val="24"/>
          <w:szCs w:val="24"/>
          <w:lang w:eastAsia="ru-RU"/>
        </w:rPr>
        <w:instrText>виде</w:instrText>
      </w:r>
      <w:r w:rsidRPr="007E1000">
        <w:rPr>
          <w:rFonts w:ascii="Times New Roman" w:eastAsia="Times New Roman" w:hAnsi="Times New Roman" w:cs="Times New Roman"/>
          <w:noProof/>
          <w:color w:val="FFFFFF"/>
          <w:spacing w:val="-20000"/>
          <w:sz w:val="24"/>
          <w:szCs w:val="24"/>
        </w:rPr>
        <w:instrText> развития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государственных расходов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данный </w:instrText>
      </w:r>
      <w:r w:rsidRPr="007E1000">
        <w:rPr>
          <w:rFonts w:ascii="Times New Roman" w:eastAsia="Times New Roman" w:hAnsi="Times New Roman" w:cs="Times New Roman"/>
          <w:noProof/>
          <w:color w:val="000000" w:themeColor="text1"/>
          <w:sz w:val="24"/>
          <w:szCs w:val="24"/>
          <w:lang w:eastAsia="ru-RU"/>
        </w:rPr>
        <w:instrText>свободных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средств бизнеса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модернизации </w:instrText>
      </w:r>
      <w:r w:rsidRPr="007E1000">
        <w:rPr>
          <w:rFonts w:ascii="Times New Roman" w:eastAsia="Times New Roman" w:hAnsi="Times New Roman" w:cs="Times New Roman"/>
          <w:noProof/>
          <w:color w:val="000000" w:themeColor="text1"/>
          <w:sz w:val="24"/>
          <w:szCs w:val="24"/>
          <w:lang w:eastAsia="ru-RU"/>
        </w:rPr>
        <w:instrText>виде</w:instrText>
      </w:r>
      <w:r w:rsidRPr="007E1000">
        <w:rPr>
          <w:rFonts w:ascii="Times New Roman" w:eastAsia="Times New Roman" w:hAnsi="Times New Roman" w:cs="Times New Roman"/>
          <w:noProof/>
          <w:color w:val="FFFFFF"/>
          <w:spacing w:val="-20000"/>
          <w:sz w:val="24"/>
          <w:szCs w:val="24"/>
        </w:rPr>
        <w:instrText> выделении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инвестиций,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направляемых</w:instrText>
      </w:r>
      <w:r w:rsidRPr="007E1000">
        <w:rPr>
          <w:rFonts w:ascii="Times New Roman" w:eastAsia="Times New Roman" w:hAnsi="Times New Roman" w:cs="Times New Roman"/>
          <w:noProof/>
          <w:color w:val="FFFFFF"/>
          <w:spacing w:val="-20000"/>
          <w:sz w:val="24"/>
          <w:szCs w:val="24"/>
        </w:rPr>
        <w:instrText> базир</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 создание нововведений.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него </w:instrText>
      </w:r>
      <w:r w:rsidRPr="007E1000">
        <w:rPr>
          <w:rFonts w:ascii="Times New Roman" w:eastAsia="Times New Roman" w:hAnsi="Times New Roman" w:cs="Times New Roman"/>
          <w:noProof/>
          <w:color w:val="000000" w:themeColor="text1"/>
          <w:sz w:val="24"/>
          <w:szCs w:val="24"/>
          <w:lang w:eastAsia="ru-RU"/>
        </w:rPr>
        <w:instrText>Очевидно</w:instrText>
      </w:r>
      <w:r w:rsidRPr="007E1000">
        <w:rPr>
          <w:rFonts w:ascii="Times New Roman" w:eastAsia="Times New Roman" w:hAnsi="Times New Roman" w:cs="Times New Roman"/>
          <w:noProof/>
          <w:color w:val="FFFFFF"/>
          <w:spacing w:val="-20000"/>
          <w:sz w:val="24"/>
          <w:szCs w:val="24"/>
        </w:rPr>
        <w:instrText> index</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что совершая инвестиции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россия </w:instrText>
      </w:r>
      <w:r w:rsidRPr="007E1000">
        <w:rPr>
          <w:rFonts w:ascii="Times New Roman" w:eastAsia="Times New Roman" w:hAnsi="Times New Roman" w:cs="Times New Roman"/>
          <w:noProof/>
          <w:color w:val="000000" w:themeColor="text1"/>
          <w:sz w:val="24"/>
          <w:szCs w:val="24"/>
          <w:lang w:eastAsia="ru-RU"/>
        </w:rPr>
        <w:instrText>инновации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государство и бизнес прежде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другой </w:instrText>
      </w:r>
      <w:r w:rsidRPr="007E1000">
        <w:rPr>
          <w:rFonts w:ascii="Times New Roman" w:eastAsia="Times New Roman" w:hAnsi="Times New Roman" w:cs="Times New Roman"/>
          <w:noProof/>
          <w:color w:val="000000" w:themeColor="text1"/>
          <w:sz w:val="24"/>
          <w:szCs w:val="24"/>
          <w:lang w:eastAsia="ru-RU"/>
        </w:rPr>
        <w:instrText>всего</w:instrText>
      </w:r>
      <w:r w:rsidRPr="007E1000">
        <w:rPr>
          <w:rFonts w:ascii="Times New Roman" w:eastAsia="Times New Roman" w:hAnsi="Times New Roman" w:cs="Times New Roman"/>
          <w:noProof/>
          <w:color w:val="FFFFFF"/>
          <w:spacing w:val="-20000"/>
          <w:sz w:val="24"/>
          <w:szCs w:val="24"/>
        </w:rPr>
        <w:instrText> званных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заботятся 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повышении</w:instrText>
      </w:r>
      <w:r w:rsidRPr="007E1000">
        <w:rPr>
          <w:rFonts w:ascii="Times New Roman" w:eastAsia="Times New Roman" w:hAnsi="Times New Roman" w:cs="Times New Roman"/>
          <w:noProof/>
          <w:color w:val="FFFFFF"/>
          <w:spacing w:val="-20000"/>
          <w:sz w:val="24"/>
          <w:szCs w:val="24"/>
        </w:rPr>
        <w:instrText> числе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своей конкурентоспособности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воспользуемся </w:instrText>
      </w:r>
      <w:r w:rsidRPr="007E1000">
        <w:rPr>
          <w:rFonts w:ascii="Times New Roman" w:eastAsia="Times New Roman" w:hAnsi="Times New Roman" w:cs="Times New Roman"/>
          <w:noProof/>
          <w:color w:val="000000" w:themeColor="text1"/>
          <w:sz w:val="24"/>
          <w:szCs w:val="24"/>
          <w:lang w:eastAsia="ru-RU"/>
        </w:rPr>
        <w:instrText>долгосрочном</w:instrText>
      </w:r>
      <w:r w:rsidRPr="007E1000">
        <w:rPr>
          <w:rFonts w:ascii="Times New Roman" w:eastAsia="Times New Roman" w:hAnsi="Times New Roman" w:cs="Times New Roman"/>
          <w:noProof/>
          <w:color w:val="FFFFFF"/>
          <w:spacing w:val="-20000"/>
          <w:sz w:val="24"/>
          <w:szCs w:val="24"/>
        </w:rPr>
        <w:instrText> страны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периоде.</w:t>
      </w:r>
    </w:p>
    <w:p w14:paraId="6D32C199"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Совершенно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ряющих </w:instrText>
      </w:r>
      <w:r w:rsidRPr="007E1000">
        <w:rPr>
          <w:rFonts w:ascii="Times New Roman" w:eastAsia="Times New Roman" w:hAnsi="Times New Roman" w:cs="Times New Roman"/>
          <w:noProof/>
          <w:color w:val="000000" w:themeColor="text1"/>
          <w:sz w:val="24"/>
          <w:szCs w:val="24"/>
          <w:lang w:eastAsia="ru-RU"/>
        </w:rPr>
        <w:instrText>понятно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что инновационный потенциал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структуре </w:instrText>
      </w:r>
      <w:r w:rsidRPr="007E1000">
        <w:rPr>
          <w:rFonts w:ascii="Times New Roman" w:eastAsia="Times New Roman" w:hAnsi="Times New Roman" w:cs="Times New Roman"/>
          <w:noProof/>
          <w:color w:val="000000" w:themeColor="text1"/>
          <w:sz w:val="24"/>
          <w:szCs w:val="24"/>
          <w:lang w:eastAsia="ru-RU"/>
        </w:rPr>
        <w:instrText>страны</w:instrText>
      </w:r>
      <w:r w:rsidRPr="007E1000">
        <w:rPr>
          <w:rFonts w:ascii="Times New Roman" w:eastAsia="Times New Roman" w:hAnsi="Times New Roman" w:cs="Times New Roman"/>
          <w:noProof/>
          <w:color w:val="FFFFFF"/>
          <w:spacing w:val="-20000"/>
          <w:sz w:val="24"/>
          <w:szCs w:val="24"/>
        </w:rPr>
        <w:instrText> период</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определяется ее </w:t>
      </w:r>
      <w:r w:rsidRPr="007E1000">
        <w:rPr>
          <w:rFonts w:ascii="Times New Roman" w:eastAsia="Times New Roman" w:hAnsi="Times New Roman" w:cs="Times New Roman"/>
          <w:sz w:val="24"/>
          <w:szCs w:val="24"/>
        </w:rPr>
        <w:t>способ</w:t>
      </w:r>
      <w:r w:rsidRPr="007E1000">
        <w:rPr>
          <w:rFonts w:ascii="Times New Roman" w:eastAsia="Times New Roman" w:hAnsi="Times New Roman" w:cs="Times New Roman"/>
          <w:color w:val="000000" w:themeColor="text1"/>
          <w:sz w:val="24"/>
          <w:szCs w:val="24"/>
          <w:lang w:eastAsia="ru-RU"/>
        </w:rPr>
        <w:t xml:space="preserve">ностью вести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рассматривать </w:instrText>
      </w:r>
      <w:r w:rsidRPr="007E1000">
        <w:rPr>
          <w:rFonts w:ascii="Times New Roman" w:eastAsia="Times New Roman" w:hAnsi="Times New Roman" w:cs="Times New Roman"/>
          <w:noProof/>
          <w:color w:val="000000" w:themeColor="text1"/>
          <w:sz w:val="24"/>
          <w:szCs w:val="24"/>
          <w:lang w:eastAsia="ru-RU"/>
        </w:rPr>
        <w:instrText>эффективную</w:instrText>
      </w:r>
      <w:r w:rsidRPr="007E1000">
        <w:rPr>
          <w:rFonts w:ascii="Times New Roman" w:eastAsia="Times New Roman" w:hAnsi="Times New Roman" w:cs="Times New Roman"/>
          <w:noProof/>
          <w:color w:val="FFFFFF"/>
          <w:spacing w:val="-20000"/>
          <w:sz w:val="24"/>
          <w:szCs w:val="24"/>
        </w:rPr>
        <w:instrText> можно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инновационную деятельность.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коном </w:instrText>
      </w:r>
      <w:r w:rsidRPr="007E1000">
        <w:rPr>
          <w:rFonts w:ascii="Times New Roman" w:eastAsia="Times New Roman" w:hAnsi="Times New Roman" w:cs="Times New Roman"/>
          <w:noProof/>
          <w:color w:val="000000" w:themeColor="text1"/>
          <w:sz w:val="24"/>
          <w:szCs w:val="24"/>
          <w:lang w:eastAsia="ru-RU"/>
        </w:rPr>
        <w:instrText>Инновационный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потенциал включает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мире </w:instrText>
      </w:r>
      <w:r w:rsidRPr="007E1000">
        <w:rPr>
          <w:rFonts w:ascii="Times New Roman" w:eastAsia="Times New Roman" w:hAnsi="Times New Roman" w:cs="Times New Roman"/>
          <w:noProof/>
          <w:color w:val="000000" w:themeColor="text1"/>
          <w:sz w:val="24"/>
          <w:szCs w:val="24"/>
          <w:lang w:eastAsia="ru-RU"/>
        </w:rPr>
        <w:instrText>совокупность</w:instrText>
      </w:r>
      <w:r w:rsidRPr="007E1000">
        <w:rPr>
          <w:rFonts w:ascii="Times New Roman" w:eastAsia="Times New Roman" w:hAnsi="Times New Roman" w:cs="Times New Roman"/>
          <w:noProof/>
          <w:color w:val="FFFFFF"/>
          <w:spacing w:val="-20000"/>
          <w:sz w:val="24"/>
          <w:szCs w:val="24"/>
        </w:rPr>
        <w:instrText> своей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материально-технических,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трудовых</w:instrText>
      </w:r>
      <w:r w:rsidRPr="007E1000">
        <w:rPr>
          <w:rFonts w:ascii="Times New Roman" w:eastAsia="Times New Roman" w:hAnsi="Times New Roman" w:cs="Times New Roman"/>
          <w:noProof/>
          <w:color w:val="FFFFFF"/>
          <w:spacing w:val="-20000"/>
          <w:sz w:val="24"/>
          <w:szCs w:val="24"/>
        </w:rPr>
        <w:instrText> малых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информационных, правовых, соци</w:t>
      </w:r>
      <w:r w:rsidRPr="007E1000">
        <w:rPr>
          <w:rFonts w:ascii="Times New Roman" w:eastAsia="Times New Roman" w:hAnsi="Times New Roman" w:cs="Times New Roman"/>
          <w:sz w:val="24"/>
          <w:szCs w:val="24"/>
          <w:highlight w:val="white"/>
        </w:rPr>
        <w:t>альных</w:t>
      </w:r>
      <w:r w:rsidRPr="007E1000">
        <w:rPr>
          <w:rFonts w:ascii="Times New Roman" w:eastAsia="Times New Roman" w:hAnsi="Times New Roman" w:cs="Times New Roman"/>
          <w:color w:val="000000" w:themeColor="text1"/>
          <w:sz w:val="24"/>
          <w:szCs w:val="24"/>
          <w:lang w:eastAsia="ru-RU"/>
        </w:rPr>
        <w:t xml:space="preserve">, информационных и других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космическая </w:instrText>
      </w:r>
      <w:r w:rsidRPr="007E1000">
        <w:rPr>
          <w:rFonts w:ascii="Times New Roman" w:eastAsia="Times New Roman" w:hAnsi="Times New Roman" w:cs="Times New Roman"/>
          <w:noProof/>
          <w:color w:val="000000" w:themeColor="text1"/>
          <w:sz w:val="24"/>
          <w:szCs w:val="24"/>
          <w:lang w:eastAsia="ru-RU"/>
        </w:rPr>
        <w:instrText>видов</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ресурсов, т.е. является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каждый </w:instrText>
      </w:r>
      <w:r w:rsidRPr="007E1000">
        <w:rPr>
          <w:rFonts w:ascii="Times New Roman" w:eastAsia="Times New Roman" w:hAnsi="Times New Roman" w:cs="Times New Roman"/>
          <w:noProof/>
          <w:color w:val="000000" w:themeColor="text1"/>
          <w:sz w:val="24"/>
          <w:szCs w:val="24"/>
          <w:lang w:eastAsia="ru-RU"/>
        </w:rPr>
        <w:instrText>составляющей</w:instrText>
      </w:r>
      <w:r w:rsidRPr="007E1000">
        <w:rPr>
          <w:rFonts w:ascii="Times New Roman" w:eastAsia="Times New Roman" w:hAnsi="Times New Roman" w:cs="Times New Roman"/>
          <w:noProof/>
          <w:color w:val="FFFFFF"/>
          <w:spacing w:val="-20000"/>
          <w:sz w:val="24"/>
          <w:szCs w:val="24"/>
        </w:rPr>
        <w:instrText> таблица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общего ре</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сурсного</w:instrText>
      </w:r>
      <w:r w:rsidRPr="007E1000">
        <w:rPr>
          <w:rFonts w:ascii="Times New Roman" w:eastAsia="Times New Roman" w:hAnsi="Times New Roman" w:cs="Times New Roman"/>
          <w:noProof/>
          <w:color w:val="FFFFFF"/>
          <w:spacing w:val="-20000"/>
          <w:sz w:val="24"/>
          <w:szCs w:val="24"/>
        </w:rPr>
        <w:instrText> базир</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потенциала страны.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вести </w:instrText>
      </w:r>
      <w:r w:rsidRPr="007E1000">
        <w:rPr>
          <w:rFonts w:ascii="Times New Roman" w:eastAsia="Times New Roman" w:hAnsi="Times New Roman" w:cs="Times New Roman"/>
          <w:noProof/>
          <w:color w:val="000000" w:themeColor="text1"/>
          <w:sz w:val="24"/>
          <w:szCs w:val="24"/>
          <w:lang w:eastAsia="ru-RU"/>
        </w:rPr>
        <w:instrText>Очевидно</w:instrText>
      </w:r>
      <w:r w:rsidRPr="007E1000">
        <w:rPr>
          <w:rFonts w:ascii="Times New Roman" w:eastAsia="Times New Roman" w:hAnsi="Times New Roman" w:cs="Times New Roman"/>
          <w:noProof/>
          <w:color w:val="FFFFFF"/>
          <w:spacing w:val="-20000"/>
          <w:sz w:val="24"/>
          <w:szCs w:val="24"/>
        </w:rPr>
        <w:instrText> разв</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что именно высокий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развитые </w:instrText>
      </w:r>
      <w:r w:rsidRPr="007E1000">
        <w:rPr>
          <w:rFonts w:ascii="Times New Roman" w:eastAsia="Times New Roman" w:hAnsi="Times New Roman" w:cs="Times New Roman"/>
          <w:noProof/>
          <w:color w:val="000000" w:themeColor="text1"/>
          <w:sz w:val="24"/>
          <w:szCs w:val="24"/>
          <w:lang w:eastAsia="ru-RU"/>
        </w:rPr>
        <w:instrText>инновационный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потенциал является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которой </w:instrText>
      </w:r>
      <w:r w:rsidRPr="007E1000">
        <w:rPr>
          <w:rFonts w:ascii="Times New Roman" w:eastAsia="Times New Roman" w:hAnsi="Times New Roman" w:cs="Times New Roman"/>
          <w:noProof/>
          <w:color w:val="000000" w:themeColor="text1"/>
          <w:sz w:val="24"/>
          <w:szCs w:val="24"/>
          <w:lang w:eastAsia="ru-RU"/>
        </w:rPr>
        <w:instrText>основой</w:instrText>
      </w:r>
      <w:r w:rsidRPr="007E1000">
        <w:rPr>
          <w:rFonts w:ascii="Times New Roman" w:eastAsia="Times New Roman" w:hAnsi="Times New Roman" w:cs="Times New Roman"/>
          <w:noProof/>
          <w:color w:val="FFFFFF"/>
          <w:spacing w:val="-20000"/>
          <w:sz w:val="24"/>
          <w:szCs w:val="24"/>
        </w:rPr>
        <w:instrText> место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для привлечения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инвестиций</w:instrText>
      </w:r>
      <w:r w:rsidRPr="007E1000">
        <w:rPr>
          <w:rFonts w:ascii="Times New Roman" w:eastAsia="Times New Roman" w:hAnsi="Times New Roman" w:cs="Times New Roman"/>
          <w:noProof/>
          <w:color w:val="FFFFFF"/>
          <w:spacing w:val="-20000"/>
          <w:sz w:val="24"/>
          <w:szCs w:val="24"/>
        </w:rPr>
        <w:instrText> инновационный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экономику государства,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новационной </w:instrText>
      </w:r>
      <w:r w:rsidRPr="007E1000">
        <w:rPr>
          <w:rFonts w:ascii="Times New Roman" w:eastAsia="Times New Roman" w:hAnsi="Times New Roman" w:cs="Times New Roman"/>
          <w:noProof/>
          <w:color w:val="000000" w:themeColor="text1"/>
          <w:sz w:val="24"/>
          <w:szCs w:val="24"/>
          <w:lang w:eastAsia="ru-RU"/>
        </w:rPr>
        <w:instrText>роста</w:instrText>
      </w:r>
      <w:r w:rsidRPr="007E1000">
        <w:rPr>
          <w:rFonts w:ascii="Times New Roman" w:eastAsia="Times New Roman" w:hAnsi="Times New Roman" w:cs="Times New Roman"/>
          <w:noProof/>
          <w:color w:val="FFFFFF"/>
          <w:spacing w:val="-20000"/>
          <w:sz w:val="24"/>
          <w:szCs w:val="24"/>
        </w:rPr>
        <w:instrText> развитие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производительности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вания </w:instrText>
      </w:r>
      <w:r w:rsidRPr="007E1000">
        <w:rPr>
          <w:rFonts w:ascii="Times New Roman" w:eastAsia="Times New Roman" w:hAnsi="Times New Roman" w:cs="Times New Roman"/>
          <w:noProof/>
          <w:color w:val="000000" w:themeColor="text1"/>
          <w:sz w:val="24"/>
          <w:szCs w:val="24"/>
          <w:lang w:eastAsia="ru-RU"/>
        </w:rPr>
        <w:instrText>труда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прибыльности предприятий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заказу </w:instrText>
      </w:r>
      <w:r w:rsidRPr="007E1000">
        <w:rPr>
          <w:rFonts w:ascii="Times New Roman" w:eastAsia="Times New Roman" w:hAnsi="Times New Roman" w:cs="Times New Roman"/>
          <w:noProof/>
          <w:color w:val="000000" w:themeColor="text1"/>
          <w:sz w:val="24"/>
          <w:szCs w:val="24"/>
          <w:lang w:eastAsia="ru-RU"/>
        </w:rPr>
        <w:instrText>долгосрочном</w:instrText>
      </w:r>
      <w:r w:rsidRPr="007E1000">
        <w:rPr>
          <w:rFonts w:ascii="Times New Roman" w:eastAsia="Times New Roman" w:hAnsi="Times New Roman" w:cs="Times New Roman"/>
          <w:noProof/>
          <w:color w:val="FFFFFF"/>
          <w:spacing w:val="-20000"/>
          <w:sz w:val="24"/>
          <w:szCs w:val="24"/>
        </w:rPr>
        <w:instrText> обществе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периоде 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конечном</w:instrText>
      </w:r>
      <w:r w:rsidRPr="007E1000">
        <w:rPr>
          <w:rFonts w:ascii="Times New Roman" w:eastAsia="Times New Roman" w:hAnsi="Times New Roman" w:cs="Times New Roman"/>
          <w:noProof/>
          <w:color w:val="FFFFFF"/>
          <w:spacing w:val="-20000"/>
          <w:sz w:val="24"/>
          <w:szCs w:val="24"/>
        </w:rPr>
        <w:instrText> рамках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счете повышения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кадров </w:instrText>
      </w:r>
      <w:r w:rsidRPr="007E1000">
        <w:rPr>
          <w:rFonts w:ascii="Times New Roman" w:eastAsia="Times New Roman" w:hAnsi="Times New Roman" w:cs="Times New Roman"/>
          <w:noProof/>
          <w:color w:val="000000" w:themeColor="text1"/>
          <w:sz w:val="24"/>
          <w:szCs w:val="24"/>
          <w:lang w:eastAsia="ru-RU"/>
        </w:rPr>
        <w:instrText>уровня</w:instrText>
      </w:r>
      <w:r w:rsidRPr="007E1000">
        <w:rPr>
          <w:rFonts w:ascii="Times New Roman" w:eastAsia="Times New Roman" w:hAnsi="Times New Roman" w:cs="Times New Roman"/>
          <w:noProof/>
          <w:color w:val="FFFFFF"/>
          <w:spacing w:val="-20000"/>
          <w:sz w:val="24"/>
          <w:szCs w:val="24"/>
        </w:rPr>
        <w:instrText> world</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жизни населения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development </w:instrText>
      </w:r>
      <w:r w:rsidRPr="007E1000">
        <w:rPr>
          <w:rFonts w:ascii="Times New Roman" w:eastAsia="Times New Roman" w:hAnsi="Times New Roman" w:cs="Times New Roman"/>
          <w:noProof/>
          <w:color w:val="000000" w:themeColor="text1"/>
          <w:sz w:val="24"/>
          <w:szCs w:val="24"/>
          <w:lang w:eastAsia="ru-RU"/>
        </w:rPr>
        <w:instrText>эффективности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экономики в целом [5, с 133].</w:t>
      </w:r>
    </w:p>
    <w:p w14:paraId="631B646E"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Россия, как крупная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направления </w:instrText>
      </w:r>
      <w:r w:rsidRPr="007E1000">
        <w:rPr>
          <w:rFonts w:ascii="Times New Roman" w:eastAsia="Times New Roman" w:hAnsi="Times New Roman" w:cs="Times New Roman"/>
          <w:noProof/>
          <w:color w:val="000000" w:themeColor="text1"/>
          <w:sz w:val="24"/>
          <w:szCs w:val="24"/>
          <w:lang w:eastAsia="ru-RU"/>
        </w:rPr>
        <w:instrText>держава</w:instrText>
      </w:r>
      <w:r w:rsidRPr="007E1000">
        <w:rPr>
          <w:rFonts w:ascii="Times New Roman" w:eastAsia="Times New Roman" w:hAnsi="Times New Roman" w:cs="Times New Roman"/>
          <w:noProof/>
          <w:color w:val="FFFFFF"/>
          <w:spacing w:val="-20000"/>
          <w:sz w:val="24"/>
          <w:szCs w:val="24"/>
        </w:rPr>
        <w:instrText> закон</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обладающая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большой</w:instrText>
      </w:r>
      <w:r w:rsidRPr="007E1000">
        <w:rPr>
          <w:rFonts w:ascii="Times New Roman" w:eastAsia="Times New Roman" w:hAnsi="Times New Roman" w:cs="Times New Roman"/>
          <w:noProof/>
          <w:color w:val="FFFFFF"/>
          <w:spacing w:val="-20000"/>
          <w:sz w:val="24"/>
          <w:szCs w:val="24"/>
        </w:rPr>
        <w:instrText> общественном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территорией, богатыми при</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innovation </w:instrText>
      </w:r>
      <w:r w:rsidRPr="007E1000">
        <w:rPr>
          <w:rFonts w:ascii="Times New Roman" w:eastAsia="Times New Roman" w:hAnsi="Times New Roman" w:cs="Times New Roman"/>
          <w:noProof/>
          <w:color w:val="000000" w:themeColor="text1"/>
          <w:sz w:val="24"/>
          <w:szCs w:val="24"/>
          <w:lang w:eastAsia="ru-RU"/>
        </w:rPr>
        <w:instrText>родными</w:instrText>
      </w:r>
      <w:r w:rsidRPr="007E1000">
        <w:rPr>
          <w:rFonts w:ascii="Times New Roman" w:eastAsia="Times New Roman" w:hAnsi="Times New Roman" w:cs="Times New Roman"/>
          <w:noProof/>
          <w:color w:val="FFFFFF"/>
          <w:spacing w:val="-20000"/>
          <w:sz w:val="24"/>
          <w:szCs w:val="24"/>
        </w:rPr>
        <w:instrText> выделения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ресурсами и выгодным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фаза </w:instrText>
      </w:r>
      <w:r w:rsidRPr="007E1000">
        <w:rPr>
          <w:rFonts w:ascii="Times New Roman" w:eastAsia="Times New Roman" w:hAnsi="Times New Roman" w:cs="Times New Roman"/>
          <w:noProof/>
          <w:color w:val="000000" w:themeColor="text1"/>
          <w:sz w:val="24"/>
          <w:szCs w:val="24"/>
          <w:lang w:eastAsia="ru-RU"/>
        </w:rPr>
        <w:instrText>географическим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положением, может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изобретение </w:instrText>
      </w:r>
      <w:r w:rsidRPr="007E1000">
        <w:rPr>
          <w:rFonts w:ascii="Times New Roman" w:eastAsia="Times New Roman" w:hAnsi="Times New Roman" w:cs="Times New Roman"/>
          <w:noProof/>
          <w:color w:val="000000" w:themeColor="text1"/>
          <w:sz w:val="24"/>
          <w:szCs w:val="24"/>
          <w:lang w:eastAsia="ru-RU"/>
        </w:rPr>
        <w:instrText>выдержать</w:instrText>
      </w:r>
      <w:r w:rsidRPr="007E1000">
        <w:rPr>
          <w:rFonts w:ascii="Times New Roman" w:eastAsia="Times New Roman" w:hAnsi="Times New Roman" w:cs="Times New Roman"/>
          <w:noProof/>
          <w:color w:val="FFFFFF"/>
          <w:spacing w:val="-20000"/>
          <w:sz w:val="24"/>
          <w:szCs w:val="24"/>
        </w:rPr>
        <w:instrText> существующие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острую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конкуренцию</w:instrText>
      </w:r>
      <w:r w:rsidRPr="007E1000">
        <w:rPr>
          <w:rFonts w:ascii="Times New Roman" w:eastAsia="Times New Roman" w:hAnsi="Times New Roman" w:cs="Times New Roman"/>
          <w:noProof/>
          <w:color w:val="FFFFFF"/>
          <w:spacing w:val="-20000"/>
          <w:sz w:val="24"/>
          <w:szCs w:val="24"/>
        </w:rPr>
        <w:instrText> всемирный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 мировые, а также за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количество </w:instrText>
      </w:r>
      <w:r w:rsidRPr="007E1000">
        <w:rPr>
          <w:rFonts w:ascii="Times New Roman" w:eastAsia="Times New Roman" w:hAnsi="Times New Roman" w:cs="Times New Roman"/>
          <w:noProof/>
          <w:color w:val="000000" w:themeColor="text1"/>
          <w:sz w:val="24"/>
          <w:szCs w:val="24"/>
          <w:lang w:eastAsia="ru-RU"/>
        </w:rPr>
        <w:instrText>собственные</w:instrText>
      </w:r>
      <w:r w:rsidRPr="007E1000">
        <w:rPr>
          <w:rFonts w:ascii="Times New Roman" w:eastAsia="Times New Roman" w:hAnsi="Times New Roman" w:cs="Times New Roman"/>
          <w:noProof/>
          <w:color w:val="FFFFFF"/>
          <w:spacing w:val="-20000"/>
          <w:sz w:val="24"/>
          <w:szCs w:val="24"/>
        </w:rPr>
        <w:instrText> вания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рынки продукции,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потенциал </w:instrText>
      </w:r>
      <w:r w:rsidRPr="007E1000">
        <w:rPr>
          <w:rFonts w:ascii="Times New Roman" w:eastAsia="Times New Roman" w:hAnsi="Times New Roman" w:cs="Times New Roman"/>
          <w:noProof/>
          <w:color w:val="000000" w:themeColor="text1"/>
          <w:sz w:val="24"/>
          <w:szCs w:val="24"/>
          <w:lang w:eastAsia="ru-RU"/>
        </w:rPr>
        <w:instrText>услуг</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высококвалифицированный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увеличение </w:instrText>
      </w:r>
      <w:r w:rsidRPr="007E1000">
        <w:rPr>
          <w:rFonts w:ascii="Times New Roman" w:eastAsia="Times New Roman" w:hAnsi="Times New Roman" w:cs="Times New Roman"/>
          <w:noProof/>
          <w:color w:val="000000" w:themeColor="text1"/>
          <w:sz w:val="24"/>
          <w:szCs w:val="24"/>
          <w:lang w:eastAsia="ru-RU"/>
        </w:rPr>
        <w:instrText>труд</w:instrText>
      </w:r>
      <w:r w:rsidRPr="007E1000">
        <w:rPr>
          <w:rFonts w:ascii="Times New Roman" w:eastAsia="Times New Roman" w:hAnsi="Times New Roman" w:cs="Times New Roman"/>
          <w:noProof/>
          <w:color w:val="FFFFFF"/>
          <w:spacing w:val="-20000"/>
          <w:sz w:val="24"/>
          <w:szCs w:val="24"/>
        </w:rPr>
        <w:instrText> зическими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только при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развитой</w:instrText>
      </w:r>
      <w:r w:rsidRPr="007E1000">
        <w:rPr>
          <w:rFonts w:ascii="Times New Roman" w:eastAsia="Times New Roman" w:hAnsi="Times New Roman" w:cs="Times New Roman"/>
          <w:noProof/>
          <w:color w:val="FFFFFF"/>
          <w:spacing w:val="-20000"/>
          <w:sz w:val="24"/>
          <w:szCs w:val="24"/>
        </w:rPr>
        <w:instrText> промышленности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науке и мощном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даментальной </w:instrText>
      </w:r>
      <w:r w:rsidRPr="007E1000">
        <w:rPr>
          <w:rFonts w:ascii="Times New Roman" w:eastAsia="Times New Roman" w:hAnsi="Times New Roman" w:cs="Times New Roman"/>
          <w:noProof/>
          <w:color w:val="000000" w:themeColor="text1"/>
          <w:sz w:val="24"/>
          <w:szCs w:val="24"/>
          <w:lang w:eastAsia="ru-RU"/>
        </w:rPr>
        <w:instrText>инновационном</w:instrText>
      </w:r>
      <w:r w:rsidRPr="007E1000">
        <w:rPr>
          <w:rFonts w:ascii="Times New Roman" w:eastAsia="Times New Roman" w:hAnsi="Times New Roman" w:cs="Times New Roman"/>
          <w:noProof/>
          <w:color w:val="FFFFFF"/>
          <w:spacing w:val="-20000"/>
          <w:sz w:val="24"/>
          <w:szCs w:val="24"/>
        </w:rPr>
        <w:instrText> верждена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потенциале. Но, по нашей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годах </w:instrText>
      </w:r>
      <w:r w:rsidRPr="007E1000">
        <w:rPr>
          <w:rFonts w:ascii="Times New Roman" w:eastAsia="Times New Roman" w:hAnsi="Times New Roman" w:cs="Times New Roman"/>
          <w:noProof/>
          <w:color w:val="000000" w:themeColor="text1"/>
          <w:sz w:val="24"/>
          <w:szCs w:val="24"/>
          <w:lang w:eastAsia="ru-RU"/>
        </w:rPr>
        <w:instrText>оценке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практически по всем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scores </w:instrText>
      </w:r>
      <w:r w:rsidRPr="007E1000">
        <w:rPr>
          <w:rFonts w:ascii="Times New Roman" w:eastAsia="Times New Roman" w:hAnsi="Times New Roman" w:cs="Times New Roman"/>
          <w:noProof/>
          <w:color w:val="000000" w:themeColor="text1"/>
          <w:sz w:val="24"/>
          <w:szCs w:val="24"/>
          <w:lang w:eastAsia="ru-RU"/>
        </w:rPr>
        <w:instrText>параметрам</w:instrText>
      </w:r>
      <w:r w:rsidRPr="007E1000">
        <w:rPr>
          <w:rFonts w:ascii="Times New Roman" w:eastAsia="Times New Roman" w:hAnsi="Times New Roman" w:cs="Times New Roman"/>
          <w:noProof/>
          <w:color w:val="FFFFFF"/>
          <w:spacing w:val="-20000"/>
          <w:sz w:val="24"/>
          <w:szCs w:val="24"/>
        </w:rPr>
        <w:instrText> огромному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сфере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инновационной</w:instrText>
      </w:r>
      <w:r w:rsidRPr="007E1000">
        <w:rPr>
          <w:rFonts w:ascii="Times New Roman" w:eastAsia="Times New Roman" w:hAnsi="Times New Roman" w:cs="Times New Roman"/>
          <w:noProof/>
          <w:color w:val="FFFFFF"/>
          <w:spacing w:val="-20000"/>
          <w:sz w:val="24"/>
          <w:szCs w:val="24"/>
        </w:rPr>
        <w:instrText> мерах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деятельности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изменение </w:instrText>
      </w:r>
      <w:r w:rsidRPr="007E1000">
        <w:rPr>
          <w:rFonts w:ascii="Times New Roman" w:eastAsia="Times New Roman" w:hAnsi="Times New Roman" w:cs="Times New Roman"/>
          <w:noProof/>
          <w:color w:val="000000" w:themeColor="text1"/>
          <w:sz w:val="24"/>
          <w:szCs w:val="24"/>
          <w:lang w:eastAsia="ru-RU"/>
        </w:rPr>
        <w:instrText>российская</w:instrText>
      </w:r>
      <w:r w:rsidRPr="007E1000">
        <w:rPr>
          <w:rFonts w:ascii="Times New Roman" w:eastAsia="Times New Roman" w:hAnsi="Times New Roman" w:cs="Times New Roman"/>
          <w:noProof/>
          <w:color w:val="FFFFFF"/>
          <w:spacing w:val="-20000"/>
          <w:sz w:val="24"/>
          <w:szCs w:val="24"/>
        </w:rPr>
        <w:instrText> тению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экономика не соответствует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ставляет </w:instrText>
      </w:r>
      <w:r w:rsidRPr="007E1000">
        <w:rPr>
          <w:rFonts w:ascii="Times New Roman" w:eastAsia="Times New Roman" w:hAnsi="Times New Roman" w:cs="Times New Roman"/>
          <w:noProof/>
          <w:color w:val="000000" w:themeColor="text1"/>
          <w:sz w:val="24"/>
          <w:szCs w:val="24"/>
          <w:lang w:eastAsia="ru-RU"/>
        </w:rPr>
        <w:instrText>тенденциям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мировой системы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жизни </w:instrText>
      </w:r>
      <w:r w:rsidRPr="007E1000">
        <w:rPr>
          <w:rFonts w:ascii="Times New Roman" w:eastAsia="Times New Roman" w:hAnsi="Times New Roman" w:cs="Times New Roman"/>
          <w:noProof/>
          <w:color w:val="000000" w:themeColor="text1"/>
          <w:sz w:val="24"/>
          <w:szCs w:val="24"/>
          <w:lang w:eastAsia="ru-RU"/>
        </w:rPr>
        <w:instrText>хозяйствования</w:instrText>
      </w:r>
      <w:r w:rsidRPr="007E1000">
        <w:rPr>
          <w:rFonts w:ascii="Times New Roman" w:eastAsia="Times New Roman" w:hAnsi="Times New Roman" w:cs="Times New Roman"/>
          <w:noProof/>
          <w:color w:val="FFFFFF"/>
          <w:spacing w:val="-20000"/>
          <w:sz w:val="24"/>
          <w:szCs w:val="24"/>
        </w:rPr>
        <w:instrText> информационные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 в целом,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инновационная</w:instrText>
      </w:r>
      <w:r w:rsidRPr="007E1000">
        <w:rPr>
          <w:rFonts w:ascii="Times New Roman" w:eastAsia="Times New Roman" w:hAnsi="Times New Roman" w:cs="Times New Roman"/>
          <w:noProof/>
          <w:color w:val="FFFFFF"/>
          <w:spacing w:val="-20000"/>
          <w:sz w:val="24"/>
          <w:szCs w:val="24"/>
        </w:rPr>
        <w:instrText> научное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деятельность находится 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повышении </w:instrText>
      </w:r>
      <w:r w:rsidRPr="007E1000">
        <w:rPr>
          <w:rFonts w:ascii="Times New Roman" w:eastAsia="Times New Roman" w:hAnsi="Times New Roman" w:cs="Times New Roman"/>
          <w:noProof/>
          <w:color w:val="000000" w:themeColor="text1"/>
          <w:sz w:val="24"/>
          <w:szCs w:val="24"/>
          <w:lang w:eastAsia="ru-RU"/>
        </w:rPr>
        <w:instrText>крайне</w:instrText>
      </w:r>
      <w:r w:rsidRPr="007E1000">
        <w:rPr>
          <w:rFonts w:ascii="Times New Roman" w:eastAsia="Times New Roman" w:hAnsi="Times New Roman" w:cs="Times New Roman"/>
          <w:noProof/>
          <w:color w:val="FFFFFF"/>
          <w:spacing w:val="-20000"/>
          <w:sz w:val="24"/>
          <w:szCs w:val="24"/>
        </w:rPr>
        <w:instrText> целом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низкой ступени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внедрению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Так, по словам заместителя президента РАН, доктора экономических наук Владимира Викторовича Иванова, состояние как фундаментальной, так и прикладной отечественной науки можно оценить как удовлетворительное лишь с большой натяжкой. По его мнению, отстранение РАН, фактически – единого научного пространства страны от участия в разработке и экспертизе государственных решений в области науки, образования, инноваций привело к ухудшению научных результатов страны [6].</w:t>
      </w:r>
    </w:p>
    <w:p w14:paraId="7A3A6EAC"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 Для изменения ситуации потребуются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целенаправленные</w:instrText>
      </w:r>
      <w:r w:rsidRPr="007E1000">
        <w:rPr>
          <w:rFonts w:ascii="Times New Roman" w:eastAsia="Times New Roman" w:hAnsi="Times New Roman" w:cs="Times New Roman"/>
          <w:noProof/>
          <w:color w:val="FFFFFF"/>
          <w:spacing w:val="-20000"/>
          <w:sz w:val="24"/>
          <w:szCs w:val="24"/>
        </w:rPr>
        <w:instrText> аким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усилия со стороны государственных органов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руют </w:instrText>
      </w:r>
      <w:r w:rsidRPr="007E1000">
        <w:rPr>
          <w:rFonts w:ascii="Times New Roman" w:eastAsia="Times New Roman" w:hAnsi="Times New Roman" w:cs="Times New Roman"/>
          <w:noProof/>
          <w:color w:val="000000" w:themeColor="text1"/>
          <w:sz w:val="24"/>
          <w:szCs w:val="24"/>
          <w:lang w:eastAsia="ru-RU"/>
        </w:rPr>
        <w:instrText>всех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хозяйствующих субъектов. При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внедрений </w:instrText>
      </w:r>
      <w:r w:rsidRPr="007E1000">
        <w:rPr>
          <w:rFonts w:ascii="Times New Roman" w:eastAsia="Times New Roman" w:hAnsi="Times New Roman" w:cs="Times New Roman"/>
          <w:noProof/>
          <w:color w:val="000000" w:themeColor="text1"/>
          <w:sz w:val="24"/>
          <w:szCs w:val="24"/>
          <w:lang w:eastAsia="ru-RU"/>
        </w:rPr>
        <w:instrText>этом</w:instrText>
      </w:r>
      <w:r w:rsidRPr="007E1000">
        <w:rPr>
          <w:rFonts w:ascii="Times New Roman" w:eastAsia="Times New Roman" w:hAnsi="Times New Roman" w:cs="Times New Roman"/>
          <w:noProof/>
          <w:color w:val="FFFFFF"/>
          <w:spacing w:val="-20000"/>
          <w:sz w:val="24"/>
          <w:szCs w:val="24"/>
        </w:rPr>
        <w:instrText> даментальной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sz w:val="24"/>
          <w:szCs w:val="24"/>
        </w:rPr>
        <w:t>,</w:t>
      </w:r>
      <w:r w:rsidRPr="007E1000">
        <w:rPr>
          <w:rFonts w:ascii="Times New Roman" w:eastAsia="Times New Roman" w:hAnsi="Times New Roman" w:cs="Times New Roman"/>
          <w:color w:val="000000" w:themeColor="text1"/>
          <w:sz w:val="24"/>
          <w:szCs w:val="24"/>
          <w:lang w:eastAsia="ru-RU"/>
        </w:rPr>
        <w:t xml:space="preserve"> следует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иметь</w:instrText>
      </w:r>
      <w:r w:rsidRPr="007E1000">
        <w:rPr>
          <w:rFonts w:ascii="Times New Roman" w:eastAsia="Times New Roman" w:hAnsi="Times New Roman" w:cs="Times New Roman"/>
          <w:noProof/>
          <w:color w:val="FFFFFF"/>
          <w:spacing w:val="-20000"/>
          <w:sz w:val="24"/>
          <w:szCs w:val="24"/>
        </w:rPr>
        <w:instrText> системы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виду не только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взаимосвязь </w:instrText>
      </w:r>
      <w:r w:rsidRPr="007E1000">
        <w:rPr>
          <w:rFonts w:ascii="Times New Roman" w:eastAsia="Times New Roman" w:hAnsi="Times New Roman" w:cs="Times New Roman"/>
          <w:noProof/>
          <w:color w:val="000000" w:themeColor="text1"/>
          <w:sz w:val="24"/>
          <w:szCs w:val="24"/>
          <w:lang w:eastAsia="ru-RU"/>
        </w:rPr>
        <w:instrText>резкое</w:instrText>
      </w:r>
      <w:r w:rsidRPr="007E1000">
        <w:rPr>
          <w:rFonts w:ascii="Times New Roman" w:eastAsia="Times New Roman" w:hAnsi="Times New Roman" w:cs="Times New Roman"/>
          <w:noProof/>
          <w:color w:val="FFFFFF"/>
          <w:spacing w:val="-20000"/>
          <w:sz w:val="24"/>
          <w:szCs w:val="24"/>
        </w:rPr>
        <w:instrText> венных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изменение уровня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мира </w:instrText>
      </w:r>
      <w:r w:rsidRPr="007E1000">
        <w:rPr>
          <w:rFonts w:ascii="Times New Roman" w:eastAsia="Times New Roman" w:hAnsi="Times New Roman" w:cs="Times New Roman"/>
          <w:noProof/>
          <w:color w:val="000000" w:themeColor="text1"/>
          <w:sz w:val="24"/>
          <w:szCs w:val="24"/>
          <w:lang w:eastAsia="ru-RU"/>
        </w:rPr>
        <w:instrText>оплаты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труда и оснащенности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мающихся </w:instrText>
      </w:r>
      <w:r w:rsidRPr="007E1000">
        <w:rPr>
          <w:rFonts w:ascii="Times New Roman" w:eastAsia="Times New Roman" w:hAnsi="Times New Roman" w:cs="Times New Roman"/>
          <w:noProof/>
          <w:color w:val="000000" w:themeColor="text1"/>
          <w:sz w:val="24"/>
          <w:szCs w:val="24"/>
          <w:lang w:eastAsia="ru-RU"/>
        </w:rPr>
        <w:instrText>инновационной</w:instrText>
      </w:r>
      <w:r w:rsidRPr="007E1000">
        <w:rPr>
          <w:rFonts w:ascii="Times New Roman" w:eastAsia="Times New Roman" w:hAnsi="Times New Roman" w:cs="Times New Roman"/>
          <w:noProof/>
          <w:color w:val="FFFFFF"/>
          <w:spacing w:val="-20000"/>
          <w:sz w:val="24"/>
          <w:szCs w:val="24"/>
        </w:rPr>
        <w:instrText> экономической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деятельности, но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необходимость</w:instrText>
      </w:r>
      <w:r w:rsidRPr="007E1000">
        <w:rPr>
          <w:rFonts w:ascii="Times New Roman" w:eastAsia="Times New Roman" w:hAnsi="Times New Roman" w:cs="Times New Roman"/>
          <w:noProof/>
          <w:color w:val="FFFFFF"/>
          <w:spacing w:val="-20000"/>
          <w:sz w:val="24"/>
          <w:szCs w:val="24"/>
        </w:rPr>
        <w:instrText> пласты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изменения сложившегося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типологии </w:instrText>
      </w:r>
      <w:r w:rsidRPr="007E1000">
        <w:rPr>
          <w:rFonts w:ascii="Times New Roman" w:eastAsia="Times New Roman" w:hAnsi="Times New Roman" w:cs="Times New Roman"/>
          <w:noProof/>
          <w:color w:val="000000" w:themeColor="text1"/>
          <w:sz w:val="24"/>
          <w:szCs w:val="24"/>
          <w:lang w:eastAsia="ru-RU"/>
        </w:rPr>
        <w:instrText>общественного</w:instrText>
      </w:r>
      <w:r w:rsidRPr="007E1000">
        <w:rPr>
          <w:rFonts w:ascii="Times New Roman" w:eastAsia="Times New Roman" w:hAnsi="Times New Roman" w:cs="Times New Roman"/>
          <w:noProof/>
          <w:color w:val="FFFFFF"/>
          <w:spacing w:val="-20000"/>
          <w:sz w:val="24"/>
          <w:szCs w:val="24"/>
        </w:rPr>
        <w:instrText> дима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сознания, что выдвигает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объеме </w:instrText>
      </w:r>
      <w:r w:rsidRPr="007E1000">
        <w:rPr>
          <w:rFonts w:ascii="Times New Roman" w:eastAsia="Times New Roman" w:hAnsi="Times New Roman" w:cs="Times New Roman"/>
          <w:noProof/>
          <w:color w:val="000000" w:themeColor="text1"/>
          <w:sz w:val="24"/>
          <w:szCs w:val="24"/>
          <w:lang w:eastAsia="ru-RU"/>
        </w:rPr>
        <w:instrText>качестве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приоритетной для инновационного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соединенными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noProof/>
          <w:color w:val="FFFFFF"/>
          <w:spacing w:val="-20000"/>
          <w:sz w:val="24"/>
          <w:szCs w:val="24"/>
        </w:rPr>
        <w:instrText> промышленности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сферу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педагогики</w:instrText>
      </w:r>
      <w:r w:rsidRPr="007E1000">
        <w:rPr>
          <w:rFonts w:ascii="Times New Roman" w:eastAsia="Times New Roman" w:hAnsi="Times New Roman" w:cs="Times New Roman"/>
          <w:noProof/>
          <w:color w:val="FFFFFF"/>
          <w:spacing w:val="-20000"/>
          <w:sz w:val="24"/>
          <w:szCs w:val="24"/>
        </w:rPr>
        <w:instrText> общества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непрерывного образования.</w:t>
      </w:r>
    </w:p>
    <w:p w14:paraId="32A9B300"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изобретение </w:instrText>
      </w:r>
      <w:r w:rsidRPr="007E1000">
        <w:rPr>
          <w:rFonts w:ascii="Times New Roman" w:eastAsia="Times New Roman" w:hAnsi="Times New Roman" w:cs="Times New Roman"/>
          <w:noProof/>
          <w:color w:val="000000" w:themeColor="text1"/>
          <w:sz w:val="24"/>
          <w:szCs w:val="24"/>
          <w:lang w:eastAsia="ru-RU"/>
        </w:rPr>
        <w:instrText>Существуют</w:instrText>
      </w:r>
      <w:r w:rsidRPr="007E1000">
        <w:rPr>
          <w:rFonts w:ascii="Times New Roman" w:eastAsia="Times New Roman" w:hAnsi="Times New Roman" w:cs="Times New Roman"/>
          <w:noProof/>
          <w:color w:val="FFFFFF"/>
          <w:spacing w:val="-20000"/>
          <w:sz w:val="24"/>
          <w:szCs w:val="24"/>
          <w:lang w:eastAsia="ru-RU"/>
        </w:rPr>
        <w:instrText> глобальную</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достаточно противоречивые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также </w:instrText>
      </w:r>
      <w:r w:rsidRPr="007E1000">
        <w:rPr>
          <w:rFonts w:ascii="Times New Roman" w:eastAsia="Times New Roman" w:hAnsi="Times New Roman" w:cs="Times New Roman"/>
          <w:noProof/>
          <w:color w:val="000000" w:themeColor="text1"/>
          <w:sz w:val="24"/>
          <w:szCs w:val="24"/>
          <w:lang w:eastAsia="ru-RU"/>
        </w:rPr>
        <w:instrText>мнения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по поводу направленности </w:t>
      </w:r>
      <w:r w:rsidRPr="007E1000">
        <w:rPr>
          <w:rFonts w:ascii="Times New Roman" w:eastAsia="Times New Roman" w:hAnsi="Times New Roman" w:cs="Times New Roman"/>
          <w:sz w:val="24"/>
          <w:szCs w:val="24"/>
          <w:lang w:eastAsia="ru-RU"/>
        </w:rPr>
        <w:t xml:space="preserve"> иннов</w:t>
      </w:r>
      <w:r w:rsidRPr="007E1000">
        <w:rPr>
          <w:rFonts w:ascii="Times New Roman" w:eastAsia="Times New Roman" w:hAnsi="Times New Roman" w:cs="Times New Roman"/>
          <w:color w:val="000000" w:themeColor="text1"/>
          <w:sz w:val="24"/>
          <w:szCs w:val="24"/>
          <w:lang w:eastAsia="ru-RU"/>
        </w:rPr>
        <w:t xml:space="preserve">ационной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политики</w:instrText>
      </w:r>
      <w:r w:rsidRPr="007E1000">
        <w:rPr>
          <w:rFonts w:ascii="Times New Roman" w:eastAsia="Times New Roman" w:hAnsi="Times New Roman" w:cs="Times New Roman"/>
          <w:noProof/>
          <w:color w:val="FFFFFF"/>
          <w:spacing w:val="-20000"/>
          <w:sz w:val="24"/>
          <w:szCs w:val="24"/>
          <w:lang w:eastAsia="ru-RU"/>
        </w:rPr>
        <w:instrText> циала</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России. С одной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страны </w:instrText>
      </w:r>
      <w:r w:rsidRPr="007E1000">
        <w:rPr>
          <w:rFonts w:ascii="Times New Roman" w:eastAsia="Times New Roman" w:hAnsi="Times New Roman" w:cs="Times New Roman"/>
          <w:noProof/>
          <w:color w:val="000000" w:themeColor="text1"/>
          <w:sz w:val="24"/>
          <w:szCs w:val="24"/>
          <w:lang w:eastAsia="ru-RU"/>
        </w:rPr>
        <w:instrText>стороны</w:instrText>
      </w:r>
      <w:r w:rsidRPr="007E1000">
        <w:rPr>
          <w:rFonts w:ascii="Times New Roman" w:eastAsia="Times New Roman" w:hAnsi="Times New Roman" w:cs="Times New Roman"/>
          <w:noProof/>
          <w:color w:val="FFFFFF"/>
          <w:spacing w:val="-20000"/>
          <w:sz w:val="24"/>
          <w:szCs w:val="24"/>
          <w:lang w:eastAsia="ru-RU"/>
        </w:rPr>
        <w:instrText> возможности</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можно наблюдать активное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классификация </w:instrText>
      </w:r>
      <w:r w:rsidRPr="007E1000">
        <w:rPr>
          <w:rFonts w:ascii="Times New Roman" w:eastAsia="Times New Roman" w:hAnsi="Times New Roman" w:cs="Times New Roman"/>
          <w:noProof/>
          <w:color w:val="000000" w:themeColor="text1"/>
          <w:sz w:val="24"/>
          <w:szCs w:val="24"/>
          <w:lang w:eastAsia="ru-RU"/>
        </w:rPr>
        <w:instrText>внедрение</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новых </w:t>
      </w:r>
      <w:r w:rsidRPr="007E1000">
        <w:rPr>
          <w:rFonts w:ascii="Times New Roman" w:eastAsia="Times New Roman" w:hAnsi="Times New Roman" w:cs="Times New Roman"/>
          <w:sz w:val="24"/>
          <w:szCs w:val="24"/>
          <w:highlight w:val="white"/>
          <w:lang w:eastAsia="ru-RU"/>
        </w:rPr>
        <w:t>исследовательских</w:t>
      </w:r>
      <w:r w:rsidRPr="007E1000">
        <w:rPr>
          <w:rFonts w:ascii="Times New Roman" w:eastAsia="Times New Roman" w:hAnsi="Times New Roman" w:cs="Times New Roman"/>
          <w:color w:val="000000" w:themeColor="text1"/>
          <w:sz w:val="24"/>
          <w:szCs w:val="24"/>
          <w:lang w:eastAsia="ru-RU"/>
        </w:rPr>
        <w:t xml:space="preserve"> центров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крупнейшими</w:instrText>
      </w:r>
      <w:r w:rsidRPr="007E1000">
        <w:rPr>
          <w:rFonts w:ascii="Times New Roman" w:eastAsia="Times New Roman" w:hAnsi="Times New Roman" w:cs="Times New Roman"/>
          <w:noProof/>
          <w:color w:val="FFFFFF"/>
          <w:spacing w:val="-20000"/>
          <w:sz w:val="24"/>
          <w:szCs w:val="24"/>
          <w:lang w:eastAsia="ru-RU"/>
        </w:rPr>
        <w:instrText> ности</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корпорациями в последнее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субъектами </w:instrText>
      </w:r>
      <w:r w:rsidRPr="007E1000">
        <w:rPr>
          <w:rFonts w:ascii="Times New Roman" w:eastAsia="Times New Roman" w:hAnsi="Times New Roman" w:cs="Times New Roman"/>
          <w:noProof/>
          <w:color w:val="000000" w:themeColor="text1"/>
          <w:sz w:val="24"/>
          <w:szCs w:val="24"/>
          <w:lang w:eastAsia="ru-RU"/>
        </w:rPr>
        <w:instrText>время</w:instrText>
      </w:r>
      <w:r w:rsidRPr="007E1000">
        <w:rPr>
          <w:rFonts w:ascii="Times New Roman" w:eastAsia="Times New Roman" w:hAnsi="Times New Roman" w:cs="Times New Roman"/>
          <w:noProof/>
          <w:color w:val="FFFFFF"/>
          <w:spacing w:val="-20000"/>
          <w:sz w:val="24"/>
          <w:szCs w:val="24"/>
          <w:lang w:eastAsia="ru-RU"/>
        </w:rPr>
        <w:instrText> также</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Кроме того,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указанные </w:instrText>
      </w:r>
      <w:r w:rsidRPr="007E1000">
        <w:rPr>
          <w:rFonts w:ascii="Times New Roman" w:eastAsia="Times New Roman" w:hAnsi="Times New Roman" w:cs="Times New Roman"/>
          <w:noProof/>
          <w:color w:val="000000" w:themeColor="text1"/>
          <w:sz w:val="24"/>
          <w:szCs w:val="24"/>
          <w:lang w:eastAsia="ru-RU"/>
        </w:rPr>
        <w:instrText>многие</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российские инновационные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гунин </w:instrText>
      </w:r>
      <w:r w:rsidRPr="007E1000">
        <w:rPr>
          <w:rFonts w:ascii="Times New Roman" w:eastAsia="Times New Roman" w:hAnsi="Times New Roman" w:cs="Times New Roman"/>
          <w:noProof/>
          <w:color w:val="000000" w:themeColor="text1"/>
          <w:sz w:val="24"/>
          <w:szCs w:val="24"/>
          <w:lang w:eastAsia="ru-RU"/>
        </w:rPr>
        <w:instrText>решения</w:instrText>
      </w:r>
      <w:r w:rsidRPr="007E1000">
        <w:rPr>
          <w:rFonts w:ascii="Times New Roman" w:eastAsia="Times New Roman" w:hAnsi="Times New Roman" w:cs="Times New Roman"/>
          <w:noProof/>
          <w:color w:val="FFFFFF"/>
          <w:spacing w:val="-20000"/>
          <w:sz w:val="24"/>
          <w:szCs w:val="24"/>
          <w:lang w:eastAsia="ru-RU"/>
        </w:rPr>
        <w:instrText> госзакупок</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уже сейчас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широко</w:instrText>
      </w:r>
      <w:r w:rsidRPr="007E1000">
        <w:rPr>
          <w:rFonts w:ascii="Times New Roman" w:eastAsia="Times New Roman" w:hAnsi="Times New Roman" w:cs="Times New Roman"/>
          <w:noProof/>
          <w:color w:val="FFFFFF"/>
          <w:spacing w:val="-20000"/>
          <w:sz w:val="24"/>
          <w:szCs w:val="24"/>
          <w:lang w:eastAsia="ru-RU"/>
        </w:rPr>
        <w:instrText> внедрений</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используются в мире,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обладание </w:instrText>
      </w:r>
      <w:r w:rsidRPr="007E1000">
        <w:rPr>
          <w:rFonts w:ascii="Times New Roman" w:eastAsia="Times New Roman" w:hAnsi="Times New Roman" w:cs="Times New Roman"/>
          <w:noProof/>
          <w:color w:val="000000" w:themeColor="text1"/>
          <w:sz w:val="24"/>
          <w:szCs w:val="24"/>
          <w:lang w:eastAsia="ru-RU"/>
        </w:rPr>
        <w:instrText>причем</w:instrText>
      </w:r>
      <w:r w:rsidRPr="007E1000">
        <w:rPr>
          <w:rFonts w:ascii="Times New Roman" w:eastAsia="Times New Roman" w:hAnsi="Times New Roman" w:cs="Times New Roman"/>
          <w:noProof/>
          <w:color w:val="FFFFFF"/>
          <w:spacing w:val="-20000"/>
          <w:sz w:val="24"/>
          <w:szCs w:val="24"/>
          <w:lang w:eastAsia="ru-RU"/>
        </w:rPr>
        <w:instrText> предприятия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не только на уровне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формирование </w:instrText>
      </w:r>
      <w:r w:rsidRPr="007E1000">
        <w:rPr>
          <w:rFonts w:ascii="Times New Roman" w:eastAsia="Times New Roman" w:hAnsi="Times New Roman" w:cs="Times New Roman"/>
          <w:noProof/>
          <w:color w:val="000000" w:themeColor="text1"/>
          <w:sz w:val="24"/>
          <w:szCs w:val="24"/>
          <w:lang w:eastAsia="ru-RU"/>
        </w:rPr>
        <w:instrText>технологических</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разработок, но и в виде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technological </w:instrText>
      </w:r>
      <w:r w:rsidRPr="007E1000">
        <w:rPr>
          <w:rFonts w:ascii="Times New Roman" w:eastAsia="Times New Roman" w:hAnsi="Times New Roman" w:cs="Times New Roman"/>
          <w:noProof/>
          <w:color w:val="000000" w:themeColor="text1"/>
          <w:sz w:val="24"/>
          <w:szCs w:val="24"/>
          <w:lang w:eastAsia="ru-RU"/>
        </w:rPr>
        <w:instrText>конечного</w:instrText>
      </w:r>
      <w:r w:rsidRPr="007E1000">
        <w:rPr>
          <w:rFonts w:ascii="Times New Roman" w:eastAsia="Times New Roman" w:hAnsi="Times New Roman" w:cs="Times New Roman"/>
          <w:noProof/>
          <w:color w:val="FFFFFF"/>
          <w:spacing w:val="-20000"/>
          <w:sz w:val="24"/>
          <w:szCs w:val="24"/>
          <w:lang w:eastAsia="ru-RU"/>
        </w:rPr>
        <w:instrText> вания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продукта - яркий пример – лазерные диоды, разработанные в физико-техническом институте им. А. Ф. Иоффе, способные  в непрерывном режиме работать при комнатной температуре [7]. С </w:t>
      </w:r>
      <w:r w:rsidRPr="007E1000">
        <w:rPr>
          <w:rFonts w:ascii="Times New Roman" w:eastAsia="Times New Roman" w:hAnsi="Times New Roman" w:cs="Times New Roman"/>
          <w:sz w:val="24"/>
          <w:szCs w:val="24"/>
          <w:lang w:eastAsia="ru-RU"/>
        </w:rPr>
        <w:lastRenderedPageBreak/>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другой</w:instrText>
      </w:r>
      <w:r w:rsidRPr="007E1000">
        <w:rPr>
          <w:rFonts w:ascii="Times New Roman" w:eastAsia="Times New Roman" w:hAnsi="Times New Roman" w:cs="Times New Roman"/>
          <w:noProof/>
          <w:color w:val="FFFFFF"/>
          <w:spacing w:val="-20000"/>
          <w:sz w:val="24"/>
          <w:szCs w:val="24"/>
          <w:lang w:eastAsia="ru-RU"/>
        </w:rPr>
        <w:instrText> условиях</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стороны, существует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росси </w:instrText>
      </w:r>
      <w:r w:rsidRPr="007E1000">
        <w:rPr>
          <w:rFonts w:ascii="Times New Roman" w:eastAsia="Times New Roman" w:hAnsi="Times New Roman" w:cs="Times New Roman"/>
          <w:noProof/>
          <w:color w:val="000000" w:themeColor="text1"/>
          <w:sz w:val="24"/>
          <w:szCs w:val="24"/>
          <w:lang w:eastAsia="ru-RU"/>
        </w:rPr>
        <w:instrText>проблема</w:instrText>
      </w:r>
      <w:r w:rsidRPr="007E1000">
        <w:rPr>
          <w:rFonts w:ascii="Times New Roman" w:eastAsia="Times New Roman" w:hAnsi="Times New Roman" w:cs="Times New Roman"/>
          <w:noProof/>
          <w:color w:val="FFFFFF"/>
          <w:spacing w:val="-20000"/>
          <w:sz w:val="24"/>
          <w:szCs w:val="24"/>
          <w:lang w:eastAsia="ru-RU"/>
        </w:rPr>
        <w:instrText> потенциал</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отсутствия навыков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решения </w:instrText>
      </w:r>
      <w:r w:rsidRPr="007E1000">
        <w:rPr>
          <w:rFonts w:ascii="Times New Roman" w:eastAsia="Times New Roman" w:hAnsi="Times New Roman" w:cs="Times New Roman"/>
          <w:noProof/>
          <w:color w:val="000000" w:themeColor="text1"/>
          <w:sz w:val="24"/>
          <w:szCs w:val="24"/>
          <w:lang w:eastAsia="ru-RU"/>
        </w:rPr>
        <w:instrText>внедрения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и вывода продуктов и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определяется </w:instrText>
      </w:r>
      <w:r w:rsidRPr="007E1000">
        <w:rPr>
          <w:rFonts w:ascii="Times New Roman" w:eastAsia="Times New Roman" w:hAnsi="Times New Roman" w:cs="Times New Roman"/>
          <w:noProof/>
          <w:color w:val="000000" w:themeColor="text1"/>
          <w:sz w:val="24"/>
          <w:szCs w:val="24"/>
          <w:lang w:eastAsia="ru-RU"/>
        </w:rPr>
        <w:instrText>услуг</w:instrText>
      </w:r>
      <w:r w:rsidRPr="007E1000">
        <w:rPr>
          <w:rFonts w:ascii="Times New Roman" w:eastAsia="Times New Roman" w:hAnsi="Times New Roman" w:cs="Times New Roman"/>
          <w:noProof/>
          <w:color w:val="FFFFFF"/>
          <w:spacing w:val="-20000"/>
          <w:sz w:val="24"/>
          <w:szCs w:val="24"/>
          <w:lang w:eastAsia="ru-RU"/>
        </w:rPr>
        <w:instrText> расходов</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на рынок. С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этой</w:instrText>
      </w:r>
      <w:r w:rsidRPr="007E1000">
        <w:rPr>
          <w:rFonts w:ascii="Times New Roman" w:eastAsia="Times New Roman" w:hAnsi="Times New Roman" w:cs="Times New Roman"/>
          <w:noProof/>
          <w:color w:val="FFFFFF"/>
          <w:spacing w:val="-20000"/>
          <w:sz w:val="24"/>
          <w:szCs w:val="24"/>
          <w:lang w:eastAsia="ru-RU"/>
        </w:rPr>
        <w:instrText> таким</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точки зрения,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вместе </w:instrText>
      </w:r>
      <w:r w:rsidRPr="007E1000">
        <w:rPr>
          <w:rFonts w:ascii="Times New Roman" w:eastAsia="Times New Roman" w:hAnsi="Times New Roman" w:cs="Times New Roman"/>
          <w:noProof/>
          <w:color w:val="000000" w:themeColor="text1"/>
          <w:sz w:val="24"/>
          <w:szCs w:val="24"/>
          <w:lang w:eastAsia="ru-RU"/>
        </w:rPr>
        <w:instrText>Россия</w:instrText>
      </w:r>
      <w:r w:rsidRPr="007E1000">
        <w:rPr>
          <w:rFonts w:ascii="Times New Roman" w:eastAsia="Times New Roman" w:hAnsi="Times New Roman" w:cs="Times New Roman"/>
          <w:noProof/>
          <w:color w:val="FFFFFF"/>
          <w:spacing w:val="-20000"/>
          <w:sz w:val="24"/>
          <w:szCs w:val="24"/>
          <w:lang w:eastAsia="ru-RU"/>
        </w:rPr>
        <w:instrText> задача</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отстает настолько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можно </w:instrText>
      </w:r>
      <w:r w:rsidRPr="007E1000">
        <w:rPr>
          <w:rFonts w:ascii="Times New Roman" w:eastAsia="Times New Roman" w:hAnsi="Times New Roman" w:cs="Times New Roman"/>
          <w:noProof/>
          <w:color w:val="000000" w:themeColor="text1"/>
          <w:sz w:val="24"/>
          <w:szCs w:val="24"/>
          <w:lang w:eastAsia="ru-RU"/>
        </w:rPr>
        <w:instrText>серьезно</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что приходится руководствоваться зарубежным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опытом</w:instrText>
      </w:r>
      <w:r w:rsidRPr="007E1000">
        <w:rPr>
          <w:rFonts w:ascii="Times New Roman" w:eastAsia="Times New Roman" w:hAnsi="Times New Roman" w:cs="Times New Roman"/>
          <w:noProof/>
          <w:color w:val="FFFFFF"/>
          <w:spacing w:val="-20000"/>
          <w:sz w:val="24"/>
          <w:szCs w:val="24"/>
          <w:lang w:eastAsia="ru-RU"/>
        </w:rPr>
        <w:instrText> настоящее</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«Не секрет, что современный российский бизнес мало ориентирован на разработку собственной наукоемкой продукции гражданского назначения. Основные потребности покрываются за счет зарубежных поставок.» - так говорит заместитель президента РАН В. И. Иванов [6].</w:t>
      </w:r>
    </w:p>
    <w:p w14:paraId="63F5743C"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Если рассматривать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человеческие </w:instrText>
      </w:r>
      <w:r w:rsidRPr="007E1000">
        <w:rPr>
          <w:rFonts w:ascii="Times New Roman" w:eastAsia="Times New Roman" w:hAnsi="Times New Roman" w:cs="Times New Roman"/>
          <w:noProof/>
          <w:color w:val="000000" w:themeColor="text1"/>
          <w:sz w:val="24"/>
          <w:szCs w:val="24"/>
          <w:lang w:eastAsia="ru-RU"/>
        </w:rPr>
        <w:instrText>весь</w:instrText>
      </w:r>
      <w:r w:rsidRPr="007E1000">
        <w:rPr>
          <w:rFonts w:ascii="Times New Roman" w:eastAsia="Times New Roman" w:hAnsi="Times New Roman" w:cs="Times New Roman"/>
          <w:noProof/>
          <w:color w:val="FFFFFF"/>
          <w:spacing w:val="-20000"/>
          <w:sz w:val="24"/>
          <w:szCs w:val="24"/>
        </w:rPr>
        <w:instrText> стало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научный потенциал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между </w:instrText>
      </w:r>
      <w:r w:rsidRPr="007E1000">
        <w:rPr>
          <w:rFonts w:ascii="Times New Roman" w:eastAsia="Times New Roman" w:hAnsi="Times New Roman" w:cs="Times New Roman"/>
          <w:noProof/>
          <w:color w:val="000000" w:themeColor="text1"/>
          <w:sz w:val="24"/>
          <w:szCs w:val="24"/>
          <w:lang w:eastAsia="ru-RU"/>
        </w:rPr>
        <w:instrText>России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то он достаточно низок, так как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являющиеся </w:instrText>
      </w:r>
      <w:r w:rsidRPr="007E1000">
        <w:rPr>
          <w:rFonts w:ascii="Times New Roman" w:eastAsia="Times New Roman" w:hAnsi="Times New Roman" w:cs="Times New Roman"/>
          <w:noProof/>
          <w:color w:val="000000" w:themeColor="text1"/>
          <w:sz w:val="24"/>
          <w:szCs w:val="24"/>
          <w:lang w:eastAsia="ru-RU"/>
        </w:rPr>
        <w:instrText>российская</w:instrText>
      </w:r>
      <w:r w:rsidRPr="007E1000">
        <w:rPr>
          <w:rFonts w:ascii="Times New Roman" w:eastAsia="Times New Roman" w:hAnsi="Times New Roman" w:cs="Times New Roman"/>
          <w:noProof/>
          <w:color w:val="FFFFFF"/>
          <w:spacing w:val="-20000"/>
          <w:sz w:val="24"/>
          <w:szCs w:val="24"/>
        </w:rPr>
        <w:instrText> дований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наука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целом</w:instrText>
      </w:r>
      <w:r w:rsidRPr="007E1000">
        <w:rPr>
          <w:rFonts w:ascii="Times New Roman" w:eastAsia="Times New Roman" w:hAnsi="Times New Roman" w:cs="Times New Roman"/>
          <w:noProof/>
          <w:color w:val="FFFFFF"/>
          <w:spacing w:val="-20000"/>
          <w:sz w:val="24"/>
          <w:szCs w:val="24"/>
        </w:rPr>
        <w:instrText> ществляются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отстает от западной. Как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technology </w:instrText>
      </w:r>
      <w:r w:rsidRPr="007E1000">
        <w:rPr>
          <w:rFonts w:ascii="Times New Roman" w:eastAsia="Times New Roman" w:hAnsi="Times New Roman" w:cs="Times New Roman"/>
          <w:noProof/>
          <w:color w:val="000000" w:themeColor="text1"/>
          <w:sz w:val="24"/>
          <w:szCs w:val="24"/>
          <w:lang w:eastAsia="ru-RU"/>
        </w:rPr>
        <w:instrText>результат</w:instrText>
      </w:r>
      <w:r w:rsidRPr="007E1000">
        <w:rPr>
          <w:rFonts w:ascii="Times New Roman" w:eastAsia="Times New Roman" w:hAnsi="Times New Roman" w:cs="Times New Roman"/>
          <w:noProof/>
          <w:color w:val="FFFFFF"/>
          <w:spacing w:val="-20000"/>
          <w:sz w:val="24"/>
          <w:szCs w:val="24"/>
        </w:rPr>
        <w:instrText> помогающие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российские ученые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вместе </w:instrText>
      </w:r>
      <w:r w:rsidRPr="007E1000">
        <w:rPr>
          <w:rFonts w:ascii="Times New Roman" w:eastAsia="Times New Roman" w:hAnsi="Times New Roman" w:cs="Times New Roman"/>
          <w:noProof/>
          <w:color w:val="000000" w:themeColor="text1"/>
          <w:sz w:val="24"/>
          <w:szCs w:val="24"/>
          <w:lang w:eastAsia="ru-RU"/>
        </w:rPr>
        <w:instrText>зачастую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 ориентируются в современных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возможностью </w:instrText>
      </w:r>
      <w:r w:rsidRPr="007E1000">
        <w:rPr>
          <w:rFonts w:ascii="Times New Roman" w:eastAsia="Times New Roman" w:hAnsi="Times New Roman" w:cs="Times New Roman"/>
          <w:noProof/>
          <w:color w:val="000000" w:themeColor="text1"/>
          <w:sz w:val="24"/>
          <w:szCs w:val="24"/>
          <w:lang w:eastAsia="ru-RU"/>
        </w:rPr>
        <w:instrText>тенденциях</w:instrText>
      </w:r>
      <w:r w:rsidRPr="007E1000">
        <w:rPr>
          <w:rFonts w:ascii="Times New Roman" w:eastAsia="Times New Roman" w:hAnsi="Times New Roman" w:cs="Times New Roman"/>
          <w:noProof/>
          <w:color w:val="FFFFFF"/>
          <w:spacing w:val="-20000"/>
          <w:sz w:val="24"/>
          <w:szCs w:val="24"/>
        </w:rPr>
        <w:instrText> рудование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не способны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правильно</w:instrText>
      </w:r>
      <w:r w:rsidRPr="007E1000">
        <w:rPr>
          <w:rFonts w:ascii="Times New Roman" w:eastAsia="Times New Roman" w:hAnsi="Times New Roman" w:cs="Times New Roman"/>
          <w:noProof/>
          <w:color w:val="FFFFFF"/>
          <w:spacing w:val="-20000"/>
          <w:sz w:val="24"/>
          <w:szCs w:val="24"/>
        </w:rPr>
        <w:instrText> такое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выбрать направление для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следующих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noProof/>
          <w:color w:val="FFFFFF"/>
          <w:spacing w:val="-20000"/>
          <w:sz w:val="24"/>
          <w:szCs w:val="24"/>
        </w:rPr>
        <w:instrText> общих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инновационных технологий.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значению </w:instrText>
      </w:r>
      <w:r w:rsidRPr="007E1000">
        <w:rPr>
          <w:rFonts w:ascii="Times New Roman" w:eastAsia="Times New Roman" w:hAnsi="Times New Roman" w:cs="Times New Roman"/>
          <w:noProof/>
          <w:color w:val="000000" w:themeColor="text1"/>
          <w:sz w:val="24"/>
          <w:szCs w:val="24"/>
          <w:lang w:eastAsia="ru-RU"/>
        </w:rPr>
        <w:instrText>Несмотря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 все негативные тенденции,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существенным </w:instrText>
      </w:r>
      <w:r w:rsidRPr="007E1000">
        <w:rPr>
          <w:rFonts w:ascii="Times New Roman" w:eastAsia="Times New Roman" w:hAnsi="Times New Roman" w:cs="Times New Roman"/>
          <w:noProof/>
          <w:color w:val="000000" w:themeColor="text1"/>
          <w:sz w:val="24"/>
          <w:szCs w:val="24"/>
          <w:lang w:eastAsia="ru-RU"/>
        </w:rPr>
        <w:instrText>России</w:instrText>
      </w:r>
      <w:r w:rsidRPr="007E1000">
        <w:rPr>
          <w:rFonts w:ascii="Times New Roman" w:eastAsia="Times New Roman" w:hAnsi="Times New Roman" w:cs="Times New Roman"/>
          <w:noProof/>
          <w:color w:val="FFFFFF"/>
          <w:spacing w:val="-20000"/>
          <w:sz w:val="24"/>
          <w:szCs w:val="24"/>
        </w:rPr>
        <w:instrText> непрерывного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много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интересных</w:instrText>
      </w:r>
      <w:r w:rsidRPr="007E1000">
        <w:rPr>
          <w:rFonts w:ascii="Times New Roman" w:eastAsia="Times New Roman" w:hAnsi="Times New Roman" w:cs="Times New Roman"/>
          <w:noProof/>
          <w:color w:val="FFFFFF"/>
          <w:spacing w:val="-20000"/>
          <w:sz w:val="24"/>
          <w:szCs w:val="24"/>
        </w:rPr>
        <w:instrText> быть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разработок на уровне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инновациям </w:instrText>
      </w:r>
      <w:r w:rsidRPr="007E1000">
        <w:rPr>
          <w:rFonts w:ascii="Times New Roman" w:eastAsia="Times New Roman" w:hAnsi="Times New Roman" w:cs="Times New Roman"/>
          <w:noProof/>
          <w:color w:val="000000" w:themeColor="text1"/>
          <w:sz w:val="24"/>
          <w:szCs w:val="24"/>
          <w:lang w:eastAsia="ru-RU"/>
        </w:rPr>
        <w:instrText>фундаментальной</w:instrText>
      </w:r>
      <w:r w:rsidRPr="007E1000">
        <w:rPr>
          <w:rFonts w:ascii="Times New Roman" w:eastAsia="Times New Roman" w:hAnsi="Times New Roman" w:cs="Times New Roman"/>
          <w:noProof/>
          <w:color w:val="FFFFFF"/>
          <w:spacing w:val="-20000"/>
          <w:sz w:val="24"/>
          <w:szCs w:val="24"/>
        </w:rPr>
        <w:instrText> опросы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науки, но, вместе с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европейского </w:instrText>
      </w:r>
      <w:r w:rsidRPr="007E1000">
        <w:rPr>
          <w:rFonts w:ascii="Times New Roman" w:eastAsia="Times New Roman" w:hAnsi="Times New Roman" w:cs="Times New Roman"/>
          <w:noProof/>
          <w:color w:val="000000" w:themeColor="text1"/>
          <w:sz w:val="24"/>
          <w:szCs w:val="24"/>
          <w:lang w:eastAsia="ru-RU"/>
        </w:rPr>
        <w:instrText>этим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крайне мало - 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гунин </w:instrText>
      </w:r>
      <w:r w:rsidRPr="007E1000">
        <w:rPr>
          <w:rFonts w:ascii="Times New Roman" w:eastAsia="Times New Roman" w:hAnsi="Times New Roman" w:cs="Times New Roman"/>
          <w:noProof/>
          <w:color w:val="000000" w:themeColor="text1"/>
          <w:sz w:val="24"/>
          <w:szCs w:val="24"/>
          <w:lang w:eastAsia="ru-RU"/>
        </w:rPr>
        <w:instrText>уровне</w:instrText>
      </w:r>
      <w:r w:rsidRPr="007E1000">
        <w:rPr>
          <w:rFonts w:ascii="Times New Roman" w:eastAsia="Times New Roman" w:hAnsi="Times New Roman" w:cs="Times New Roman"/>
          <w:noProof/>
          <w:color w:val="FFFFFF"/>
          <w:spacing w:val="-20000"/>
          <w:sz w:val="24"/>
          <w:szCs w:val="24"/>
        </w:rPr>
        <w:instrText> классификация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производственного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воплощения</w:instrText>
      </w:r>
      <w:r w:rsidRPr="007E1000">
        <w:rPr>
          <w:rFonts w:ascii="Times New Roman" w:eastAsia="Times New Roman" w:hAnsi="Times New Roman" w:cs="Times New Roman"/>
          <w:noProof/>
          <w:color w:val="FFFFFF"/>
          <w:spacing w:val="-20000"/>
          <w:sz w:val="24"/>
          <w:szCs w:val="24"/>
        </w:rPr>
        <w:instrText> этом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Россия обладает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онный </w:instrText>
      </w:r>
      <w:r w:rsidRPr="007E1000">
        <w:rPr>
          <w:rFonts w:ascii="Times New Roman" w:eastAsia="Times New Roman" w:hAnsi="Times New Roman" w:cs="Times New Roman"/>
          <w:noProof/>
          <w:color w:val="000000" w:themeColor="text1"/>
          <w:sz w:val="24"/>
          <w:szCs w:val="24"/>
          <w:lang w:eastAsia="ru-RU"/>
        </w:rPr>
        <w:instrText>огромным</w:instrText>
      </w:r>
      <w:r w:rsidRPr="007E1000">
        <w:rPr>
          <w:rFonts w:ascii="Times New Roman" w:eastAsia="Times New Roman" w:hAnsi="Times New Roman" w:cs="Times New Roman"/>
          <w:noProof/>
          <w:color w:val="FFFFFF"/>
          <w:spacing w:val="-20000"/>
          <w:sz w:val="24"/>
          <w:szCs w:val="24"/>
        </w:rPr>
        <w:instrText> именно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количеством природных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выделенного </w:instrText>
      </w:r>
      <w:r w:rsidRPr="007E1000">
        <w:rPr>
          <w:rFonts w:ascii="Times New Roman" w:eastAsia="Times New Roman" w:hAnsi="Times New Roman" w:cs="Times New Roman"/>
          <w:noProof/>
          <w:color w:val="000000" w:themeColor="text1"/>
          <w:sz w:val="24"/>
          <w:szCs w:val="24"/>
          <w:lang w:eastAsia="ru-RU"/>
        </w:rPr>
        <w:instrText>ресурсов</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грамотных специалистов, 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темпу </w:instrText>
      </w:r>
      <w:r w:rsidRPr="007E1000">
        <w:rPr>
          <w:rFonts w:ascii="Times New Roman" w:eastAsia="Times New Roman" w:hAnsi="Times New Roman" w:cs="Times New Roman"/>
          <w:noProof/>
          <w:color w:val="000000" w:themeColor="text1"/>
          <w:sz w:val="24"/>
          <w:szCs w:val="24"/>
          <w:lang w:eastAsia="ru-RU"/>
        </w:rPr>
        <w:instrText>отстает</w:instrText>
      </w:r>
      <w:r w:rsidRPr="007E1000">
        <w:rPr>
          <w:rFonts w:ascii="Times New Roman" w:eastAsia="Times New Roman" w:hAnsi="Times New Roman" w:cs="Times New Roman"/>
          <w:noProof/>
          <w:color w:val="FFFFFF"/>
          <w:spacing w:val="-20000"/>
          <w:sz w:val="24"/>
          <w:szCs w:val="24"/>
        </w:rPr>
        <w:instrText> типология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от развитых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стран</w:instrText>
      </w:r>
      <w:r w:rsidRPr="007E1000">
        <w:rPr>
          <w:rFonts w:ascii="Times New Roman" w:eastAsia="Times New Roman" w:hAnsi="Times New Roman" w:cs="Times New Roman"/>
          <w:noProof/>
          <w:color w:val="FFFFFF"/>
          <w:spacing w:val="-20000"/>
          <w:sz w:val="24"/>
          <w:szCs w:val="24"/>
        </w:rPr>
        <w:instrText> свидетельством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 количеству инновационных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вития </w:instrText>
      </w:r>
      <w:r w:rsidRPr="007E1000">
        <w:rPr>
          <w:rFonts w:ascii="Times New Roman" w:eastAsia="Times New Roman" w:hAnsi="Times New Roman" w:cs="Times New Roman"/>
          <w:noProof/>
          <w:color w:val="000000" w:themeColor="text1"/>
          <w:sz w:val="24"/>
          <w:szCs w:val="24"/>
          <w:lang w:eastAsia="ru-RU"/>
        </w:rPr>
        <w:instrText>менеджеров</w:instrText>
      </w:r>
      <w:r w:rsidRPr="007E1000">
        <w:rPr>
          <w:rFonts w:ascii="Times New Roman" w:eastAsia="Times New Roman" w:hAnsi="Times New Roman" w:cs="Times New Roman"/>
          <w:noProof/>
          <w:color w:val="FFFFFF"/>
          <w:spacing w:val="-20000"/>
          <w:sz w:val="24"/>
          <w:szCs w:val="24"/>
        </w:rPr>
        <w:instrText> разработана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sz w:val="24"/>
          <w:szCs w:val="24"/>
        </w:rPr>
        <w:t xml:space="preserve"> [7]</w:t>
      </w:r>
      <w:r w:rsidRPr="007E1000">
        <w:rPr>
          <w:rFonts w:ascii="Times New Roman" w:eastAsia="Times New Roman" w:hAnsi="Times New Roman" w:cs="Times New Roman"/>
          <w:color w:val="000000" w:themeColor="text1"/>
          <w:sz w:val="24"/>
          <w:szCs w:val="24"/>
          <w:lang w:eastAsia="ru-RU"/>
        </w:rPr>
        <w:t>.</w:t>
      </w:r>
    </w:p>
    <w:p w14:paraId="062F239C"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Россия, несомненно,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development </w:instrText>
      </w:r>
      <w:r w:rsidRPr="007E1000">
        <w:rPr>
          <w:rFonts w:ascii="Times New Roman" w:eastAsia="Times New Roman" w:hAnsi="Times New Roman" w:cs="Times New Roman"/>
          <w:noProof/>
          <w:color w:val="000000" w:themeColor="text1"/>
          <w:sz w:val="24"/>
          <w:szCs w:val="24"/>
          <w:lang w:eastAsia="ru-RU"/>
        </w:rPr>
        <w:instrText>обладает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существенным научным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вания </w:instrText>
      </w:r>
      <w:r w:rsidRPr="007E1000">
        <w:rPr>
          <w:rFonts w:ascii="Times New Roman" w:eastAsia="Times New Roman" w:hAnsi="Times New Roman" w:cs="Times New Roman"/>
          <w:noProof/>
          <w:color w:val="000000" w:themeColor="text1"/>
          <w:sz w:val="24"/>
          <w:szCs w:val="24"/>
          <w:lang w:eastAsia="ru-RU"/>
        </w:rPr>
        <w:instrText>потенциалом</w:instrText>
      </w:r>
      <w:r w:rsidRPr="007E1000">
        <w:rPr>
          <w:rFonts w:ascii="Times New Roman" w:eastAsia="Times New Roman" w:hAnsi="Times New Roman" w:cs="Times New Roman"/>
          <w:noProof/>
          <w:color w:val="FFFFFF"/>
          <w:spacing w:val="-20000"/>
          <w:sz w:val="24"/>
          <w:szCs w:val="24"/>
        </w:rPr>
        <w:instrText> ходящихся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но произошедший в 1990-</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х</w:instrText>
      </w:r>
      <w:r w:rsidRPr="007E1000">
        <w:rPr>
          <w:rFonts w:ascii="Times New Roman" w:eastAsia="Times New Roman" w:hAnsi="Times New Roman" w:cs="Times New Roman"/>
          <w:noProof/>
          <w:color w:val="FFFFFF"/>
          <w:spacing w:val="-20000"/>
          <w:sz w:val="24"/>
          <w:szCs w:val="24"/>
        </w:rPr>
        <w:instrText> возможностью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годах развал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предлагаемые </w:instrText>
      </w:r>
      <w:r w:rsidRPr="007E1000">
        <w:rPr>
          <w:rFonts w:ascii="Times New Roman" w:eastAsia="Times New Roman" w:hAnsi="Times New Roman" w:cs="Times New Roman"/>
          <w:noProof/>
          <w:color w:val="000000" w:themeColor="text1"/>
          <w:sz w:val="24"/>
          <w:szCs w:val="24"/>
          <w:lang w:eastAsia="ru-RU"/>
        </w:rPr>
        <w:instrText>производства</w:instrText>
      </w:r>
      <w:r w:rsidRPr="007E1000">
        <w:rPr>
          <w:rFonts w:ascii="Times New Roman" w:eastAsia="Times New Roman" w:hAnsi="Times New Roman" w:cs="Times New Roman"/>
          <w:noProof/>
          <w:color w:val="FFFFFF"/>
          <w:spacing w:val="-20000"/>
          <w:sz w:val="24"/>
          <w:szCs w:val="24"/>
        </w:rPr>
        <w:instrText> целью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привел к тому, что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сфере </w:instrText>
      </w:r>
      <w:r w:rsidRPr="007E1000">
        <w:rPr>
          <w:rFonts w:ascii="Times New Roman" w:eastAsia="Times New Roman" w:hAnsi="Times New Roman" w:cs="Times New Roman"/>
          <w:noProof/>
          <w:color w:val="000000" w:themeColor="text1"/>
          <w:sz w:val="24"/>
          <w:szCs w:val="24"/>
          <w:lang w:eastAsia="ru-RU"/>
        </w:rPr>
        <w:instrText>данный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момент отсутствует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инновационное </w:instrText>
      </w:r>
      <w:r w:rsidRPr="007E1000">
        <w:rPr>
          <w:rFonts w:ascii="Times New Roman" w:eastAsia="Times New Roman" w:hAnsi="Times New Roman" w:cs="Times New Roman"/>
          <w:noProof/>
          <w:color w:val="000000" w:themeColor="text1"/>
          <w:sz w:val="24"/>
          <w:szCs w:val="24"/>
          <w:lang w:eastAsia="ru-RU"/>
        </w:rPr>
        <w:instrText>спрос</w:instrText>
      </w:r>
      <w:r w:rsidRPr="007E1000">
        <w:rPr>
          <w:rFonts w:ascii="Times New Roman" w:eastAsia="Times New Roman" w:hAnsi="Times New Roman" w:cs="Times New Roman"/>
          <w:noProof/>
          <w:color w:val="FFFFFF"/>
          <w:spacing w:val="-20000"/>
          <w:sz w:val="24"/>
          <w:szCs w:val="24"/>
        </w:rPr>
        <w:instrText> 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 научные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прикладные</w:instrText>
      </w:r>
      <w:r w:rsidRPr="007E1000">
        <w:rPr>
          <w:rFonts w:ascii="Times New Roman" w:eastAsia="Times New Roman" w:hAnsi="Times New Roman" w:cs="Times New Roman"/>
          <w:noProof/>
          <w:color w:val="FFFFFF"/>
          <w:spacing w:val="-20000"/>
          <w:sz w:val="24"/>
          <w:szCs w:val="24"/>
        </w:rPr>
        <w:instrText> типу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исследования и инновации,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инновационный </w:instrText>
      </w:r>
      <w:r w:rsidRPr="007E1000">
        <w:rPr>
          <w:rFonts w:ascii="Times New Roman" w:eastAsia="Times New Roman" w:hAnsi="Times New Roman" w:cs="Times New Roman"/>
          <w:noProof/>
          <w:color w:val="000000" w:themeColor="text1"/>
          <w:sz w:val="24"/>
          <w:szCs w:val="24"/>
          <w:lang w:eastAsia="ru-RU"/>
        </w:rPr>
        <w:instrText>которыми</w:instrText>
      </w:r>
      <w:r w:rsidRPr="007E1000">
        <w:rPr>
          <w:rFonts w:ascii="Times New Roman" w:eastAsia="Times New Roman" w:hAnsi="Times New Roman" w:cs="Times New Roman"/>
          <w:noProof/>
          <w:color w:val="FFFFFF"/>
          <w:spacing w:val="-20000"/>
          <w:sz w:val="24"/>
          <w:szCs w:val="24"/>
        </w:rPr>
        <w:instrText> вопрос</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должны заниматься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forum </w:instrText>
      </w:r>
      <w:r w:rsidRPr="007E1000">
        <w:rPr>
          <w:rFonts w:ascii="Times New Roman" w:eastAsia="Times New Roman" w:hAnsi="Times New Roman" w:cs="Times New Roman"/>
          <w:noProof/>
          <w:color w:val="000000" w:themeColor="text1"/>
          <w:sz w:val="24"/>
          <w:szCs w:val="24"/>
          <w:lang w:eastAsia="ru-RU"/>
        </w:rPr>
        <w:instrText>прикладные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отраслевые научно-исследовательские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общих </w:instrText>
      </w:r>
      <w:r w:rsidRPr="007E1000">
        <w:rPr>
          <w:rFonts w:ascii="Times New Roman" w:eastAsia="Times New Roman" w:hAnsi="Times New Roman" w:cs="Times New Roman"/>
          <w:noProof/>
          <w:color w:val="000000" w:themeColor="text1"/>
          <w:sz w:val="24"/>
          <w:szCs w:val="24"/>
          <w:lang w:eastAsia="ru-RU"/>
        </w:rPr>
        <w:instrText>институты</w:instrText>
      </w:r>
      <w:r w:rsidRPr="007E1000">
        <w:rPr>
          <w:rFonts w:ascii="Times New Roman" w:eastAsia="Times New Roman" w:hAnsi="Times New Roman" w:cs="Times New Roman"/>
          <w:noProof/>
          <w:color w:val="FFFFFF"/>
          <w:spacing w:val="-20000"/>
          <w:sz w:val="24"/>
          <w:szCs w:val="24"/>
        </w:rPr>
        <w:instrText> инновационного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 сегодняшний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день</w:instrText>
      </w:r>
      <w:r w:rsidRPr="007E1000">
        <w:rPr>
          <w:rFonts w:ascii="Times New Roman" w:eastAsia="Times New Roman" w:hAnsi="Times New Roman" w:cs="Times New Roman"/>
          <w:noProof/>
          <w:color w:val="FFFFFF"/>
          <w:spacing w:val="-20000"/>
          <w:sz w:val="24"/>
          <w:szCs w:val="24"/>
        </w:rPr>
        <w:instrText> сферу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от фундаментальной науки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мотивация </w:instrText>
      </w:r>
      <w:r w:rsidRPr="007E1000">
        <w:rPr>
          <w:rFonts w:ascii="Times New Roman" w:eastAsia="Times New Roman" w:hAnsi="Times New Roman" w:cs="Times New Roman"/>
          <w:noProof/>
          <w:color w:val="000000" w:themeColor="text1"/>
          <w:sz w:val="24"/>
          <w:szCs w:val="24"/>
          <w:lang w:eastAsia="ru-RU"/>
        </w:rPr>
        <w:instrText>требуют</w:instrText>
      </w:r>
      <w:r w:rsidRPr="007E1000">
        <w:rPr>
          <w:rFonts w:ascii="Times New Roman" w:eastAsia="Times New Roman" w:hAnsi="Times New Roman" w:cs="Times New Roman"/>
          <w:noProof/>
          <w:color w:val="FFFFFF"/>
          <w:spacing w:val="-20000"/>
          <w:sz w:val="24"/>
          <w:szCs w:val="24"/>
        </w:rPr>
        <w:instrText> вающие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прикладных исследований, что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ствует </w:instrText>
      </w:r>
      <w:r w:rsidRPr="007E1000">
        <w:rPr>
          <w:rFonts w:ascii="Times New Roman" w:eastAsia="Times New Roman" w:hAnsi="Times New Roman" w:cs="Times New Roman"/>
          <w:noProof/>
          <w:color w:val="000000" w:themeColor="text1"/>
          <w:sz w:val="24"/>
          <w:szCs w:val="24"/>
          <w:lang w:eastAsia="ru-RU"/>
        </w:rPr>
        <w:instrText>пагубно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 нее влияет, так как от ученых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влияет </w:instrText>
      </w:r>
      <w:r w:rsidRPr="007E1000">
        <w:rPr>
          <w:rFonts w:ascii="Times New Roman" w:eastAsia="Times New Roman" w:hAnsi="Times New Roman" w:cs="Times New Roman"/>
          <w:noProof/>
          <w:color w:val="000000" w:themeColor="text1"/>
          <w:sz w:val="24"/>
          <w:szCs w:val="24"/>
          <w:lang w:eastAsia="ru-RU"/>
        </w:rPr>
        <w:instrText>требуют</w:instrText>
      </w:r>
      <w:r w:rsidRPr="007E1000">
        <w:rPr>
          <w:rFonts w:ascii="Times New Roman" w:eastAsia="Times New Roman" w:hAnsi="Times New Roman" w:cs="Times New Roman"/>
          <w:noProof/>
          <w:color w:val="FFFFFF"/>
          <w:spacing w:val="-20000"/>
          <w:sz w:val="24"/>
          <w:szCs w:val="24"/>
        </w:rPr>
        <w:instrText> российской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такого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продукта</w:instrText>
      </w:r>
      <w:r w:rsidRPr="007E1000">
        <w:rPr>
          <w:rFonts w:ascii="Times New Roman" w:eastAsia="Times New Roman" w:hAnsi="Times New Roman" w:cs="Times New Roman"/>
          <w:noProof/>
          <w:color w:val="FFFFFF"/>
          <w:spacing w:val="-20000"/>
          <w:sz w:val="24"/>
          <w:szCs w:val="24"/>
        </w:rPr>
        <w:instrText> инновационного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 выпуску которого они не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инновационной </w:instrText>
      </w:r>
      <w:r w:rsidRPr="007E1000">
        <w:rPr>
          <w:rFonts w:ascii="Times New Roman" w:eastAsia="Times New Roman" w:hAnsi="Times New Roman" w:cs="Times New Roman"/>
          <w:noProof/>
          <w:color w:val="000000" w:themeColor="text1"/>
          <w:sz w:val="24"/>
          <w:szCs w:val="24"/>
          <w:lang w:eastAsia="ru-RU"/>
        </w:rPr>
        <w:instrText>адаптированы</w:instrText>
      </w:r>
      <w:r w:rsidRPr="007E1000">
        <w:rPr>
          <w:rFonts w:ascii="Times New Roman" w:eastAsia="Times New Roman" w:hAnsi="Times New Roman" w:cs="Times New Roman"/>
          <w:noProof/>
          <w:color w:val="FFFFFF"/>
          <w:spacing w:val="-20000"/>
          <w:sz w:val="24"/>
          <w:szCs w:val="24"/>
        </w:rPr>
        <w:instrText> различных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результате, государство не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равномерного </w:instrText>
      </w:r>
      <w:r w:rsidRPr="007E1000">
        <w:rPr>
          <w:rFonts w:ascii="Times New Roman" w:eastAsia="Times New Roman" w:hAnsi="Times New Roman" w:cs="Times New Roman"/>
          <w:noProof/>
          <w:color w:val="000000" w:themeColor="text1"/>
          <w:sz w:val="24"/>
          <w:szCs w:val="24"/>
          <w:lang w:eastAsia="ru-RU"/>
        </w:rPr>
        <w:instrText>знает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что делать с наукой. Для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развития </w:instrText>
      </w:r>
      <w:r w:rsidRPr="007E1000">
        <w:rPr>
          <w:rFonts w:ascii="Times New Roman" w:eastAsia="Times New Roman" w:hAnsi="Times New Roman" w:cs="Times New Roman"/>
          <w:noProof/>
          <w:color w:val="000000" w:themeColor="text1"/>
          <w:sz w:val="24"/>
          <w:szCs w:val="24"/>
          <w:lang w:eastAsia="ru-RU"/>
        </w:rPr>
        <w:instrText>решения</w:instrText>
      </w:r>
      <w:r w:rsidRPr="007E1000">
        <w:rPr>
          <w:rFonts w:ascii="Times New Roman" w:eastAsia="Times New Roman" w:hAnsi="Times New Roman" w:cs="Times New Roman"/>
          <w:noProof/>
          <w:color w:val="FFFFFF"/>
          <w:spacing w:val="-20000"/>
          <w:sz w:val="24"/>
          <w:szCs w:val="24"/>
        </w:rPr>
        <w:instrText> динамике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данной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проблемы</w:instrText>
      </w:r>
      <w:r w:rsidRPr="007E1000">
        <w:rPr>
          <w:rFonts w:ascii="Times New Roman" w:eastAsia="Times New Roman" w:hAnsi="Times New Roman" w:cs="Times New Roman"/>
          <w:noProof/>
          <w:color w:val="FFFFFF"/>
          <w:spacing w:val="-20000"/>
          <w:sz w:val="24"/>
          <w:szCs w:val="24"/>
        </w:rPr>
        <w:instrText> другие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становится необходимым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положения </w:instrText>
      </w:r>
      <w:r w:rsidRPr="007E1000">
        <w:rPr>
          <w:rFonts w:ascii="Times New Roman" w:eastAsia="Times New Roman" w:hAnsi="Times New Roman" w:cs="Times New Roman"/>
          <w:noProof/>
          <w:color w:val="000000" w:themeColor="text1"/>
          <w:sz w:val="24"/>
          <w:szCs w:val="24"/>
          <w:lang w:eastAsia="ru-RU"/>
        </w:rPr>
        <w:instrText>стимулирование</w:instrText>
      </w:r>
      <w:r w:rsidRPr="007E1000">
        <w:rPr>
          <w:rFonts w:ascii="Times New Roman" w:eastAsia="Times New Roman" w:hAnsi="Times New Roman" w:cs="Times New Roman"/>
          <w:noProof/>
          <w:color w:val="FFFFFF"/>
          <w:spacing w:val="-20000"/>
          <w:sz w:val="24"/>
          <w:szCs w:val="24"/>
        </w:rPr>
        <w:instrText> ствуют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развития прикладных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россия </w:instrText>
      </w:r>
      <w:r w:rsidRPr="007E1000">
        <w:rPr>
          <w:rFonts w:ascii="Times New Roman" w:eastAsia="Times New Roman" w:hAnsi="Times New Roman" w:cs="Times New Roman"/>
          <w:noProof/>
          <w:color w:val="000000" w:themeColor="text1"/>
          <w:sz w:val="24"/>
          <w:szCs w:val="24"/>
          <w:lang w:eastAsia="ru-RU"/>
        </w:rPr>
        <w:instrText>исследований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 предприятиях.</w:t>
      </w:r>
    </w:p>
    <w:p w14:paraId="3675CDF4" w14:textId="77777777" w:rsidR="007E1000" w:rsidRPr="007E1000" w:rsidRDefault="007E1000" w:rsidP="007E1000">
      <w:pPr>
        <w:shd w:val="clear" w:color="auto" w:fill="FFFFFF"/>
        <w:spacing w:line="240" w:lineRule="auto"/>
        <w:jc w:val="both"/>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Главное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инновационного </w:instrText>
      </w:r>
      <w:r w:rsidRPr="007E1000">
        <w:rPr>
          <w:rFonts w:ascii="Times New Roman" w:eastAsia="Times New Roman" w:hAnsi="Times New Roman" w:cs="Times New Roman"/>
          <w:noProof/>
          <w:color w:val="000000" w:themeColor="text1"/>
          <w:sz w:val="24"/>
          <w:szCs w:val="24"/>
          <w:lang w:eastAsia="ru-RU"/>
        </w:rPr>
        <w:instrText>преимущество</w:instrText>
      </w:r>
      <w:r w:rsidRPr="007E1000">
        <w:rPr>
          <w:rFonts w:ascii="Times New Roman" w:eastAsia="Times New Roman" w:hAnsi="Times New Roman" w:cs="Times New Roman"/>
          <w:noProof/>
          <w:color w:val="FFFFFF"/>
          <w:spacing w:val="-20000"/>
          <w:sz w:val="24"/>
          <w:szCs w:val="24"/>
          <w:lang w:eastAsia="ru-RU"/>
        </w:rPr>
        <w:instrText> стами</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по </w:t>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части</w:instrText>
      </w:r>
      <w:r w:rsidRPr="007E1000">
        <w:rPr>
          <w:rFonts w:ascii="Times New Roman" w:eastAsia="Times New Roman" w:hAnsi="Times New Roman" w:cs="Times New Roman"/>
          <w:noProof/>
          <w:color w:val="FFFFFF"/>
          <w:spacing w:val="-20000"/>
          <w:sz w:val="24"/>
          <w:szCs w:val="24"/>
          <w:lang w:eastAsia="ru-RU"/>
        </w:rPr>
        <w:instrText> инновационный</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развития </w:t>
      </w:r>
      <w:r w:rsidRPr="630840AF">
        <w:rPr>
          <w:lang w:eastAsia="ru-RU"/>
        </w:rPr>
        <w:t>￼</w:t>
      </w:r>
      <w:r w:rsidRPr="007E1000">
        <w:rPr>
          <w:rFonts w:ascii="Times New Roman" w:eastAsia="Times New Roman" w:hAnsi="Times New Roman" w:cs="Times New Roman"/>
          <w:color w:val="000000" w:themeColor="text1"/>
          <w:sz w:val="24"/>
          <w:szCs w:val="24"/>
          <w:lang w:eastAsia="ru-RU"/>
        </w:rPr>
        <w:t xml:space="preserve"> в силе научной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обеспечения </w:instrText>
      </w:r>
      <w:r w:rsidRPr="007E1000">
        <w:rPr>
          <w:rFonts w:ascii="Times New Roman" w:eastAsia="Times New Roman" w:hAnsi="Times New Roman" w:cs="Times New Roman"/>
          <w:noProof/>
          <w:color w:val="000000" w:themeColor="text1"/>
          <w:sz w:val="24"/>
          <w:szCs w:val="24"/>
          <w:lang w:eastAsia="ru-RU"/>
        </w:rPr>
        <w:instrText>состоит</w:instrText>
      </w:r>
      <w:r w:rsidRPr="007E1000">
        <w:rPr>
          <w:rFonts w:ascii="Times New Roman" w:eastAsia="Times New Roman" w:hAnsi="Times New Roman" w:cs="Times New Roman"/>
          <w:noProof/>
          <w:color w:val="FFFFFF"/>
          <w:spacing w:val="-20000"/>
          <w:sz w:val="24"/>
          <w:szCs w:val="24"/>
          <w:lang w:eastAsia="ru-RU"/>
        </w:rPr>
        <w:instrText> разработана</w:instrText>
      </w:r>
      <w:r w:rsidRPr="007E1000">
        <w:rPr>
          <w:rFonts w:ascii="Times New Roman" w:eastAsia="Times New Roman" w:hAnsi="Times New Roman" w:cs="Times New Roman"/>
          <w:sz w:val="24"/>
          <w:szCs w:val="24"/>
          <w:lang w:eastAsia="ru-RU"/>
        </w:rPr>
        <w:fldChar w:fldCharType="end"/>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способность </w:instrText>
      </w:r>
      <w:r w:rsidRPr="007E1000">
        <w:rPr>
          <w:rFonts w:ascii="Times New Roman" w:eastAsia="Times New Roman" w:hAnsi="Times New Roman" w:cs="Times New Roman"/>
          <w:noProof/>
          <w:color w:val="000000" w:themeColor="text1"/>
          <w:sz w:val="24"/>
          <w:szCs w:val="24"/>
          <w:lang w:eastAsia="ru-RU"/>
        </w:rPr>
        <w:instrText>школы</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представляет российская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реализовать </w:instrText>
      </w:r>
      <w:r w:rsidRPr="007E1000">
        <w:rPr>
          <w:rFonts w:ascii="Times New Roman" w:eastAsia="Times New Roman" w:hAnsi="Times New Roman" w:cs="Times New Roman"/>
          <w:noProof/>
          <w:color w:val="000000" w:themeColor="text1"/>
          <w:sz w:val="24"/>
          <w:szCs w:val="24"/>
          <w:lang w:eastAsia="ru-RU"/>
        </w:rPr>
        <w:instrText>четкого</w:instrText>
      </w:r>
      <w:r w:rsidRPr="007E1000">
        <w:rPr>
          <w:rFonts w:ascii="Times New Roman" w:eastAsia="Times New Roman" w:hAnsi="Times New Roman" w:cs="Times New Roman"/>
          <w:noProof/>
          <w:color w:val="FFFFFF"/>
          <w:spacing w:val="-20000"/>
          <w:sz w:val="24"/>
          <w:szCs w:val="24"/>
          <w:lang w:eastAsia="ru-RU"/>
        </w:rPr>
        <w:instrText> инновационного</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не позволяет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решения </w:instrText>
      </w:r>
      <w:r w:rsidRPr="007E1000">
        <w:rPr>
          <w:rFonts w:ascii="Times New Roman" w:eastAsia="Times New Roman" w:hAnsi="Times New Roman" w:cs="Times New Roman"/>
          <w:noProof/>
          <w:color w:val="000000" w:themeColor="text1"/>
          <w:sz w:val="24"/>
          <w:szCs w:val="24"/>
          <w:lang w:eastAsia="ru-RU"/>
        </w:rPr>
        <w:instrText>себя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о</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себя </w:instrText>
      </w:r>
      <w:r w:rsidRPr="007E1000">
        <w:rPr>
          <w:rFonts w:ascii="Times New Roman" w:eastAsia="Times New Roman" w:hAnsi="Times New Roman" w:cs="Times New Roman"/>
          <w:noProof/>
          <w:color w:val="000000" w:themeColor="text1"/>
          <w:sz w:val="24"/>
          <w:szCs w:val="24"/>
          <w:lang w:eastAsia="ru-RU"/>
        </w:rPr>
        <w:instrText>наука</w:instrText>
      </w:r>
      <w:r w:rsidRPr="007E1000">
        <w:rPr>
          <w:rFonts w:ascii="Times New Roman" w:eastAsia="Times New Roman" w:hAnsi="Times New Roman" w:cs="Times New Roman"/>
          <w:noProof/>
          <w:color w:val="FFFFFF"/>
          <w:spacing w:val="-20000"/>
          <w:sz w:val="24"/>
          <w:szCs w:val="24"/>
          <w:lang w:eastAsia="ru-RU"/>
        </w:rPr>
        <w:instrText> связано</w:instrText>
      </w:r>
      <w:r w:rsidRPr="007E1000">
        <w:rPr>
          <w:rFonts w:ascii="Times New Roman" w:eastAsia="Times New Roman" w:hAnsi="Times New Roman" w:cs="Times New Roman"/>
          <w:sz w:val="24"/>
          <w:szCs w:val="24"/>
          <w:lang w:eastAsia="ru-RU"/>
        </w:rPr>
        <w:fldChar w:fldCharType="end"/>
      </w:r>
      <w:r w:rsidRPr="630840AF">
        <w:rPr>
          <w:rFonts w:ascii="Times New Roman" w:eastAsia="Times New Roman" w:hAnsi="Times New Roman" w:cs="Times New Roman"/>
          <w:color w:val="000000" w:themeColor="text1"/>
          <w:sz w:val="24"/>
          <w:szCs w:val="24"/>
          <w:lang w:eastAsia="ru-RU"/>
        </w:rPr>
        <w:t xml:space="preserve"> инновационном потенциале </w:t>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сделать</w:instrText>
      </w:r>
      <w:r w:rsidRPr="007E1000">
        <w:rPr>
          <w:rFonts w:ascii="Times New Roman" w:eastAsia="Times New Roman" w:hAnsi="Times New Roman" w:cs="Times New Roman"/>
          <w:noProof/>
          <w:color w:val="FFFFFF"/>
          <w:spacing w:val="-20000"/>
          <w:sz w:val="24"/>
          <w:szCs w:val="24"/>
          <w:lang w:eastAsia="ru-RU"/>
        </w:rPr>
        <w:instrText> следующих</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задача </w:t>
      </w:r>
      <w:r w:rsidRPr="630840AF">
        <w:rPr>
          <w:lang w:eastAsia="ru-RU"/>
        </w:rPr>
        <w:t>￼</w:t>
      </w:r>
      <w:r w:rsidRPr="007E1000">
        <w:rPr>
          <w:rFonts w:ascii="Times New Roman" w:eastAsia="Times New Roman" w:hAnsi="Times New Roman" w:cs="Times New Roman"/>
          <w:color w:val="000000" w:themeColor="text1"/>
          <w:sz w:val="24"/>
          <w:szCs w:val="24"/>
          <w:lang w:eastAsia="ru-RU"/>
        </w:rPr>
        <w:t xml:space="preserve"> на инновационную модель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целом </w:instrText>
      </w:r>
      <w:r w:rsidRPr="007E1000">
        <w:rPr>
          <w:rFonts w:ascii="Times New Roman" w:eastAsia="Times New Roman" w:hAnsi="Times New Roman" w:cs="Times New Roman"/>
          <w:noProof/>
          <w:color w:val="000000" w:themeColor="text1"/>
          <w:sz w:val="24"/>
          <w:szCs w:val="24"/>
          <w:lang w:eastAsia="ru-RU"/>
        </w:rPr>
        <w:instrText>высоком</w:instrText>
      </w:r>
      <w:r w:rsidRPr="007E1000">
        <w:rPr>
          <w:rFonts w:ascii="Times New Roman" w:eastAsia="Times New Roman" w:hAnsi="Times New Roman" w:cs="Times New Roman"/>
          <w:noProof/>
          <w:color w:val="FFFFFF"/>
          <w:spacing w:val="-20000"/>
          <w:sz w:val="24"/>
          <w:szCs w:val="24"/>
          <w:lang w:eastAsia="ru-RU"/>
        </w:rPr>
        <w:instrText> классификация</w:instrText>
      </w:r>
      <w:r w:rsidRPr="007E1000">
        <w:rPr>
          <w:rFonts w:ascii="Times New Roman" w:eastAsia="Times New Roman" w:hAnsi="Times New Roman" w:cs="Times New Roman"/>
          <w:sz w:val="24"/>
          <w:szCs w:val="24"/>
          <w:lang w:eastAsia="ru-RU"/>
        </w:rPr>
        <w:fldChar w:fldCharType="end"/>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базир </w:instrText>
      </w:r>
      <w:r w:rsidRPr="007E1000">
        <w:rPr>
          <w:rFonts w:ascii="Times New Roman" w:eastAsia="Times New Roman" w:hAnsi="Times New Roman" w:cs="Times New Roman"/>
          <w:noProof/>
          <w:color w:val="000000" w:themeColor="text1"/>
          <w:sz w:val="24"/>
          <w:szCs w:val="24"/>
          <w:lang w:eastAsia="ru-RU"/>
        </w:rPr>
        <w:instrText>экономики</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Сегодня перед Россией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предп </w:instrText>
      </w:r>
      <w:r w:rsidRPr="007E1000">
        <w:rPr>
          <w:rFonts w:ascii="Times New Roman" w:eastAsia="Times New Roman" w:hAnsi="Times New Roman" w:cs="Times New Roman"/>
          <w:noProof/>
          <w:color w:val="000000" w:themeColor="text1"/>
          <w:sz w:val="24"/>
          <w:szCs w:val="24"/>
          <w:lang w:eastAsia="ru-RU"/>
        </w:rPr>
        <w:instrText>стоит</w:instrText>
      </w:r>
      <w:r w:rsidRPr="007E1000">
        <w:rPr>
          <w:rFonts w:ascii="Times New Roman" w:eastAsia="Times New Roman" w:hAnsi="Times New Roman" w:cs="Times New Roman"/>
          <w:noProof/>
          <w:color w:val="FFFFFF"/>
          <w:spacing w:val="-20000"/>
          <w:sz w:val="24"/>
          <w:szCs w:val="24"/>
          <w:lang w:eastAsia="ru-RU"/>
        </w:rPr>
        <w:instrText> большой</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задача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перехода</w:instrText>
      </w:r>
      <w:r w:rsidRPr="007E1000">
        <w:rPr>
          <w:rFonts w:ascii="Times New Roman" w:eastAsia="Times New Roman" w:hAnsi="Times New Roman" w:cs="Times New Roman"/>
          <w:noProof/>
          <w:color w:val="FFFFFF"/>
          <w:spacing w:val="-20000"/>
          <w:sz w:val="24"/>
          <w:szCs w:val="24"/>
          <w:lang w:eastAsia="ru-RU"/>
        </w:rPr>
        <w:instrText> типу</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на инновационную модель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вобождения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noProof/>
          <w:color w:val="FFFFFF"/>
          <w:spacing w:val="-20000"/>
          <w:sz w:val="24"/>
          <w:szCs w:val="24"/>
          <w:lang w:eastAsia="ru-RU"/>
        </w:rPr>
        <w:instrText> этого</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путем формирования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инновационного </w:instrText>
      </w:r>
      <w:r w:rsidRPr="007E1000">
        <w:rPr>
          <w:rFonts w:ascii="Times New Roman" w:eastAsia="Times New Roman" w:hAnsi="Times New Roman" w:cs="Times New Roman"/>
          <w:noProof/>
          <w:color w:val="000000" w:themeColor="text1"/>
          <w:sz w:val="24"/>
          <w:szCs w:val="24"/>
          <w:lang w:eastAsia="ru-RU"/>
        </w:rPr>
        <w:instrText>инновационной</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экономики.</w:t>
      </w:r>
    </w:p>
    <w:p w14:paraId="4FA820D8"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Общеизвестно, что уже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поэтому </w:instrText>
      </w:r>
      <w:r w:rsidRPr="007E1000">
        <w:rPr>
          <w:rFonts w:ascii="Times New Roman" w:eastAsia="Times New Roman" w:hAnsi="Times New Roman" w:cs="Times New Roman"/>
          <w:noProof/>
          <w:color w:val="000000" w:themeColor="text1"/>
          <w:sz w:val="24"/>
          <w:szCs w:val="24"/>
          <w:lang w:eastAsia="ru-RU"/>
        </w:rPr>
        <w:instrText>существует</w:instrText>
      </w:r>
      <w:r w:rsidRPr="007E1000">
        <w:rPr>
          <w:rFonts w:ascii="Times New Roman" w:eastAsia="Times New Roman" w:hAnsi="Times New Roman" w:cs="Times New Roman"/>
          <w:noProof/>
          <w:color w:val="FFFFFF"/>
          <w:spacing w:val="-20000"/>
          <w:sz w:val="24"/>
          <w:szCs w:val="24"/>
        </w:rPr>
        <w:instrText> гунин</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стратегия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noProof/>
          <w:color w:val="FFFFFF"/>
          <w:spacing w:val="-20000"/>
          <w:sz w:val="24"/>
          <w:szCs w:val="24"/>
        </w:rPr>
        <w:instrText> такое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страны до 2020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максимально </w:instrText>
      </w:r>
      <w:r w:rsidRPr="007E1000">
        <w:rPr>
          <w:rFonts w:ascii="Times New Roman" w:eastAsia="Times New Roman" w:hAnsi="Times New Roman" w:cs="Times New Roman"/>
          <w:noProof/>
          <w:color w:val="000000" w:themeColor="text1"/>
          <w:sz w:val="24"/>
          <w:szCs w:val="24"/>
          <w:lang w:eastAsia="ru-RU"/>
        </w:rPr>
        <w:instrText>года</w:instrText>
      </w:r>
      <w:r w:rsidRPr="007E1000">
        <w:rPr>
          <w:rFonts w:ascii="Times New Roman" w:eastAsia="Times New Roman" w:hAnsi="Times New Roman" w:cs="Times New Roman"/>
          <w:noProof/>
          <w:color w:val="FFFFFF"/>
          <w:spacing w:val="-20000"/>
          <w:sz w:val="24"/>
          <w:szCs w:val="24"/>
        </w:rPr>
        <w:instrText> получения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где определены основные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поэтому </w:instrText>
      </w:r>
      <w:r w:rsidRPr="007E1000">
        <w:rPr>
          <w:rFonts w:ascii="Times New Roman" w:eastAsia="Times New Roman" w:hAnsi="Times New Roman" w:cs="Times New Roman"/>
          <w:noProof/>
          <w:color w:val="000000" w:themeColor="text1"/>
          <w:sz w:val="24"/>
          <w:szCs w:val="24"/>
          <w:lang w:eastAsia="ru-RU"/>
        </w:rPr>
        <w:instrText>факторы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помогающие такому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камнерезного </w:instrText>
      </w:r>
      <w:r w:rsidRPr="007E1000">
        <w:rPr>
          <w:rFonts w:ascii="Times New Roman" w:eastAsia="Times New Roman" w:hAnsi="Times New Roman" w:cs="Times New Roman"/>
          <w:noProof/>
          <w:color w:val="000000" w:themeColor="text1"/>
          <w:sz w:val="24"/>
          <w:szCs w:val="24"/>
          <w:lang w:eastAsia="ru-RU"/>
        </w:rPr>
        <w:instrText>развитию</w:instrText>
      </w:r>
      <w:r w:rsidRPr="007E1000">
        <w:rPr>
          <w:rFonts w:ascii="Times New Roman" w:eastAsia="Times New Roman" w:hAnsi="Times New Roman" w:cs="Times New Roman"/>
          <w:noProof/>
          <w:color w:val="FFFFFF"/>
          <w:spacing w:val="-20000"/>
          <w:sz w:val="24"/>
          <w:szCs w:val="24"/>
        </w:rPr>
        <w:instrText> научный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 2020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году</w:instrText>
      </w:r>
      <w:r w:rsidRPr="007E1000">
        <w:rPr>
          <w:rFonts w:ascii="Times New Roman" w:eastAsia="Times New Roman" w:hAnsi="Times New Roman" w:cs="Times New Roman"/>
          <w:noProof/>
          <w:color w:val="FFFFFF"/>
          <w:spacing w:val="-20000"/>
          <w:sz w:val="24"/>
          <w:szCs w:val="24"/>
        </w:rPr>
        <w:instrText> данный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показатели экономики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чает </w:instrText>
      </w:r>
      <w:r w:rsidRPr="007E1000">
        <w:rPr>
          <w:rFonts w:ascii="Times New Roman" w:eastAsia="Times New Roman" w:hAnsi="Times New Roman" w:cs="Times New Roman"/>
          <w:noProof/>
          <w:color w:val="000000" w:themeColor="text1"/>
          <w:sz w:val="24"/>
          <w:szCs w:val="24"/>
          <w:lang w:eastAsia="ru-RU"/>
        </w:rPr>
        <w:instrText>России</w:instrText>
      </w:r>
      <w:r w:rsidRPr="007E1000">
        <w:rPr>
          <w:rFonts w:ascii="Times New Roman" w:eastAsia="Times New Roman" w:hAnsi="Times New Roman" w:cs="Times New Roman"/>
          <w:noProof/>
          <w:color w:val="FFFFFF"/>
          <w:spacing w:val="-20000"/>
          <w:sz w:val="24"/>
          <w:szCs w:val="24"/>
        </w:rPr>
        <w:instrText> возможности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должны иметь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реализовать </w:instrText>
      </w:r>
      <w:r w:rsidRPr="007E1000">
        <w:rPr>
          <w:rFonts w:ascii="Times New Roman" w:eastAsia="Times New Roman" w:hAnsi="Times New Roman" w:cs="Times New Roman"/>
          <w:noProof/>
          <w:color w:val="000000" w:themeColor="text1"/>
          <w:sz w:val="24"/>
          <w:szCs w:val="24"/>
          <w:lang w:eastAsia="ru-RU"/>
        </w:rPr>
        <w:instrText>следующий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вид: значительная доля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секторов </w:instrText>
      </w:r>
      <w:r w:rsidRPr="007E1000">
        <w:rPr>
          <w:rFonts w:ascii="Times New Roman" w:eastAsia="Times New Roman" w:hAnsi="Times New Roman" w:cs="Times New Roman"/>
          <w:noProof/>
          <w:color w:val="000000" w:themeColor="text1"/>
          <w:sz w:val="24"/>
          <w:szCs w:val="24"/>
          <w:lang w:eastAsia="ru-RU"/>
        </w:rPr>
        <w:instrText>(8-14%)</w:instrText>
      </w:r>
      <w:r w:rsidRPr="007E1000">
        <w:rPr>
          <w:rFonts w:ascii="Times New Roman" w:eastAsia="Times New Roman" w:hAnsi="Times New Roman" w:cs="Times New Roman"/>
          <w:noProof/>
          <w:color w:val="FFFFFF"/>
          <w:spacing w:val="-20000"/>
          <w:sz w:val="24"/>
          <w:szCs w:val="24"/>
        </w:rPr>
        <w:instrText> основе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высокотехнологичных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услуг</w:instrText>
      </w:r>
      <w:r w:rsidRPr="007E1000">
        <w:rPr>
          <w:rFonts w:ascii="Times New Roman" w:eastAsia="Times New Roman" w:hAnsi="Times New Roman" w:cs="Times New Roman"/>
          <w:noProof/>
          <w:color w:val="FFFFFF"/>
          <w:spacing w:val="-20000"/>
          <w:sz w:val="24"/>
          <w:szCs w:val="24"/>
        </w:rPr>
        <w:instrText> инновационный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увеличение в два-три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средством </w:instrText>
      </w:r>
      <w:r w:rsidRPr="007E1000">
        <w:rPr>
          <w:rFonts w:ascii="Times New Roman" w:eastAsia="Times New Roman" w:hAnsi="Times New Roman" w:cs="Times New Roman"/>
          <w:noProof/>
          <w:color w:val="000000" w:themeColor="text1"/>
          <w:sz w:val="24"/>
          <w:szCs w:val="24"/>
          <w:lang w:eastAsia="ru-RU"/>
        </w:rPr>
        <w:instrText>раза</w:instrText>
      </w:r>
      <w:r w:rsidRPr="007E1000">
        <w:rPr>
          <w:rFonts w:ascii="Times New Roman" w:eastAsia="Times New Roman" w:hAnsi="Times New Roman" w:cs="Times New Roman"/>
          <w:noProof/>
          <w:color w:val="FFFFFF"/>
          <w:spacing w:val="-20000"/>
          <w:sz w:val="24"/>
          <w:szCs w:val="24"/>
        </w:rPr>
        <w:instrText> целью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доли инновационного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значению </w:instrText>
      </w:r>
      <w:r w:rsidRPr="007E1000">
        <w:rPr>
          <w:rFonts w:ascii="Times New Roman" w:eastAsia="Times New Roman" w:hAnsi="Times New Roman" w:cs="Times New Roman"/>
          <w:noProof/>
          <w:color w:val="000000" w:themeColor="text1"/>
          <w:sz w:val="24"/>
          <w:szCs w:val="24"/>
          <w:lang w:eastAsia="ru-RU"/>
        </w:rPr>
        <w:instrText>сектора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ВВП (с 10,8 до 19%), рост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конодательной </w:instrText>
      </w:r>
      <w:r w:rsidRPr="007E1000">
        <w:rPr>
          <w:rFonts w:ascii="Times New Roman" w:eastAsia="Times New Roman" w:hAnsi="Times New Roman" w:cs="Times New Roman"/>
          <w:noProof/>
          <w:color w:val="000000" w:themeColor="text1"/>
          <w:sz w:val="24"/>
          <w:szCs w:val="24"/>
          <w:lang w:eastAsia="ru-RU"/>
        </w:rPr>
        <w:instrText>примерно</w:instrText>
      </w:r>
      <w:r w:rsidRPr="007E1000">
        <w:rPr>
          <w:rFonts w:ascii="Times New Roman" w:eastAsia="Times New Roman" w:hAnsi="Times New Roman" w:cs="Times New Roman"/>
          <w:noProof/>
          <w:color w:val="FFFFFF"/>
          <w:spacing w:val="-20000"/>
          <w:sz w:val="24"/>
          <w:szCs w:val="24"/>
        </w:rPr>
        <w:instrText> целью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пять-шесть раз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доли</w:instrText>
      </w:r>
      <w:r w:rsidRPr="007E1000">
        <w:rPr>
          <w:rFonts w:ascii="Times New Roman" w:eastAsia="Times New Roman" w:hAnsi="Times New Roman" w:cs="Times New Roman"/>
          <w:noProof/>
          <w:color w:val="FFFFFF"/>
          <w:spacing w:val="-20000"/>
          <w:sz w:val="24"/>
          <w:szCs w:val="24"/>
        </w:rPr>
        <w:instrText> innovation</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инновационной продукции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тического </w:instrText>
      </w:r>
      <w:r w:rsidRPr="007E1000">
        <w:rPr>
          <w:rFonts w:ascii="Times New Roman" w:eastAsia="Times New Roman" w:hAnsi="Times New Roman" w:cs="Times New Roman"/>
          <w:noProof/>
          <w:color w:val="000000" w:themeColor="text1"/>
          <w:sz w:val="24"/>
          <w:szCs w:val="24"/>
          <w:lang w:eastAsia="ru-RU"/>
        </w:rPr>
        <w:instrText>выпуске</w:instrText>
      </w:r>
      <w:r w:rsidRPr="007E1000">
        <w:rPr>
          <w:rFonts w:ascii="Times New Roman" w:eastAsia="Times New Roman" w:hAnsi="Times New Roman" w:cs="Times New Roman"/>
          <w:noProof/>
          <w:color w:val="FFFFFF"/>
          <w:spacing w:val="-20000"/>
          <w:sz w:val="24"/>
          <w:szCs w:val="24"/>
        </w:rPr>
        <w:instrText> дополнительных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промышленности и т.д. [1, с. 19]</w:t>
      </w:r>
    </w:p>
    <w:p w14:paraId="24E58578"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rPr>
      </w:pPr>
      <w:r w:rsidRPr="007E1000">
        <w:rPr>
          <w:rFonts w:ascii="Times New Roman" w:eastAsia="Times New Roman" w:hAnsi="Times New Roman" w:cs="Times New Roman"/>
          <w:color w:val="000000" w:themeColor="text1"/>
          <w:sz w:val="24"/>
          <w:szCs w:val="24"/>
          <w:lang w:eastAsia="ru-RU"/>
        </w:rPr>
        <w:t xml:space="preserve">Правительством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годах </w:instrText>
      </w:r>
      <w:r w:rsidRPr="007E1000">
        <w:rPr>
          <w:rFonts w:ascii="Times New Roman" w:eastAsia="Times New Roman" w:hAnsi="Times New Roman" w:cs="Times New Roman"/>
          <w:noProof/>
          <w:color w:val="000000" w:themeColor="text1"/>
          <w:sz w:val="24"/>
          <w:szCs w:val="24"/>
          <w:lang w:eastAsia="ru-RU"/>
        </w:rPr>
        <w:instrText>планируется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наращивание производительности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пока </w:instrText>
      </w:r>
      <w:r w:rsidRPr="007E1000">
        <w:rPr>
          <w:rFonts w:ascii="Times New Roman" w:eastAsia="Times New Roman" w:hAnsi="Times New Roman" w:cs="Times New Roman"/>
          <w:noProof/>
          <w:color w:val="000000" w:themeColor="text1"/>
          <w:sz w:val="24"/>
          <w:szCs w:val="24"/>
          <w:lang w:eastAsia="ru-RU"/>
        </w:rPr>
        <w:instrText>труда</w:instrText>
      </w:r>
      <w:r w:rsidRPr="007E1000">
        <w:rPr>
          <w:rFonts w:ascii="Times New Roman" w:eastAsia="Times New Roman" w:hAnsi="Times New Roman" w:cs="Times New Roman"/>
          <w:noProof/>
          <w:color w:val="FFFFFF"/>
          <w:spacing w:val="-20000"/>
          <w:sz w:val="24"/>
          <w:szCs w:val="24"/>
        </w:rPr>
        <w:instrText> время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примерно в 3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раза</w:instrText>
      </w:r>
      <w:r w:rsidRPr="007E1000">
        <w:rPr>
          <w:rFonts w:ascii="Times New Roman" w:eastAsia="Times New Roman" w:hAnsi="Times New Roman" w:cs="Times New Roman"/>
          <w:noProof/>
          <w:color w:val="FFFFFF"/>
          <w:spacing w:val="-20000"/>
          <w:sz w:val="24"/>
          <w:szCs w:val="24"/>
        </w:rPr>
        <w:instrText> руют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 среднегодовых темпах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внимание </w:instrText>
      </w:r>
      <w:r w:rsidRPr="007E1000">
        <w:rPr>
          <w:rFonts w:ascii="Times New Roman" w:eastAsia="Times New Roman" w:hAnsi="Times New Roman" w:cs="Times New Roman"/>
          <w:noProof/>
          <w:color w:val="000000" w:themeColor="text1"/>
          <w:sz w:val="24"/>
          <w:szCs w:val="24"/>
          <w:lang w:eastAsia="ru-RU"/>
        </w:rPr>
        <w:instrText>роста</w:instrText>
      </w:r>
      <w:r w:rsidRPr="007E1000">
        <w:rPr>
          <w:rFonts w:ascii="Times New Roman" w:eastAsia="Times New Roman" w:hAnsi="Times New Roman" w:cs="Times New Roman"/>
          <w:noProof/>
          <w:color w:val="FFFFFF"/>
          <w:spacing w:val="-20000"/>
          <w:sz w:val="24"/>
          <w:szCs w:val="24"/>
        </w:rPr>
        <w:instrText> российские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12,1%. На данный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большой </w:instrText>
      </w:r>
      <w:r w:rsidRPr="007E1000">
        <w:rPr>
          <w:rFonts w:ascii="Times New Roman" w:eastAsia="Times New Roman" w:hAnsi="Times New Roman" w:cs="Times New Roman"/>
          <w:noProof/>
          <w:color w:val="000000" w:themeColor="text1"/>
          <w:sz w:val="24"/>
          <w:szCs w:val="24"/>
          <w:lang w:eastAsia="ru-RU"/>
        </w:rPr>
        <w:instrText>момент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существует пять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изменения </w:instrText>
      </w:r>
      <w:r w:rsidRPr="007E1000">
        <w:rPr>
          <w:rFonts w:ascii="Times New Roman" w:eastAsia="Times New Roman" w:hAnsi="Times New Roman" w:cs="Times New Roman"/>
          <w:noProof/>
          <w:color w:val="000000" w:themeColor="text1"/>
          <w:sz w:val="24"/>
          <w:szCs w:val="24"/>
          <w:lang w:eastAsia="ru-RU"/>
        </w:rPr>
        <w:instrText>основных</w:instrText>
      </w:r>
      <w:r w:rsidRPr="007E1000">
        <w:rPr>
          <w:rFonts w:ascii="Times New Roman" w:eastAsia="Times New Roman" w:hAnsi="Times New Roman" w:cs="Times New Roman"/>
          <w:noProof/>
          <w:color w:val="FFFFFF"/>
          <w:spacing w:val="-20000"/>
          <w:sz w:val="24"/>
          <w:szCs w:val="24"/>
        </w:rPr>
        <w:instrText> направленных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приоритетов по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технологическому</w:instrText>
      </w:r>
      <w:r w:rsidRPr="007E1000">
        <w:rPr>
          <w:rFonts w:ascii="Times New Roman" w:eastAsia="Times New Roman" w:hAnsi="Times New Roman" w:cs="Times New Roman"/>
          <w:noProof/>
          <w:color w:val="FFFFFF"/>
          <w:spacing w:val="-20000"/>
          <w:sz w:val="24"/>
          <w:szCs w:val="24"/>
        </w:rPr>
        <w:instrText> европейского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развитию и модернизации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себя </w:instrText>
      </w:r>
      <w:r w:rsidRPr="007E1000">
        <w:rPr>
          <w:rFonts w:ascii="Times New Roman" w:eastAsia="Times New Roman" w:hAnsi="Times New Roman" w:cs="Times New Roman"/>
          <w:noProof/>
          <w:color w:val="000000" w:themeColor="text1"/>
          <w:sz w:val="24"/>
          <w:szCs w:val="24"/>
          <w:lang w:eastAsia="ru-RU"/>
        </w:rPr>
        <w:instrText>экономики</w:instrText>
      </w:r>
      <w:r w:rsidRPr="007E1000">
        <w:rPr>
          <w:rFonts w:ascii="Times New Roman" w:eastAsia="Times New Roman" w:hAnsi="Times New Roman" w:cs="Times New Roman"/>
          <w:noProof/>
          <w:color w:val="FFFFFF"/>
          <w:spacing w:val="-20000"/>
          <w:sz w:val="24"/>
          <w:szCs w:val="24"/>
        </w:rPr>
        <w:instrText> обеспечивает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страны: космические технологии, энергосбережение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развитых </w:instrText>
      </w:r>
      <w:r w:rsidRPr="007E1000">
        <w:rPr>
          <w:rFonts w:ascii="Times New Roman" w:eastAsia="Times New Roman" w:hAnsi="Times New Roman" w:cs="Times New Roman"/>
          <w:noProof/>
          <w:color w:val="000000" w:themeColor="text1"/>
          <w:sz w:val="24"/>
          <w:szCs w:val="24"/>
          <w:lang w:eastAsia="ru-RU"/>
        </w:rPr>
        <w:instrText>энергоэффективность</w:instrText>
      </w:r>
      <w:r w:rsidRPr="007E1000">
        <w:rPr>
          <w:rFonts w:ascii="Times New Roman" w:eastAsia="Times New Roman" w:hAnsi="Times New Roman" w:cs="Times New Roman"/>
          <w:noProof/>
          <w:color w:val="FFFFFF"/>
          <w:spacing w:val="-20000"/>
          <w:sz w:val="24"/>
          <w:szCs w:val="24"/>
        </w:rPr>
        <w:instrText> выдвигает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информационные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технологии</w:instrText>
      </w:r>
      <w:r w:rsidRPr="007E1000">
        <w:rPr>
          <w:rFonts w:ascii="Times New Roman" w:eastAsia="Times New Roman" w:hAnsi="Times New Roman" w:cs="Times New Roman"/>
          <w:noProof/>
          <w:color w:val="FFFFFF"/>
          <w:spacing w:val="-20000"/>
          <w:sz w:val="24"/>
          <w:szCs w:val="24"/>
        </w:rPr>
        <w:instrText> попасть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медицинские технологии,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многим </w:instrText>
      </w:r>
      <w:r w:rsidRPr="007E1000">
        <w:rPr>
          <w:rFonts w:ascii="Times New Roman" w:eastAsia="Times New Roman" w:hAnsi="Times New Roman" w:cs="Times New Roman"/>
          <w:noProof/>
          <w:color w:val="000000" w:themeColor="text1"/>
          <w:sz w:val="24"/>
          <w:szCs w:val="24"/>
          <w:lang w:eastAsia="ru-RU"/>
        </w:rPr>
        <w:instrText>ядерные</w:instrText>
      </w:r>
      <w:r w:rsidRPr="007E1000">
        <w:rPr>
          <w:rFonts w:ascii="Times New Roman" w:eastAsia="Times New Roman" w:hAnsi="Times New Roman" w:cs="Times New Roman"/>
          <w:noProof/>
          <w:color w:val="FFFFFF"/>
          <w:spacing w:val="-20000"/>
          <w:sz w:val="24"/>
          <w:szCs w:val="24"/>
        </w:rPr>
        <w:instrText> также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технологии. Все эти технологии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развитых </w:instrText>
      </w:r>
      <w:r w:rsidRPr="007E1000">
        <w:rPr>
          <w:rFonts w:ascii="Times New Roman" w:eastAsia="Times New Roman" w:hAnsi="Times New Roman" w:cs="Times New Roman"/>
          <w:noProof/>
          <w:color w:val="000000" w:themeColor="text1"/>
          <w:sz w:val="24"/>
          <w:szCs w:val="24"/>
          <w:lang w:eastAsia="ru-RU"/>
        </w:rPr>
        <w:instrText>можно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назвать сильнейшим инструментом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влияния</w:instrText>
      </w:r>
      <w:r w:rsidRPr="007E1000">
        <w:rPr>
          <w:rFonts w:ascii="Times New Roman" w:eastAsia="Times New Roman" w:hAnsi="Times New Roman" w:cs="Times New Roman"/>
          <w:noProof/>
          <w:color w:val="FFFFFF"/>
          <w:spacing w:val="-20000"/>
          <w:sz w:val="24"/>
          <w:szCs w:val="24"/>
        </w:rPr>
        <w:instrText> стами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государства на развитие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способность </w:instrText>
      </w:r>
      <w:r w:rsidRPr="007E1000">
        <w:rPr>
          <w:rFonts w:ascii="Times New Roman" w:eastAsia="Times New Roman" w:hAnsi="Times New Roman" w:cs="Times New Roman"/>
          <w:noProof/>
          <w:color w:val="000000" w:themeColor="text1"/>
          <w:sz w:val="24"/>
          <w:szCs w:val="24"/>
          <w:lang w:eastAsia="ru-RU"/>
        </w:rPr>
        <w:instrText>экономики</w:instrText>
      </w:r>
      <w:r w:rsidRPr="007E1000">
        <w:rPr>
          <w:rFonts w:ascii="Times New Roman" w:eastAsia="Times New Roman" w:hAnsi="Times New Roman" w:cs="Times New Roman"/>
          <w:noProof/>
          <w:color w:val="FFFFFF"/>
          <w:spacing w:val="-20000"/>
          <w:sz w:val="24"/>
          <w:szCs w:val="24"/>
        </w:rPr>
        <w:instrText> точки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России, которые при</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инновациям </w:instrText>
      </w:r>
      <w:r w:rsidRPr="007E1000">
        <w:rPr>
          <w:rFonts w:ascii="Times New Roman" w:eastAsia="Times New Roman" w:hAnsi="Times New Roman" w:cs="Times New Roman"/>
          <w:noProof/>
          <w:color w:val="000000" w:themeColor="text1"/>
          <w:sz w:val="24"/>
          <w:szCs w:val="24"/>
          <w:lang w:eastAsia="ru-RU"/>
        </w:rPr>
        <w:instrText>званы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обеспечить техническое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нения </w:instrText>
      </w:r>
      <w:r w:rsidRPr="007E1000">
        <w:rPr>
          <w:rFonts w:ascii="Times New Roman" w:eastAsia="Times New Roman" w:hAnsi="Times New Roman" w:cs="Times New Roman"/>
          <w:noProof/>
          <w:color w:val="000000" w:themeColor="text1"/>
          <w:sz w:val="24"/>
          <w:szCs w:val="24"/>
          <w:lang w:eastAsia="ru-RU"/>
        </w:rPr>
        <w:instrText>экономическое</w:instrText>
      </w:r>
      <w:r w:rsidRPr="007E1000">
        <w:rPr>
          <w:rFonts w:ascii="Times New Roman" w:eastAsia="Times New Roman" w:hAnsi="Times New Roman" w:cs="Times New Roman"/>
          <w:noProof/>
          <w:color w:val="FFFFFF"/>
          <w:spacing w:val="-20000"/>
          <w:sz w:val="24"/>
          <w:szCs w:val="24"/>
        </w:rPr>
        <w:instrText> простой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развитие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страны</w:instrText>
      </w:r>
      <w:r w:rsidRPr="007E1000">
        <w:rPr>
          <w:rFonts w:ascii="Times New Roman" w:eastAsia="Times New Roman" w:hAnsi="Times New Roman" w:cs="Times New Roman"/>
          <w:noProof/>
          <w:color w:val="FFFFFF"/>
          <w:spacing w:val="-20000"/>
          <w:sz w:val="24"/>
          <w:szCs w:val="24"/>
        </w:rPr>
        <w:instrText> расходов</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целом.  </w:t>
      </w:r>
    </w:p>
    <w:p w14:paraId="16239C21"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Уже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более </w:instrText>
      </w:r>
      <w:r w:rsidRPr="007E1000">
        <w:rPr>
          <w:rFonts w:ascii="Times New Roman" w:eastAsia="Times New Roman" w:hAnsi="Times New Roman" w:cs="Times New Roman"/>
          <w:noProof/>
          <w:color w:val="000000" w:themeColor="text1"/>
          <w:sz w:val="24"/>
          <w:szCs w:val="24"/>
          <w:lang w:eastAsia="ru-RU"/>
        </w:rPr>
        <w:instrText>довольно</w:instrText>
      </w:r>
      <w:r w:rsidRPr="007E1000">
        <w:rPr>
          <w:rFonts w:ascii="Times New Roman" w:eastAsia="Times New Roman" w:hAnsi="Times New Roman" w:cs="Times New Roman"/>
          <w:noProof/>
          <w:color w:val="FFFFFF"/>
          <w:spacing w:val="-20000"/>
          <w:sz w:val="24"/>
          <w:szCs w:val="24"/>
        </w:rPr>
        <w:instrText> являющиеся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длительный период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определяет </w:instrText>
      </w:r>
      <w:r w:rsidRPr="007E1000">
        <w:rPr>
          <w:rFonts w:ascii="Times New Roman" w:eastAsia="Times New Roman" w:hAnsi="Times New Roman" w:cs="Times New Roman"/>
          <w:noProof/>
          <w:color w:val="000000" w:themeColor="text1"/>
          <w:sz w:val="24"/>
          <w:szCs w:val="24"/>
          <w:lang w:eastAsia="ru-RU"/>
        </w:rPr>
        <w:instrText>существуют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споры по поводу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ученых </w:instrText>
      </w:r>
      <w:r w:rsidRPr="007E1000">
        <w:rPr>
          <w:rFonts w:ascii="Times New Roman" w:eastAsia="Times New Roman" w:hAnsi="Times New Roman" w:cs="Times New Roman"/>
          <w:noProof/>
          <w:color w:val="000000" w:themeColor="text1"/>
          <w:sz w:val="24"/>
          <w:szCs w:val="24"/>
          <w:lang w:eastAsia="ru-RU"/>
        </w:rPr>
        <w:instrText>того</w:instrText>
      </w:r>
      <w:r w:rsidRPr="007E1000">
        <w:rPr>
          <w:rFonts w:ascii="Times New Roman" w:eastAsia="Times New Roman" w:hAnsi="Times New Roman" w:cs="Times New Roman"/>
          <w:noProof/>
          <w:color w:val="FFFFFF"/>
          <w:spacing w:val="-20000"/>
          <w:sz w:val="24"/>
          <w:szCs w:val="24"/>
        </w:rPr>
        <w:instrText> плане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как следует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стимулировать</w:instrText>
      </w:r>
      <w:r w:rsidRPr="007E1000">
        <w:rPr>
          <w:rFonts w:ascii="Times New Roman" w:eastAsia="Times New Roman" w:hAnsi="Times New Roman" w:cs="Times New Roman"/>
          <w:noProof/>
          <w:color w:val="FFFFFF"/>
          <w:spacing w:val="-20000"/>
          <w:sz w:val="24"/>
          <w:szCs w:val="24"/>
        </w:rPr>
        <w:instrText> мировому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инновационное развитие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тенциала </w:instrText>
      </w:r>
      <w:r w:rsidRPr="007E1000">
        <w:rPr>
          <w:rFonts w:ascii="Times New Roman" w:eastAsia="Times New Roman" w:hAnsi="Times New Roman" w:cs="Times New Roman"/>
          <w:noProof/>
          <w:color w:val="000000" w:themeColor="text1"/>
          <w:sz w:val="24"/>
          <w:szCs w:val="24"/>
          <w:lang w:eastAsia="ru-RU"/>
        </w:rPr>
        <w:instrText>России</w:instrText>
      </w:r>
      <w:r w:rsidRPr="007E1000">
        <w:rPr>
          <w:rFonts w:ascii="Times New Roman" w:eastAsia="Times New Roman" w:hAnsi="Times New Roman" w:cs="Times New Roman"/>
          <w:noProof/>
          <w:color w:val="FFFFFF"/>
          <w:spacing w:val="-20000"/>
          <w:sz w:val="24"/>
          <w:szCs w:val="24"/>
        </w:rPr>
        <w:instrText> увеличение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результате чего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стратегических </w:instrText>
      </w:r>
      <w:r w:rsidRPr="007E1000">
        <w:rPr>
          <w:rFonts w:ascii="Times New Roman" w:eastAsia="Times New Roman" w:hAnsi="Times New Roman" w:cs="Times New Roman"/>
          <w:noProof/>
          <w:color w:val="000000" w:themeColor="text1"/>
          <w:sz w:val="24"/>
          <w:szCs w:val="24"/>
          <w:lang w:eastAsia="ru-RU"/>
        </w:rPr>
        <w:instrText>появились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две точки зрения: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виду </w:instrText>
      </w:r>
      <w:r w:rsidRPr="007E1000">
        <w:rPr>
          <w:rFonts w:ascii="Times New Roman" w:eastAsia="Times New Roman" w:hAnsi="Times New Roman" w:cs="Times New Roman"/>
          <w:noProof/>
          <w:color w:val="000000" w:themeColor="text1"/>
          <w:sz w:val="24"/>
          <w:szCs w:val="24"/>
          <w:lang w:eastAsia="ru-RU"/>
        </w:rPr>
        <w:instrText>необходимо</w:instrText>
      </w:r>
      <w:r w:rsidRPr="007E1000">
        <w:rPr>
          <w:rFonts w:ascii="Times New Roman" w:eastAsia="Times New Roman" w:hAnsi="Times New Roman" w:cs="Times New Roman"/>
          <w:noProof/>
          <w:color w:val="FFFFFF"/>
          <w:spacing w:val="-20000"/>
          <w:sz w:val="24"/>
          <w:szCs w:val="24"/>
        </w:rPr>
        <w:instrText> новатора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заниматься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имитационными</w:instrText>
      </w:r>
      <w:r w:rsidRPr="007E1000">
        <w:rPr>
          <w:rFonts w:ascii="Times New Roman" w:eastAsia="Times New Roman" w:hAnsi="Times New Roman" w:cs="Times New Roman"/>
          <w:noProof/>
          <w:color w:val="FFFFFF"/>
          <w:spacing w:val="-20000"/>
          <w:sz w:val="24"/>
          <w:szCs w:val="24"/>
        </w:rPr>
        <w:instrText> инноваций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инновациями (то есть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отмечалось </w:instrText>
      </w:r>
      <w:r w:rsidRPr="007E1000">
        <w:rPr>
          <w:rFonts w:ascii="Times New Roman" w:eastAsia="Times New Roman" w:hAnsi="Times New Roman" w:cs="Times New Roman"/>
          <w:noProof/>
          <w:color w:val="000000" w:themeColor="text1"/>
          <w:sz w:val="24"/>
          <w:szCs w:val="24"/>
          <w:lang w:eastAsia="ru-RU"/>
        </w:rPr>
        <w:instrText>покупать</w:instrText>
      </w:r>
      <w:r w:rsidRPr="007E1000">
        <w:rPr>
          <w:rFonts w:ascii="Times New Roman" w:eastAsia="Times New Roman" w:hAnsi="Times New Roman" w:cs="Times New Roman"/>
          <w:noProof/>
          <w:color w:val="FFFFFF"/>
          <w:spacing w:val="-20000"/>
          <w:sz w:val="24"/>
          <w:szCs w:val="24"/>
        </w:rPr>
        <w:instrText> себя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новое оборудование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тают </w:instrText>
      </w:r>
      <w:r w:rsidRPr="007E1000">
        <w:rPr>
          <w:rFonts w:ascii="Times New Roman" w:eastAsia="Times New Roman" w:hAnsi="Times New Roman" w:cs="Times New Roman"/>
          <w:noProof/>
          <w:color w:val="000000" w:themeColor="text1"/>
          <w:sz w:val="24"/>
          <w:szCs w:val="24"/>
          <w:lang w:eastAsia="ru-RU"/>
        </w:rPr>
        <w:instrText>лицензии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 рубежом) или заниматься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мировых </w:instrText>
      </w:r>
      <w:r w:rsidRPr="007E1000">
        <w:rPr>
          <w:rFonts w:ascii="Times New Roman" w:eastAsia="Times New Roman" w:hAnsi="Times New Roman" w:cs="Times New Roman"/>
          <w:noProof/>
          <w:color w:val="000000" w:themeColor="text1"/>
          <w:sz w:val="24"/>
          <w:szCs w:val="24"/>
          <w:lang w:eastAsia="ru-RU"/>
        </w:rPr>
        <w:instrText>развитием</w:instrText>
      </w:r>
      <w:r w:rsidRPr="007E1000">
        <w:rPr>
          <w:rFonts w:ascii="Times New Roman" w:eastAsia="Times New Roman" w:hAnsi="Times New Roman" w:cs="Times New Roman"/>
          <w:noProof/>
          <w:color w:val="FFFFFF"/>
          <w:spacing w:val="-20000"/>
          <w:sz w:val="24"/>
          <w:szCs w:val="24"/>
        </w:rPr>
        <w:instrText> 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собственной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науки</w:instrText>
      </w:r>
      <w:r w:rsidRPr="007E1000">
        <w:rPr>
          <w:rFonts w:ascii="Times New Roman" w:eastAsia="Times New Roman" w:hAnsi="Times New Roman" w:cs="Times New Roman"/>
          <w:noProof/>
          <w:color w:val="FFFFFF"/>
          <w:spacing w:val="-20000"/>
          <w:sz w:val="24"/>
          <w:szCs w:val="24"/>
        </w:rPr>
        <w:instrText> изменяется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которое позволит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являющиеся </w:instrText>
      </w:r>
      <w:r w:rsidRPr="007E1000">
        <w:rPr>
          <w:rFonts w:ascii="Times New Roman" w:eastAsia="Times New Roman" w:hAnsi="Times New Roman" w:cs="Times New Roman"/>
          <w:noProof/>
          <w:color w:val="000000" w:themeColor="text1"/>
          <w:sz w:val="24"/>
          <w:szCs w:val="24"/>
          <w:lang w:eastAsia="ru-RU"/>
        </w:rPr>
        <w:instrText>обеспечить</w:instrText>
      </w:r>
      <w:r w:rsidRPr="007E1000">
        <w:rPr>
          <w:rFonts w:ascii="Times New Roman" w:eastAsia="Times New Roman" w:hAnsi="Times New Roman" w:cs="Times New Roman"/>
          <w:noProof/>
          <w:color w:val="FFFFFF"/>
          <w:spacing w:val="-20000"/>
          <w:sz w:val="24"/>
          <w:szCs w:val="24"/>
        </w:rPr>
        <w:instrText> увеличение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мировое лидерство. 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управленческих </w:instrText>
      </w:r>
      <w:r w:rsidRPr="007E1000">
        <w:rPr>
          <w:rFonts w:ascii="Times New Roman" w:eastAsia="Times New Roman" w:hAnsi="Times New Roman" w:cs="Times New Roman"/>
          <w:noProof/>
          <w:color w:val="000000" w:themeColor="text1"/>
          <w:sz w:val="24"/>
          <w:szCs w:val="24"/>
          <w:lang w:eastAsia="ru-RU"/>
        </w:rPr>
        <w:instrText>сегодняшний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день разработан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фундаме </w:instrText>
      </w:r>
      <w:r w:rsidRPr="007E1000">
        <w:rPr>
          <w:rFonts w:ascii="Times New Roman" w:eastAsia="Times New Roman" w:hAnsi="Times New Roman" w:cs="Times New Roman"/>
          <w:noProof/>
          <w:color w:val="000000" w:themeColor="text1"/>
          <w:sz w:val="24"/>
          <w:szCs w:val="24"/>
          <w:lang w:eastAsia="ru-RU"/>
        </w:rPr>
        <w:instrText>законопроект</w:instrText>
      </w:r>
      <w:r w:rsidRPr="007E1000">
        <w:rPr>
          <w:rFonts w:ascii="Times New Roman" w:eastAsia="Times New Roman" w:hAnsi="Times New Roman" w:cs="Times New Roman"/>
          <w:noProof/>
          <w:color w:val="FFFFFF"/>
          <w:spacing w:val="-20000"/>
          <w:sz w:val="24"/>
          <w:szCs w:val="24"/>
        </w:rPr>
        <w:instrText> налогу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 инновационной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деятельности</w:instrText>
      </w:r>
      <w:r w:rsidRPr="007E1000">
        <w:rPr>
          <w:rFonts w:ascii="Times New Roman" w:eastAsia="Times New Roman" w:hAnsi="Times New Roman" w:cs="Times New Roman"/>
          <w:noProof/>
          <w:color w:val="FFFFFF"/>
          <w:spacing w:val="-20000"/>
          <w:sz w:val="24"/>
          <w:szCs w:val="24"/>
        </w:rPr>
        <w:instrText> уровень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Российской Федерации»,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составляющей </w:instrText>
      </w:r>
      <w:r w:rsidRPr="007E1000">
        <w:rPr>
          <w:rFonts w:ascii="Times New Roman" w:eastAsia="Times New Roman" w:hAnsi="Times New Roman" w:cs="Times New Roman"/>
          <w:noProof/>
          <w:color w:val="000000" w:themeColor="text1"/>
          <w:sz w:val="24"/>
          <w:szCs w:val="24"/>
          <w:lang w:eastAsia="ru-RU"/>
        </w:rPr>
        <w:instrText>который</w:instrText>
      </w:r>
      <w:r w:rsidRPr="007E1000">
        <w:rPr>
          <w:rFonts w:ascii="Times New Roman" w:eastAsia="Times New Roman" w:hAnsi="Times New Roman" w:cs="Times New Roman"/>
          <w:noProof/>
          <w:color w:val="FFFFFF"/>
          <w:spacing w:val="-20000"/>
          <w:sz w:val="24"/>
          <w:szCs w:val="24"/>
        </w:rPr>
        <w:instrText> инновационного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должен укрепить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сурсного </w:instrText>
      </w:r>
      <w:r w:rsidRPr="007E1000">
        <w:rPr>
          <w:rFonts w:ascii="Times New Roman" w:eastAsia="Times New Roman" w:hAnsi="Times New Roman" w:cs="Times New Roman"/>
          <w:noProof/>
          <w:color w:val="000000" w:themeColor="text1"/>
          <w:sz w:val="24"/>
          <w:szCs w:val="24"/>
          <w:lang w:eastAsia="ru-RU"/>
        </w:rPr>
        <w:instrText>основные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факторы развития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целью </w:instrText>
      </w:r>
      <w:r w:rsidRPr="007E1000">
        <w:rPr>
          <w:rFonts w:ascii="Times New Roman" w:eastAsia="Times New Roman" w:hAnsi="Times New Roman" w:cs="Times New Roman"/>
          <w:noProof/>
          <w:color w:val="000000" w:themeColor="text1"/>
          <w:sz w:val="24"/>
          <w:szCs w:val="24"/>
          <w:lang w:eastAsia="ru-RU"/>
        </w:rPr>
        <w:instrText>инноваций</w:instrText>
      </w:r>
      <w:r w:rsidRPr="007E1000">
        <w:rPr>
          <w:rFonts w:ascii="Times New Roman" w:eastAsia="Times New Roman" w:hAnsi="Times New Roman" w:cs="Times New Roman"/>
          <w:noProof/>
          <w:color w:val="FFFFFF"/>
          <w:spacing w:val="-20000"/>
          <w:sz w:val="24"/>
          <w:szCs w:val="24"/>
        </w:rPr>
        <w:instrText> проекта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Кроме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того</w:instrText>
      </w:r>
      <w:r w:rsidRPr="007E1000">
        <w:rPr>
          <w:rFonts w:ascii="Times New Roman" w:eastAsia="Times New Roman" w:hAnsi="Times New Roman" w:cs="Times New Roman"/>
          <w:noProof/>
          <w:color w:val="FFFFFF"/>
          <w:spacing w:val="-20000"/>
          <w:sz w:val="24"/>
          <w:szCs w:val="24"/>
        </w:rPr>
        <w:instrText> альтернативной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законопроект может </w:t>
      </w:r>
      <w:r w:rsidRPr="007E1000">
        <w:rPr>
          <w:rFonts w:ascii="Times New Roman" w:eastAsia="Times New Roman" w:hAnsi="Times New Roman" w:cs="Times New Roman"/>
          <w:sz w:val="24"/>
          <w:szCs w:val="24"/>
        </w:rPr>
        <w:lastRenderedPageBreak/>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другой </w:instrText>
      </w:r>
      <w:r w:rsidRPr="007E1000">
        <w:rPr>
          <w:rFonts w:ascii="Times New Roman" w:eastAsia="Times New Roman" w:hAnsi="Times New Roman" w:cs="Times New Roman"/>
          <w:noProof/>
          <w:color w:val="000000" w:themeColor="text1"/>
          <w:sz w:val="24"/>
          <w:szCs w:val="24"/>
          <w:lang w:eastAsia="ru-RU"/>
        </w:rPr>
        <w:instrText>утвердить</w:instrText>
      </w:r>
      <w:r w:rsidRPr="007E1000">
        <w:rPr>
          <w:rFonts w:ascii="Times New Roman" w:eastAsia="Times New Roman" w:hAnsi="Times New Roman" w:cs="Times New Roman"/>
          <w:noProof/>
          <w:color w:val="FFFFFF"/>
          <w:spacing w:val="-20000"/>
          <w:sz w:val="24"/>
          <w:szCs w:val="24"/>
        </w:rPr>
        <w:instrText> могут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условия регулиро</w:t>
      </w:r>
      <w:r w:rsidRPr="007E1000">
        <w:rPr>
          <w:rFonts w:ascii="Times New Roman" w:eastAsia="Times New Roman" w:hAnsi="Times New Roman" w:cs="Times New Roman"/>
          <w:sz w:val="24"/>
          <w:szCs w:val="24"/>
          <w:highlight w:val="white"/>
        </w:rPr>
        <w:t>вания</w:t>
      </w:r>
      <w:r w:rsidRPr="007E1000">
        <w:rPr>
          <w:rFonts w:ascii="Times New Roman" w:eastAsia="Times New Roman" w:hAnsi="Times New Roman" w:cs="Times New Roman"/>
          <w:color w:val="000000" w:themeColor="text1"/>
          <w:sz w:val="24"/>
          <w:szCs w:val="24"/>
          <w:lang w:eastAsia="ru-RU"/>
        </w:rPr>
        <w:t xml:space="preserve"> инновационной деятельности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index </w:instrText>
      </w:r>
      <w:r w:rsidRPr="007E1000">
        <w:rPr>
          <w:rFonts w:ascii="Times New Roman" w:eastAsia="Times New Roman" w:hAnsi="Times New Roman" w:cs="Times New Roman"/>
          <w:noProof/>
          <w:color w:val="000000" w:themeColor="text1"/>
          <w:sz w:val="24"/>
          <w:szCs w:val="24"/>
          <w:lang w:eastAsia="ru-RU"/>
        </w:rPr>
        <w:instrText>стране</w:instrText>
      </w:r>
      <w:r w:rsidRPr="007E1000">
        <w:rPr>
          <w:rFonts w:ascii="Times New Roman" w:eastAsia="Times New Roman" w:hAnsi="Times New Roman" w:cs="Times New Roman"/>
          <w:noProof/>
          <w:color w:val="FFFFFF"/>
          <w:spacing w:val="-20000"/>
          <w:sz w:val="24"/>
          <w:szCs w:val="24"/>
        </w:rPr>
        <w:instrText> совокупность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включая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поправки</w:instrText>
      </w:r>
      <w:r w:rsidRPr="007E1000">
        <w:rPr>
          <w:rFonts w:ascii="Times New Roman" w:eastAsia="Times New Roman" w:hAnsi="Times New Roman" w:cs="Times New Roman"/>
          <w:noProof/>
          <w:color w:val="FFFFFF"/>
          <w:spacing w:val="-20000"/>
          <w:sz w:val="24"/>
          <w:szCs w:val="24"/>
        </w:rPr>
        <w:instrText> вобождения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механизме госзакупок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ранг </w:instrText>
      </w:r>
      <w:r w:rsidRPr="007E1000">
        <w:rPr>
          <w:rFonts w:ascii="Times New Roman" w:eastAsia="Times New Roman" w:hAnsi="Times New Roman" w:cs="Times New Roman"/>
          <w:noProof/>
          <w:color w:val="000000" w:themeColor="text1"/>
          <w:sz w:val="24"/>
          <w:szCs w:val="24"/>
          <w:lang w:eastAsia="ru-RU"/>
        </w:rPr>
        <w:instrText>налоговом</w:instrText>
      </w:r>
      <w:r w:rsidRPr="007E1000">
        <w:rPr>
          <w:rFonts w:ascii="Times New Roman" w:eastAsia="Times New Roman" w:hAnsi="Times New Roman" w:cs="Times New Roman"/>
          <w:noProof/>
          <w:color w:val="FFFFFF"/>
          <w:spacing w:val="-20000"/>
          <w:sz w:val="24"/>
          <w:szCs w:val="24"/>
        </w:rPr>
        <w:instrText> фицированный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регулировании.</w:t>
      </w:r>
    </w:p>
    <w:p w14:paraId="21916520"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Говоря 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материальных </w:instrText>
      </w:r>
      <w:r w:rsidRPr="007E1000">
        <w:rPr>
          <w:rFonts w:ascii="Times New Roman" w:eastAsia="Times New Roman" w:hAnsi="Times New Roman" w:cs="Times New Roman"/>
          <w:noProof/>
          <w:color w:val="000000" w:themeColor="text1"/>
          <w:sz w:val="24"/>
          <w:szCs w:val="24"/>
          <w:lang w:eastAsia="ru-RU"/>
        </w:rPr>
        <w:instrText>стимулировании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инноваций, можно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которые </w:instrText>
      </w:r>
      <w:r w:rsidRPr="007E1000">
        <w:rPr>
          <w:rFonts w:ascii="Times New Roman" w:eastAsia="Times New Roman" w:hAnsi="Times New Roman" w:cs="Times New Roman"/>
          <w:noProof/>
          <w:color w:val="000000" w:themeColor="text1"/>
          <w:sz w:val="24"/>
          <w:szCs w:val="24"/>
          <w:lang w:eastAsia="ru-RU"/>
        </w:rPr>
        <w:instrText>сказать</w:instrText>
      </w:r>
      <w:r w:rsidRPr="007E1000">
        <w:rPr>
          <w:rFonts w:ascii="Times New Roman" w:eastAsia="Times New Roman" w:hAnsi="Times New Roman" w:cs="Times New Roman"/>
          <w:noProof/>
          <w:color w:val="FFFFFF"/>
          <w:spacing w:val="-20000"/>
          <w:sz w:val="24"/>
          <w:szCs w:val="24"/>
        </w:rPr>
        <w:instrText> выделения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что оно происходит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постепенно</w:instrText>
      </w:r>
      <w:r w:rsidRPr="007E1000">
        <w:rPr>
          <w:rFonts w:ascii="Times New Roman" w:eastAsia="Times New Roman" w:hAnsi="Times New Roman" w:cs="Times New Roman"/>
          <w:noProof/>
          <w:color w:val="FFFFFF"/>
          <w:spacing w:val="-20000"/>
          <w:sz w:val="24"/>
          <w:szCs w:val="24"/>
        </w:rPr>
        <w:instrText> реализации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путем внедрения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космическая </w:instrText>
      </w:r>
      <w:r w:rsidRPr="007E1000">
        <w:rPr>
          <w:rFonts w:ascii="Times New Roman" w:eastAsia="Times New Roman" w:hAnsi="Times New Roman" w:cs="Times New Roman"/>
          <w:noProof/>
          <w:color w:val="000000" w:themeColor="text1"/>
          <w:sz w:val="24"/>
          <w:szCs w:val="24"/>
          <w:lang w:eastAsia="ru-RU"/>
        </w:rPr>
        <w:instrText>различных</w:instrText>
      </w:r>
      <w:r w:rsidRPr="007E1000">
        <w:rPr>
          <w:rFonts w:ascii="Times New Roman" w:eastAsia="Times New Roman" w:hAnsi="Times New Roman" w:cs="Times New Roman"/>
          <w:noProof/>
          <w:color w:val="FFFFFF"/>
          <w:spacing w:val="-20000"/>
          <w:sz w:val="24"/>
          <w:szCs w:val="24"/>
        </w:rPr>
        <w:instrText> всемирный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мер. Планируется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базир </w:instrText>
      </w:r>
      <w:r w:rsidRPr="007E1000">
        <w:rPr>
          <w:rFonts w:ascii="Times New Roman" w:eastAsia="Times New Roman" w:hAnsi="Times New Roman" w:cs="Times New Roman"/>
          <w:noProof/>
          <w:color w:val="000000" w:themeColor="text1"/>
          <w:sz w:val="24"/>
          <w:szCs w:val="24"/>
          <w:lang w:eastAsia="ru-RU"/>
        </w:rPr>
        <w:instrText>расширение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диапазона льгот, в том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будет </w:instrText>
      </w:r>
      <w:r w:rsidRPr="007E1000">
        <w:rPr>
          <w:rFonts w:ascii="Times New Roman" w:eastAsia="Times New Roman" w:hAnsi="Times New Roman" w:cs="Times New Roman"/>
          <w:noProof/>
          <w:color w:val="000000" w:themeColor="text1"/>
          <w:sz w:val="24"/>
          <w:szCs w:val="24"/>
          <w:lang w:eastAsia="ru-RU"/>
        </w:rPr>
        <w:instrText>числе</w:instrText>
      </w:r>
      <w:r w:rsidRPr="007E1000">
        <w:rPr>
          <w:rFonts w:ascii="Times New Roman" w:eastAsia="Times New Roman" w:hAnsi="Times New Roman" w:cs="Times New Roman"/>
          <w:noProof/>
          <w:color w:val="FFFFFF"/>
          <w:spacing w:val="-20000"/>
          <w:sz w:val="24"/>
          <w:szCs w:val="24"/>
        </w:rPr>
        <w:instrText> страны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налоговых,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например</w:instrText>
      </w:r>
      <w:r w:rsidRPr="007E1000">
        <w:rPr>
          <w:rFonts w:ascii="Times New Roman" w:eastAsia="Times New Roman" w:hAnsi="Times New Roman" w:cs="Times New Roman"/>
          <w:noProof/>
          <w:color w:val="FFFFFF"/>
          <w:spacing w:val="-20000"/>
          <w:sz w:val="24"/>
          <w:szCs w:val="24"/>
        </w:rPr>
        <w:instrText> оловом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 налогу на прибыль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предполагает </w:instrText>
      </w:r>
      <w:r w:rsidRPr="007E1000">
        <w:rPr>
          <w:rFonts w:ascii="Times New Roman" w:eastAsia="Times New Roman" w:hAnsi="Times New Roman" w:cs="Times New Roman"/>
          <w:noProof/>
          <w:color w:val="000000" w:themeColor="text1"/>
          <w:sz w:val="24"/>
          <w:szCs w:val="24"/>
          <w:lang w:eastAsia="ru-RU"/>
        </w:rPr>
        <w:instrText>коммерческих</w:instrText>
      </w:r>
      <w:r w:rsidRPr="007E1000">
        <w:rPr>
          <w:rFonts w:ascii="Times New Roman" w:eastAsia="Times New Roman" w:hAnsi="Times New Roman" w:cs="Times New Roman"/>
          <w:noProof/>
          <w:color w:val="FFFFFF"/>
          <w:spacing w:val="-20000"/>
          <w:sz w:val="24"/>
          <w:szCs w:val="24"/>
        </w:rPr>
        <w:instrText> динамике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организаций. Кроме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которой </w:instrText>
      </w:r>
      <w:r w:rsidRPr="007E1000">
        <w:rPr>
          <w:rFonts w:ascii="Times New Roman" w:eastAsia="Times New Roman" w:hAnsi="Times New Roman" w:cs="Times New Roman"/>
          <w:noProof/>
          <w:color w:val="000000" w:themeColor="text1"/>
          <w:sz w:val="24"/>
          <w:szCs w:val="24"/>
          <w:lang w:eastAsia="ru-RU"/>
        </w:rPr>
        <w:instrText>того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обсуждается ряд поправок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измеряют </w:instrText>
      </w:r>
      <w:r w:rsidRPr="007E1000">
        <w:rPr>
          <w:rFonts w:ascii="Times New Roman" w:eastAsia="Times New Roman" w:hAnsi="Times New Roman" w:cs="Times New Roman"/>
          <w:noProof/>
          <w:color w:val="000000" w:themeColor="text1"/>
          <w:sz w:val="24"/>
          <w:szCs w:val="24"/>
          <w:lang w:eastAsia="ru-RU"/>
        </w:rPr>
        <w:instrText>закон</w:instrText>
      </w:r>
      <w:r w:rsidRPr="007E1000">
        <w:rPr>
          <w:rFonts w:ascii="Times New Roman" w:eastAsia="Times New Roman" w:hAnsi="Times New Roman" w:cs="Times New Roman"/>
          <w:noProof/>
          <w:color w:val="FFFFFF"/>
          <w:spacing w:val="-20000"/>
          <w:sz w:val="24"/>
          <w:szCs w:val="24"/>
        </w:rPr>
        <w:instrText> стве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sz w:val="24"/>
          <w:szCs w:val="24"/>
        </w:rPr>
        <w:t>е</w:t>
      </w:r>
      <w:r w:rsidRPr="007E1000">
        <w:rPr>
          <w:rFonts w:ascii="Times New Roman" w:eastAsia="Times New Roman" w:hAnsi="Times New Roman" w:cs="Times New Roman"/>
          <w:color w:val="000000" w:themeColor="text1"/>
          <w:sz w:val="24"/>
          <w:szCs w:val="24"/>
          <w:lang w:eastAsia="ru-RU"/>
        </w:rPr>
        <w:t xml:space="preserve"> о госзакупках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изменения</w:instrText>
      </w:r>
      <w:r w:rsidRPr="007E1000">
        <w:rPr>
          <w:rFonts w:ascii="Times New Roman" w:eastAsia="Times New Roman" w:hAnsi="Times New Roman" w:cs="Times New Roman"/>
          <w:noProof/>
          <w:color w:val="FFFFFF"/>
          <w:spacing w:val="-20000"/>
          <w:sz w:val="24"/>
          <w:szCs w:val="24"/>
        </w:rPr>
        <w:instrText> видовую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техническом регулировании [8]. Все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инновациям </w:instrText>
      </w:r>
      <w:r w:rsidRPr="007E1000">
        <w:rPr>
          <w:rFonts w:ascii="Times New Roman" w:eastAsia="Times New Roman" w:hAnsi="Times New Roman" w:cs="Times New Roman"/>
          <w:noProof/>
          <w:color w:val="000000" w:themeColor="text1"/>
          <w:sz w:val="24"/>
          <w:szCs w:val="24"/>
          <w:lang w:eastAsia="ru-RU"/>
        </w:rPr>
        <w:instrText>вышеперечисленные</w:instrText>
      </w:r>
      <w:r w:rsidRPr="007E1000">
        <w:rPr>
          <w:rFonts w:ascii="Times New Roman" w:eastAsia="Times New Roman" w:hAnsi="Times New Roman" w:cs="Times New Roman"/>
          <w:noProof/>
          <w:color w:val="FFFFFF"/>
          <w:spacing w:val="-20000"/>
          <w:sz w:val="24"/>
          <w:szCs w:val="24"/>
        </w:rPr>
        <w:instrText> резкого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меры должны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государство </w:instrText>
      </w:r>
      <w:r w:rsidRPr="007E1000">
        <w:rPr>
          <w:rFonts w:ascii="Times New Roman" w:eastAsia="Times New Roman" w:hAnsi="Times New Roman" w:cs="Times New Roman"/>
          <w:noProof/>
          <w:color w:val="000000" w:themeColor="text1"/>
          <w:sz w:val="24"/>
          <w:szCs w:val="24"/>
          <w:lang w:eastAsia="ru-RU"/>
        </w:rPr>
        <w:instrText>привести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инновационный климат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деленный </w:instrText>
      </w:r>
      <w:r w:rsidRPr="007E1000">
        <w:rPr>
          <w:rFonts w:ascii="Times New Roman" w:eastAsia="Times New Roman" w:hAnsi="Times New Roman" w:cs="Times New Roman"/>
          <w:noProof/>
          <w:color w:val="000000" w:themeColor="text1"/>
          <w:sz w:val="24"/>
          <w:szCs w:val="24"/>
          <w:lang w:eastAsia="ru-RU"/>
        </w:rPr>
        <w:instrText>России</w:instrText>
      </w:r>
      <w:r w:rsidRPr="007E1000">
        <w:rPr>
          <w:rFonts w:ascii="Times New Roman" w:eastAsia="Times New Roman" w:hAnsi="Times New Roman" w:cs="Times New Roman"/>
          <w:noProof/>
          <w:color w:val="FFFFFF"/>
          <w:spacing w:val="-20000"/>
          <w:sz w:val="24"/>
          <w:szCs w:val="24"/>
        </w:rPr>
        <w:instrText> характеризует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более благоприятное состояние. В целом все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вести </w:instrText>
      </w:r>
      <w:r w:rsidRPr="007E1000">
        <w:rPr>
          <w:rFonts w:ascii="Times New Roman" w:eastAsia="Times New Roman" w:hAnsi="Times New Roman" w:cs="Times New Roman"/>
          <w:noProof/>
          <w:color w:val="000000" w:themeColor="text1"/>
          <w:sz w:val="24"/>
          <w:szCs w:val="24"/>
          <w:lang w:eastAsia="ru-RU"/>
        </w:rPr>
        <w:instrText>меры</w:instrText>
      </w:r>
      <w:r w:rsidRPr="007E1000">
        <w:rPr>
          <w:rFonts w:ascii="Times New Roman" w:eastAsia="Times New Roman" w:hAnsi="Times New Roman" w:cs="Times New Roman"/>
          <w:noProof/>
          <w:color w:val="FFFFFF"/>
          <w:spacing w:val="-20000"/>
          <w:sz w:val="24"/>
          <w:szCs w:val="24"/>
        </w:rPr>
        <w:instrText> называемых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 внедрению инноваций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разным </w:instrText>
      </w:r>
      <w:r w:rsidRPr="007E1000">
        <w:rPr>
          <w:rFonts w:ascii="Times New Roman" w:eastAsia="Times New Roman" w:hAnsi="Times New Roman" w:cs="Times New Roman"/>
          <w:noProof/>
          <w:color w:val="000000" w:themeColor="text1"/>
          <w:sz w:val="24"/>
          <w:szCs w:val="24"/>
          <w:lang w:eastAsia="ru-RU"/>
        </w:rPr>
        <w:instrText>должны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проводиться постепенно. Это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 </w:instrText>
      </w:r>
      <w:r w:rsidRPr="007E1000">
        <w:rPr>
          <w:rFonts w:ascii="Times New Roman" w:eastAsia="Times New Roman" w:hAnsi="Times New Roman" w:cs="Times New Roman"/>
          <w:noProof/>
          <w:color w:val="000000" w:themeColor="text1"/>
          <w:sz w:val="24"/>
          <w:szCs w:val="24"/>
          <w:lang w:eastAsia="ru-RU"/>
        </w:rPr>
        <w:instrText>связано</w:instrText>
      </w:r>
      <w:r w:rsidRPr="007E1000">
        <w:rPr>
          <w:rFonts w:ascii="Times New Roman" w:eastAsia="Times New Roman" w:hAnsi="Times New Roman" w:cs="Times New Roman"/>
          <w:noProof/>
          <w:color w:val="FFFFFF"/>
          <w:spacing w:val="-20000"/>
          <w:sz w:val="24"/>
          <w:szCs w:val="24"/>
        </w:rPr>
        <w:instrText> настоящим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 межведомственными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проблемами</w:instrText>
      </w:r>
      <w:r w:rsidRPr="007E1000">
        <w:rPr>
          <w:rFonts w:ascii="Times New Roman" w:eastAsia="Times New Roman" w:hAnsi="Times New Roman" w:cs="Times New Roman"/>
          <w:noProof/>
          <w:color w:val="FFFFFF"/>
          <w:spacing w:val="-20000"/>
          <w:sz w:val="24"/>
          <w:szCs w:val="24"/>
        </w:rPr>
        <w:instrText> субъектам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так как имитационные инновации осу</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index </w:instrText>
      </w:r>
      <w:r w:rsidRPr="007E1000">
        <w:rPr>
          <w:rFonts w:ascii="Times New Roman" w:eastAsia="Times New Roman" w:hAnsi="Times New Roman" w:cs="Times New Roman"/>
          <w:noProof/>
          <w:color w:val="000000" w:themeColor="text1"/>
          <w:sz w:val="24"/>
          <w:szCs w:val="24"/>
          <w:lang w:eastAsia="ru-RU"/>
        </w:rPr>
        <w:instrText>ществляются</w:instrText>
      </w:r>
      <w:r w:rsidRPr="007E1000">
        <w:rPr>
          <w:rFonts w:ascii="Times New Roman" w:eastAsia="Times New Roman" w:hAnsi="Times New Roman" w:cs="Times New Roman"/>
          <w:noProof/>
          <w:color w:val="FFFFFF"/>
          <w:spacing w:val="-20000"/>
          <w:sz w:val="24"/>
          <w:szCs w:val="24"/>
        </w:rPr>
        <w:instrText> реальными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 счет самих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тенциала </w:instrText>
      </w:r>
      <w:r w:rsidRPr="007E1000">
        <w:rPr>
          <w:rFonts w:ascii="Times New Roman" w:eastAsia="Times New Roman" w:hAnsi="Times New Roman" w:cs="Times New Roman"/>
          <w:noProof/>
          <w:color w:val="000000" w:themeColor="text1"/>
          <w:sz w:val="24"/>
          <w:szCs w:val="24"/>
          <w:lang w:eastAsia="ru-RU"/>
        </w:rPr>
        <w:instrText>компаний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58C48275"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Отсутствие государственной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определяет </w:instrText>
      </w:r>
      <w:r w:rsidRPr="007E1000">
        <w:rPr>
          <w:rFonts w:ascii="Times New Roman" w:eastAsia="Times New Roman" w:hAnsi="Times New Roman" w:cs="Times New Roman"/>
          <w:noProof/>
          <w:color w:val="000000" w:themeColor="text1"/>
          <w:sz w:val="24"/>
          <w:szCs w:val="24"/>
          <w:lang w:eastAsia="ru-RU"/>
        </w:rPr>
        <w:instrText>поддержки</w:instrText>
      </w:r>
      <w:r w:rsidRPr="007E1000">
        <w:rPr>
          <w:rFonts w:ascii="Times New Roman" w:eastAsia="Times New Roman" w:hAnsi="Times New Roman" w:cs="Times New Roman"/>
          <w:noProof/>
          <w:color w:val="FFFFFF"/>
          <w:spacing w:val="-20000"/>
          <w:sz w:val="24"/>
          <w:szCs w:val="24"/>
        </w:rPr>
        <w:instrText> новатора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этой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сфере</w:instrText>
      </w:r>
      <w:r w:rsidRPr="007E1000">
        <w:rPr>
          <w:rFonts w:ascii="Times New Roman" w:eastAsia="Times New Roman" w:hAnsi="Times New Roman" w:cs="Times New Roman"/>
          <w:noProof/>
          <w:color w:val="FFFFFF"/>
          <w:spacing w:val="-20000"/>
          <w:sz w:val="24"/>
          <w:szCs w:val="24"/>
        </w:rPr>
        <w:instrText> гунин</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сказывается на общем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общественном </w:instrText>
      </w:r>
      <w:r w:rsidRPr="007E1000">
        <w:rPr>
          <w:rFonts w:ascii="Times New Roman" w:eastAsia="Times New Roman" w:hAnsi="Times New Roman" w:cs="Times New Roman"/>
          <w:noProof/>
          <w:color w:val="000000" w:themeColor="text1"/>
          <w:sz w:val="24"/>
          <w:szCs w:val="24"/>
          <w:lang w:eastAsia="ru-RU"/>
        </w:rPr>
        <w:instrText>уровне</w:instrText>
      </w:r>
      <w:r w:rsidRPr="007E1000">
        <w:rPr>
          <w:rFonts w:ascii="Times New Roman" w:eastAsia="Times New Roman" w:hAnsi="Times New Roman" w:cs="Times New Roman"/>
          <w:noProof/>
          <w:color w:val="FFFFFF"/>
          <w:spacing w:val="-20000"/>
          <w:sz w:val="24"/>
          <w:szCs w:val="24"/>
        </w:rPr>
        <w:instrText> примерно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развития инноваций.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обслуживаемых </w:instrText>
      </w:r>
      <w:r w:rsidRPr="007E1000">
        <w:rPr>
          <w:rFonts w:ascii="Times New Roman" w:eastAsia="Times New Roman" w:hAnsi="Times New Roman" w:cs="Times New Roman"/>
          <w:noProof/>
          <w:color w:val="000000" w:themeColor="text1"/>
          <w:sz w:val="24"/>
          <w:szCs w:val="24"/>
          <w:lang w:eastAsia="ru-RU"/>
        </w:rPr>
        <w:instrText>Также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существует проблема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являющиеся </w:instrText>
      </w:r>
      <w:r w:rsidRPr="007E1000">
        <w:rPr>
          <w:rFonts w:ascii="Times New Roman" w:eastAsia="Times New Roman" w:hAnsi="Times New Roman" w:cs="Times New Roman"/>
          <w:noProof/>
          <w:color w:val="000000" w:themeColor="text1"/>
          <w:sz w:val="24"/>
          <w:szCs w:val="24"/>
          <w:lang w:eastAsia="ru-RU"/>
        </w:rPr>
        <w:instrText>кадров</w:instrText>
      </w:r>
      <w:r w:rsidRPr="007E1000">
        <w:rPr>
          <w:rFonts w:ascii="Times New Roman" w:eastAsia="Times New Roman" w:hAnsi="Times New Roman" w:cs="Times New Roman"/>
          <w:noProof/>
          <w:color w:val="FFFFFF"/>
          <w:spacing w:val="-20000"/>
          <w:sz w:val="24"/>
          <w:szCs w:val="24"/>
        </w:rPr>
        <w:instrText> характеризует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так как развитие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инноваций</w:instrText>
      </w:r>
      <w:r w:rsidRPr="007E1000">
        <w:rPr>
          <w:rFonts w:ascii="Times New Roman" w:eastAsia="Times New Roman" w:hAnsi="Times New Roman" w:cs="Times New Roman"/>
          <w:noProof/>
          <w:color w:val="FFFFFF"/>
          <w:spacing w:val="-20000"/>
          <w:sz w:val="24"/>
          <w:szCs w:val="24"/>
        </w:rPr>
        <w:instrText> указанные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невозможно без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бражена </w:instrText>
      </w:r>
      <w:r w:rsidRPr="007E1000">
        <w:rPr>
          <w:rFonts w:ascii="Times New Roman" w:eastAsia="Times New Roman" w:hAnsi="Times New Roman" w:cs="Times New Roman"/>
          <w:noProof/>
          <w:color w:val="000000" w:themeColor="text1"/>
          <w:sz w:val="24"/>
          <w:szCs w:val="24"/>
          <w:lang w:eastAsia="ru-RU"/>
        </w:rPr>
        <w:instrText>участия</w:instrText>
      </w:r>
      <w:r w:rsidRPr="007E1000">
        <w:rPr>
          <w:rFonts w:ascii="Times New Roman" w:eastAsia="Times New Roman" w:hAnsi="Times New Roman" w:cs="Times New Roman"/>
          <w:noProof/>
          <w:color w:val="FFFFFF"/>
          <w:spacing w:val="-20000"/>
          <w:sz w:val="24"/>
          <w:szCs w:val="24"/>
        </w:rPr>
        <w:instrText> форма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ученых. В этой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управленческих </w:instrText>
      </w:r>
      <w:r w:rsidRPr="007E1000">
        <w:rPr>
          <w:rFonts w:ascii="Times New Roman" w:eastAsia="Times New Roman" w:hAnsi="Times New Roman" w:cs="Times New Roman"/>
          <w:noProof/>
          <w:color w:val="000000" w:themeColor="text1"/>
          <w:sz w:val="24"/>
          <w:szCs w:val="24"/>
          <w:lang w:eastAsia="ru-RU"/>
        </w:rPr>
        <w:instrText>связи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государство утвердило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опред </w:instrText>
      </w:r>
      <w:r w:rsidRPr="007E1000">
        <w:rPr>
          <w:rFonts w:ascii="Times New Roman" w:eastAsia="Times New Roman" w:hAnsi="Times New Roman" w:cs="Times New Roman"/>
          <w:noProof/>
          <w:color w:val="000000" w:themeColor="text1"/>
          <w:sz w:val="24"/>
          <w:szCs w:val="24"/>
          <w:lang w:eastAsia="ru-RU"/>
        </w:rPr>
        <w:instrText>постановление</w:instrText>
      </w:r>
      <w:r w:rsidRPr="007E1000">
        <w:rPr>
          <w:rFonts w:ascii="Times New Roman" w:eastAsia="Times New Roman" w:hAnsi="Times New Roman" w:cs="Times New Roman"/>
          <w:noProof/>
          <w:color w:val="FFFFFF"/>
          <w:spacing w:val="-20000"/>
          <w:sz w:val="24"/>
          <w:szCs w:val="24"/>
        </w:rPr>
        <w:instrText> росси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 мерах по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привлечению</w:instrText>
      </w:r>
      <w:r w:rsidRPr="007E1000">
        <w:rPr>
          <w:rFonts w:ascii="Times New Roman" w:eastAsia="Times New Roman" w:hAnsi="Times New Roman" w:cs="Times New Roman"/>
          <w:noProof/>
          <w:color w:val="FFFFFF"/>
          <w:spacing w:val="-20000"/>
          <w:sz w:val="24"/>
          <w:szCs w:val="24"/>
        </w:rPr>
        <w:instrText> целью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ведущих ученых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инновационные </w:instrText>
      </w:r>
      <w:r w:rsidRPr="007E1000">
        <w:rPr>
          <w:rFonts w:ascii="Times New Roman" w:eastAsia="Times New Roman" w:hAnsi="Times New Roman" w:cs="Times New Roman"/>
          <w:noProof/>
          <w:color w:val="000000" w:themeColor="text1"/>
          <w:sz w:val="24"/>
          <w:szCs w:val="24"/>
          <w:lang w:eastAsia="ru-RU"/>
        </w:rPr>
        <w:instrText>российские</w:instrText>
      </w:r>
      <w:r w:rsidRPr="007E1000">
        <w:rPr>
          <w:rFonts w:ascii="Times New Roman" w:eastAsia="Times New Roman" w:hAnsi="Times New Roman" w:cs="Times New Roman"/>
          <w:noProof/>
          <w:color w:val="FFFFFF"/>
          <w:spacing w:val="-20000"/>
          <w:sz w:val="24"/>
          <w:szCs w:val="24"/>
        </w:rPr>
        <w:instrText> инда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образовательные учреждения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составляющей </w:instrText>
      </w:r>
      <w:r w:rsidRPr="007E1000">
        <w:rPr>
          <w:rFonts w:ascii="Times New Roman" w:eastAsia="Times New Roman" w:hAnsi="Times New Roman" w:cs="Times New Roman"/>
          <w:noProof/>
          <w:color w:val="000000" w:themeColor="text1"/>
          <w:sz w:val="24"/>
          <w:szCs w:val="24"/>
          <w:lang w:eastAsia="ru-RU"/>
        </w:rPr>
        <w:instrText>высшего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профессионального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смогут </w:instrText>
      </w:r>
      <w:r w:rsidRPr="007E1000">
        <w:rPr>
          <w:rFonts w:ascii="Times New Roman" w:eastAsia="Times New Roman" w:hAnsi="Times New Roman" w:cs="Times New Roman"/>
          <w:noProof/>
          <w:color w:val="000000" w:themeColor="text1"/>
          <w:sz w:val="24"/>
          <w:szCs w:val="24"/>
          <w:lang w:eastAsia="ru-RU"/>
        </w:rPr>
        <w:instrText>образования</w:instrText>
      </w:r>
      <w:r w:rsidRPr="007E1000">
        <w:rPr>
          <w:rFonts w:ascii="Times New Roman" w:eastAsia="Times New Roman" w:hAnsi="Times New Roman" w:cs="Times New Roman"/>
          <w:noProof/>
          <w:color w:val="FFFFFF"/>
          <w:spacing w:val="-20000"/>
          <w:sz w:val="24"/>
          <w:szCs w:val="24"/>
        </w:rPr>
        <w:instrText> важными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23EEBEF9"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Существует еще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одна</w:instrText>
      </w:r>
      <w:r w:rsidRPr="007E1000">
        <w:rPr>
          <w:rFonts w:ascii="Times New Roman" w:eastAsia="Times New Roman" w:hAnsi="Times New Roman" w:cs="Times New Roman"/>
          <w:noProof/>
          <w:color w:val="FFFFFF"/>
          <w:spacing w:val="-20000"/>
          <w:sz w:val="24"/>
          <w:szCs w:val="24"/>
        </w:rPr>
        <w:instrText> другой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немаловажная проблема,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сравнение </w:instrText>
      </w:r>
      <w:r w:rsidRPr="007E1000">
        <w:rPr>
          <w:rFonts w:ascii="Times New Roman" w:eastAsia="Times New Roman" w:hAnsi="Times New Roman" w:cs="Times New Roman"/>
          <w:noProof/>
          <w:color w:val="000000" w:themeColor="text1"/>
          <w:sz w:val="24"/>
          <w:szCs w:val="24"/>
          <w:lang w:eastAsia="ru-RU"/>
        </w:rPr>
        <w:instrText>которая</w:instrText>
      </w:r>
      <w:r w:rsidRPr="007E1000">
        <w:rPr>
          <w:rFonts w:ascii="Times New Roman" w:eastAsia="Times New Roman" w:hAnsi="Times New Roman" w:cs="Times New Roman"/>
          <w:noProof/>
          <w:color w:val="FFFFFF"/>
          <w:spacing w:val="-20000"/>
          <w:sz w:val="24"/>
          <w:szCs w:val="24"/>
        </w:rPr>
        <w:instrText> правлении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стоит перед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позволило </w:instrText>
      </w:r>
      <w:r w:rsidRPr="007E1000">
        <w:rPr>
          <w:rFonts w:ascii="Times New Roman" w:eastAsia="Times New Roman" w:hAnsi="Times New Roman" w:cs="Times New Roman"/>
          <w:noProof/>
          <w:color w:val="000000" w:themeColor="text1"/>
          <w:sz w:val="24"/>
          <w:szCs w:val="24"/>
          <w:lang w:eastAsia="ru-RU"/>
        </w:rPr>
        <w:instrText>государственной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инновационной политикой - это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типологию </w:instrText>
      </w:r>
      <w:r w:rsidRPr="007E1000">
        <w:rPr>
          <w:rFonts w:ascii="Times New Roman" w:eastAsia="Times New Roman" w:hAnsi="Times New Roman" w:cs="Times New Roman"/>
          <w:noProof/>
          <w:color w:val="000000" w:themeColor="text1"/>
          <w:sz w:val="24"/>
          <w:szCs w:val="24"/>
          <w:lang w:eastAsia="ru-RU"/>
        </w:rPr>
        <w:instrText>восстановление</w:instrText>
      </w:r>
      <w:r w:rsidRPr="007E1000">
        <w:rPr>
          <w:rFonts w:ascii="Times New Roman" w:eastAsia="Times New Roman" w:hAnsi="Times New Roman" w:cs="Times New Roman"/>
          <w:noProof/>
          <w:color w:val="FFFFFF"/>
          <w:spacing w:val="-20000"/>
          <w:sz w:val="24"/>
          <w:szCs w:val="24"/>
        </w:rPr>
        <w:instrText> также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экономики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после</w:instrText>
      </w:r>
      <w:r w:rsidRPr="007E1000">
        <w:rPr>
          <w:rFonts w:ascii="Times New Roman" w:eastAsia="Times New Roman" w:hAnsi="Times New Roman" w:cs="Times New Roman"/>
          <w:noProof/>
          <w:color w:val="FFFFFF"/>
          <w:spacing w:val="-20000"/>
          <w:sz w:val="24"/>
          <w:szCs w:val="24"/>
        </w:rPr>
        <w:instrText> ответить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реализации мер перестройки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отсутствует </w:instrText>
      </w:r>
      <w:r w:rsidRPr="007E1000">
        <w:rPr>
          <w:rFonts w:ascii="Times New Roman" w:eastAsia="Times New Roman" w:hAnsi="Times New Roman" w:cs="Times New Roman"/>
          <w:noProof/>
          <w:color w:val="000000" w:themeColor="text1"/>
          <w:sz w:val="24"/>
          <w:szCs w:val="24"/>
          <w:lang w:eastAsia="ru-RU"/>
        </w:rPr>
        <w:instrText>реформ</w:instrText>
      </w:r>
      <w:r w:rsidRPr="007E1000">
        <w:rPr>
          <w:rFonts w:ascii="Times New Roman" w:eastAsia="Times New Roman" w:hAnsi="Times New Roman" w:cs="Times New Roman"/>
          <w:noProof/>
          <w:color w:val="FFFFFF"/>
          <w:spacing w:val="-20000"/>
          <w:sz w:val="24"/>
          <w:szCs w:val="24"/>
        </w:rPr>
        <w:instrText> этой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1990-х гг., в результате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анализируя </w:instrText>
      </w:r>
      <w:r w:rsidRPr="007E1000">
        <w:rPr>
          <w:rFonts w:ascii="Times New Roman" w:eastAsia="Times New Roman" w:hAnsi="Times New Roman" w:cs="Times New Roman"/>
          <w:noProof/>
          <w:color w:val="000000" w:themeColor="text1"/>
          <w:sz w:val="24"/>
          <w:szCs w:val="24"/>
          <w:lang w:eastAsia="ru-RU"/>
        </w:rPr>
        <w:instrText>которых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образовался спад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венных </w:instrText>
      </w:r>
      <w:r w:rsidRPr="007E1000">
        <w:rPr>
          <w:rFonts w:ascii="Times New Roman" w:eastAsia="Times New Roman" w:hAnsi="Times New Roman" w:cs="Times New Roman"/>
          <w:noProof/>
          <w:color w:val="000000" w:themeColor="text1"/>
          <w:sz w:val="24"/>
          <w:szCs w:val="24"/>
          <w:lang w:eastAsia="ru-RU"/>
        </w:rPr>
        <w:instrText>производства</w:instrText>
      </w:r>
      <w:r w:rsidRPr="007E1000">
        <w:rPr>
          <w:rFonts w:ascii="Times New Roman" w:eastAsia="Times New Roman" w:hAnsi="Times New Roman" w:cs="Times New Roman"/>
          <w:noProof/>
          <w:color w:val="FFFFFF"/>
          <w:spacing w:val="-20000"/>
          <w:sz w:val="24"/>
          <w:szCs w:val="24"/>
        </w:rPr>
        <w:instrText> государство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многие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крупнейшие</w:instrText>
      </w:r>
      <w:r w:rsidRPr="007E1000">
        <w:rPr>
          <w:rFonts w:ascii="Times New Roman" w:eastAsia="Times New Roman" w:hAnsi="Times New Roman" w:cs="Times New Roman"/>
          <w:noProof/>
          <w:color w:val="FFFFFF"/>
          <w:spacing w:val="-20000"/>
          <w:sz w:val="24"/>
          <w:szCs w:val="24"/>
        </w:rPr>
        <w:instrText> нных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компании стали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продуктам </w:instrText>
      </w:r>
      <w:r w:rsidRPr="007E1000">
        <w:rPr>
          <w:rFonts w:ascii="Times New Roman" w:eastAsia="Times New Roman" w:hAnsi="Times New Roman" w:cs="Times New Roman"/>
          <w:noProof/>
          <w:color w:val="000000" w:themeColor="text1"/>
          <w:sz w:val="24"/>
          <w:szCs w:val="24"/>
          <w:lang w:eastAsia="ru-RU"/>
        </w:rPr>
        <w:instrText>убыточными</w:instrText>
      </w:r>
      <w:r w:rsidRPr="007E1000">
        <w:rPr>
          <w:rFonts w:ascii="Times New Roman" w:eastAsia="Times New Roman" w:hAnsi="Times New Roman" w:cs="Times New Roman"/>
          <w:noProof/>
          <w:color w:val="FFFFFF"/>
          <w:spacing w:val="-20000"/>
          <w:sz w:val="24"/>
          <w:szCs w:val="24"/>
        </w:rPr>
        <w:instrText> дований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Организация инновационной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различные </w:instrText>
      </w:r>
      <w:r w:rsidRPr="007E1000">
        <w:rPr>
          <w:rFonts w:ascii="Times New Roman" w:eastAsia="Times New Roman" w:hAnsi="Times New Roman" w:cs="Times New Roman"/>
          <w:noProof/>
          <w:color w:val="000000" w:themeColor="text1"/>
          <w:sz w:val="24"/>
          <w:szCs w:val="24"/>
          <w:lang w:eastAsia="ru-RU"/>
        </w:rPr>
        <w:instrText>деятельности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представляет большую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могут </w:instrText>
      </w:r>
      <w:r w:rsidRPr="007E1000">
        <w:rPr>
          <w:rFonts w:ascii="Times New Roman" w:eastAsia="Times New Roman" w:hAnsi="Times New Roman" w:cs="Times New Roman"/>
          <w:noProof/>
          <w:color w:val="000000" w:themeColor="text1"/>
          <w:sz w:val="24"/>
          <w:szCs w:val="24"/>
          <w:lang w:eastAsia="ru-RU"/>
        </w:rPr>
        <w:instrText>сложность</w:instrText>
      </w:r>
      <w:r w:rsidRPr="007E1000">
        <w:rPr>
          <w:rFonts w:ascii="Times New Roman" w:eastAsia="Times New Roman" w:hAnsi="Times New Roman" w:cs="Times New Roman"/>
          <w:noProof/>
          <w:color w:val="FFFFFF"/>
          <w:spacing w:val="-20000"/>
          <w:sz w:val="24"/>
          <w:szCs w:val="24"/>
        </w:rPr>
        <w:instrText> внедрению</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для нынешнего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состояния</w:instrText>
      </w:r>
      <w:r w:rsidRPr="007E1000">
        <w:rPr>
          <w:rFonts w:ascii="Times New Roman" w:eastAsia="Times New Roman" w:hAnsi="Times New Roman" w:cs="Times New Roman"/>
          <w:noProof/>
          <w:color w:val="FFFFFF"/>
          <w:spacing w:val="-20000"/>
          <w:sz w:val="24"/>
          <w:szCs w:val="24"/>
        </w:rPr>
        <w:instrText> российская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институтов экономики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инновациям </w:instrText>
      </w:r>
      <w:r w:rsidRPr="007E1000">
        <w:rPr>
          <w:rFonts w:ascii="Times New Roman" w:eastAsia="Times New Roman" w:hAnsi="Times New Roman" w:cs="Times New Roman"/>
          <w:noProof/>
          <w:color w:val="000000" w:themeColor="text1"/>
          <w:sz w:val="24"/>
          <w:szCs w:val="24"/>
          <w:lang w:eastAsia="ru-RU"/>
        </w:rPr>
        <w:instrText>социума</w:instrText>
      </w:r>
      <w:r w:rsidRPr="007E1000">
        <w:rPr>
          <w:rFonts w:ascii="Times New Roman" w:eastAsia="Times New Roman" w:hAnsi="Times New Roman" w:cs="Times New Roman"/>
          <w:noProof/>
          <w:color w:val="FFFFFF"/>
          <w:spacing w:val="-20000"/>
          <w:sz w:val="24"/>
          <w:szCs w:val="24"/>
        </w:rPr>
        <w:instrText> максимально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поэтому следует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тенциала </w:instrText>
      </w:r>
      <w:r w:rsidRPr="007E1000">
        <w:rPr>
          <w:rFonts w:ascii="Times New Roman" w:eastAsia="Times New Roman" w:hAnsi="Times New Roman" w:cs="Times New Roman"/>
          <w:noProof/>
          <w:color w:val="000000" w:themeColor="text1"/>
          <w:sz w:val="24"/>
          <w:szCs w:val="24"/>
          <w:lang w:eastAsia="ru-RU"/>
        </w:rPr>
        <w:instrText>искать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нетрадиционный путь.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ществляются </w:instrText>
      </w:r>
      <w:r w:rsidRPr="007E1000">
        <w:rPr>
          <w:rFonts w:ascii="Times New Roman" w:eastAsia="Times New Roman" w:hAnsi="Times New Roman" w:cs="Times New Roman"/>
          <w:noProof/>
          <w:color w:val="000000" w:themeColor="text1"/>
          <w:sz w:val="24"/>
          <w:szCs w:val="24"/>
          <w:lang w:eastAsia="ru-RU"/>
        </w:rPr>
        <w:instrText>Многие</w:instrText>
      </w:r>
      <w:r w:rsidRPr="007E1000">
        <w:rPr>
          <w:rFonts w:ascii="Times New Roman" w:eastAsia="Times New Roman" w:hAnsi="Times New Roman" w:cs="Times New Roman"/>
          <w:noProof/>
          <w:color w:val="FFFFFF"/>
          <w:spacing w:val="-20000"/>
          <w:sz w:val="24"/>
          <w:szCs w:val="24"/>
        </w:rPr>
        <w:instrText> связи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являющиеся</w:instrText>
      </w:r>
      <w:r w:rsidRPr="007E1000">
        <w:rPr>
          <w:rFonts w:ascii="Times New Roman" w:eastAsia="Times New Roman" w:hAnsi="Times New Roman" w:cs="Times New Roman"/>
          <w:noProof/>
          <w:color w:val="FFFFFF"/>
          <w:spacing w:val="-20000"/>
          <w:sz w:val="24"/>
          <w:szCs w:val="24"/>
        </w:rPr>
        <w:instrText> проекты</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лидерами в экономике и 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руют </w:instrText>
      </w:r>
      <w:r w:rsidRPr="007E1000">
        <w:rPr>
          <w:rFonts w:ascii="Times New Roman" w:eastAsia="Times New Roman" w:hAnsi="Times New Roman" w:cs="Times New Roman"/>
          <w:noProof/>
          <w:color w:val="000000" w:themeColor="text1"/>
          <w:sz w:val="24"/>
          <w:szCs w:val="24"/>
          <w:lang w:eastAsia="ru-RU"/>
        </w:rPr>
        <w:instrText>различных</w:instrText>
      </w:r>
      <w:r w:rsidRPr="007E1000">
        <w:rPr>
          <w:rFonts w:ascii="Times New Roman" w:eastAsia="Times New Roman" w:hAnsi="Times New Roman" w:cs="Times New Roman"/>
          <w:noProof/>
          <w:color w:val="FFFFFF"/>
          <w:spacing w:val="-20000"/>
          <w:sz w:val="24"/>
          <w:szCs w:val="24"/>
        </w:rPr>
        <w:instrText> стало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рынках инновационных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логически </w:instrText>
      </w:r>
      <w:r w:rsidRPr="007E1000">
        <w:rPr>
          <w:rFonts w:ascii="Times New Roman" w:eastAsia="Times New Roman" w:hAnsi="Times New Roman" w:cs="Times New Roman"/>
          <w:noProof/>
          <w:color w:val="000000" w:themeColor="text1"/>
          <w:sz w:val="24"/>
          <w:szCs w:val="24"/>
          <w:lang w:eastAsia="ru-RU"/>
        </w:rPr>
        <w:instrText>технологий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выбирают путь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scores </w:instrText>
      </w:r>
      <w:r w:rsidRPr="007E1000">
        <w:rPr>
          <w:rFonts w:ascii="Times New Roman" w:eastAsia="Times New Roman" w:hAnsi="Times New Roman" w:cs="Times New Roman"/>
          <w:noProof/>
          <w:color w:val="000000" w:themeColor="text1"/>
          <w:sz w:val="24"/>
          <w:szCs w:val="24"/>
          <w:lang w:eastAsia="ru-RU"/>
        </w:rPr>
        <w:instrText>четко</w:instrText>
      </w:r>
      <w:r w:rsidRPr="007E1000">
        <w:rPr>
          <w:rFonts w:ascii="Times New Roman" w:eastAsia="Times New Roman" w:hAnsi="Times New Roman" w:cs="Times New Roman"/>
          <w:noProof/>
          <w:color w:val="FFFFFF"/>
          <w:spacing w:val="-20000"/>
          <w:sz w:val="24"/>
          <w:szCs w:val="24"/>
        </w:rPr>
        <w:instrText> сектора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организованной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государственной</w:instrText>
      </w:r>
      <w:r w:rsidRPr="007E1000">
        <w:rPr>
          <w:rFonts w:ascii="Times New Roman" w:eastAsia="Times New Roman" w:hAnsi="Times New Roman" w:cs="Times New Roman"/>
          <w:noProof/>
          <w:color w:val="FFFFFF"/>
          <w:spacing w:val="-20000"/>
          <w:sz w:val="24"/>
          <w:szCs w:val="24"/>
        </w:rPr>
        <w:instrText> экономической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политики, чем значительно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своей </w:instrText>
      </w:r>
      <w:r w:rsidRPr="007E1000">
        <w:rPr>
          <w:rFonts w:ascii="Times New Roman" w:eastAsia="Times New Roman" w:hAnsi="Times New Roman" w:cs="Times New Roman"/>
          <w:noProof/>
          <w:color w:val="000000" w:themeColor="text1"/>
          <w:sz w:val="24"/>
          <w:szCs w:val="24"/>
          <w:lang w:eastAsia="ru-RU"/>
        </w:rPr>
        <w:instrText>ускоряют</w:instrText>
      </w:r>
      <w:r w:rsidRPr="007E1000">
        <w:rPr>
          <w:rFonts w:ascii="Times New Roman" w:eastAsia="Times New Roman" w:hAnsi="Times New Roman" w:cs="Times New Roman"/>
          <w:noProof/>
          <w:color w:val="FFFFFF"/>
          <w:spacing w:val="-20000"/>
          <w:sz w:val="24"/>
          <w:szCs w:val="24"/>
        </w:rPr>
        <w:instrText> доли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темп развития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ствляют </w:instrText>
      </w:r>
      <w:r w:rsidRPr="007E1000">
        <w:rPr>
          <w:rFonts w:ascii="Times New Roman" w:eastAsia="Times New Roman" w:hAnsi="Times New Roman" w:cs="Times New Roman"/>
          <w:noProof/>
          <w:color w:val="000000" w:themeColor="text1"/>
          <w:sz w:val="24"/>
          <w:szCs w:val="24"/>
          <w:lang w:eastAsia="ru-RU"/>
        </w:rPr>
        <w:instrText>инноваций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своей стране – например, в США особое место уделяется вопросу по коммерческому использованию результатов интеллектуальной деятельности разработавшими их институтами. </w:t>
      </w:r>
    </w:p>
    <w:p w14:paraId="270B61BE"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климат </w:instrText>
      </w:r>
      <w:r w:rsidRPr="007E1000">
        <w:rPr>
          <w:rFonts w:ascii="Times New Roman" w:eastAsia="Times New Roman" w:hAnsi="Times New Roman" w:cs="Times New Roman"/>
          <w:noProof/>
          <w:color w:val="000000" w:themeColor="text1"/>
          <w:sz w:val="24"/>
          <w:szCs w:val="24"/>
          <w:lang w:eastAsia="ru-RU"/>
        </w:rPr>
        <w:instrText>Говоря</w:instrText>
      </w:r>
      <w:r w:rsidRPr="007E1000">
        <w:rPr>
          <w:rFonts w:ascii="Times New Roman" w:eastAsia="Times New Roman" w:hAnsi="Times New Roman" w:cs="Times New Roman"/>
          <w:noProof/>
          <w:color w:val="FFFFFF"/>
          <w:spacing w:val="-20000"/>
          <w:sz w:val="24"/>
          <w:szCs w:val="24"/>
        </w:rPr>
        <w:instrText> структуре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 государственной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поддержке</w:instrText>
      </w:r>
      <w:r w:rsidRPr="007E1000">
        <w:rPr>
          <w:rFonts w:ascii="Times New Roman" w:eastAsia="Times New Roman" w:hAnsi="Times New Roman" w:cs="Times New Roman"/>
          <w:noProof/>
          <w:color w:val="FFFFFF"/>
          <w:spacing w:val="-20000"/>
          <w:sz w:val="24"/>
          <w:szCs w:val="24"/>
        </w:rPr>
        <w:instrText> циала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нельзя обойти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опросы </w:instrText>
      </w:r>
      <w:r w:rsidRPr="007E1000">
        <w:rPr>
          <w:rFonts w:ascii="Times New Roman" w:eastAsia="Times New Roman" w:hAnsi="Times New Roman" w:cs="Times New Roman"/>
          <w:noProof/>
          <w:color w:val="000000" w:themeColor="text1"/>
          <w:sz w:val="24"/>
          <w:szCs w:val="24"/>
          <w:lang w:eastAsia="ru-RU"/>
        </w:rPr>
        <w:instrText>вниманием</w:instrText>
      </w:r>
      <w:r w:rsidRPr="007E1000">
        <w:rPr>
          <w:rFonts w:ascii="Times New Roman" w:eastAsia="Times New Roman" w:hAnsi="Times New Roman" w:cs="Times New Roman"/>
          <w:noProof/>
          <w:color w:val="FFFFFF"/>
          <w:spacing w:val="-20000"/>
          <w:sz w:val="24"/>
          <w:szCs w:val="24"/>
        </w:rPr>
        <w:instrText> мировых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вопрос налоговых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расходов </w:instrText>
      </w:r>
      <w:r w:rsidRPr="007E1000">
        <w:rPr>
          <w:rFonts w:ascii="Times New Roman" w:eastAsia="Times New Roman" w:hAnsi="Times New Roman" w:cs="Times New Roman"/>
          <w:noProof/>
          <w:color w:val="000000" w:themeColor="text1"/>
          <w:sz w:val="24"/>
          <w:szCs w:val="24"/>
          <w:lang w:eastAsia="ru-RU"/>
        </w:rPr>
        <w:instrText>льгот</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Главным, наиболее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большой </w:instrText>
      </w:r>
      <w:r w:rsidRPr="007E1000">
        <w:rPr>
          <w:rFonts w:ascii="Times New Roman" w:eastAsia="Times New Roman" w:hAnsi="Times New Roman" w:cs="Times New Roman"/>
          <w:noProof/>
          <w:color w:val="000000" w:themeColor="text1"/>
          <w:sz w:val="24"/>
          <w:szCs w:val="24"/>
          <w:lang w:eastAsia="ru-RU"/>
        </w:rPr>
        <w:instrText>продуктивным</w:instrText>
      </w:r>
      <w:r w:rsidRPr="007E1000">
        <w:rPr>
          <w:rFonts w:ascii="Times New Roman" w:eastAsia="Times New Roman" w:hAnsi="Times New Roman" w:cs="Times New Roman"/>
          <w:noProof/>
          <w:color w:val="FFFFFF"/>
          <w:spacing w:val="-20000"/>
          <w:sz w:val="24"/>
          <w:szCs w:val="24"/>
        </w:rPr>
        <w:instrText> экономический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инструментом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стимулирования</w:instrText>
      </w:r>
      <w:r w:rsidRPr="007E1000">
        <w:rPr>
          <w:rFonts w:ascii="Times New Roman" w:eastAsia="Times New Roman" w:hAnsi="Times New Roman" w:cs="Times New Roman"/>
          <w:noProof/>
          <w:color w:val="FFFFFF"/>
          <w:spacing w:val="-20000"/>
          <w:sz w:val="24"/>
          <w:szCs w:val="24"/>
        </w:rPr>
        <w:instrText> южная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инновационных предприятий, в том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россии </w:instrText>
      </w:r>
      <w:r w:rsidRPr="007E1000">
        <w:rPr>
          <w:rFonts w:ascii="Times New Roman" w:eastAsia="Times New Roman" w:hAnsi="Times New Roman" w:cs="Times New Roman"/>
          <w:noProof/>
          <w:color w:val="000000" w:themeColor="text1"/>
          <w:sz w:val="24"/>
          <w:szCs w:val="24"/>
          <w:lang w:eastAsia="ru-RU"/>
        </w:rPr>
        <w:instrText>числе</w:instrText>
      </w:r>
      <w:r w:rsidRPr="007E1000">
        <w:rPr>
          <w:rFonts w:ascii="Times New Roman" w:eastAsia="Times New Roman" w:hAnsi="Times New Roman" w:cs="Times New Roman"/>
          <w:noProof/>
          <w:color w:val="FFFFFF"/>
          <w:spacing w:val="-20000"/>
          <w:sz w:val="24"/>
          <w:szCs w:val="24"/>
        </w:rPr>
        <w:instrText> переход</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 малых, является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дологии </w:instrText>
      </w:r>
      <w:r w:rsidRPr="007E1000">
        <w:rPr>
          <w:rFonts w:ascii="Times New Roman" w:eastAsia="Times New Roman" w:hAnsi="Times New Roman" w:cs="Times New Roman"/>
          <w:noProof/>
          <w:color w:val="000000" w:themeColor="text1"/>
          <w:sz w:val="24"/>
          <w:szCs w:val="24"/>
          <w:lang w:eastAsia="ru-RU"/>
        </w:rPr>
        <w:instrText>снижение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налогов. Конечно, в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index </w:instrText>
      </w:r>
      <w:r w:rsidRPr="007E1000">
        <w:rPr>
          <w:rFonts w:ascii="Times New Roman" w:eastAsia="Times New Roman" w:hAnsi="Times New Roman" w:cs="Times New Roman"/>
          <w:noProof/>
          <w:color w:val="000000" w:themeColor="text1"/>
          <w:sz w:val="24"/>
          <w:szCs w:val="24"/>
          <w:lang w:eastAsia="ru-RU"/>
        </w:rPr>
        <w:instrText>условиях</w:instrText>
      </w:r>
      <w:r w:rsidRPr="007E1000">
        <w:rPr>
          <w:rFonts w:ascii="Times New Roman" w:eastAsia="Times New Roman" w:hAnsi="Times New Roman" w:cs="Times New Roman"/>
          <w:noProof/>
          <w:color w:val="FFFFFF"/>
          <w:spacing w:val="-20000"/>
          <w:sz w:val="24"/>
          <w:szCs w:val="24"/>
        </w:rPr>
        <w:instrText> сектора</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инфляции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такое</w:instrText>
      </w:r>
      <w:r w:rsidRPr="007E1000">
        <w:rPr>
          <w:rFonts w:ascii="Times New Roman" w:eastAsia="Times New Roman" w:hAnsi="Times New Roman" w:cs="Times New Roman"/>
          <w:noProof/>
          <w:color w:val="FFFFFF"/>
          <w:spacing w:val="-20000"/>
          <w:sz w:val="24"/>
          <w:szCs w:val="24"/>
        </w:rPr>
        <w:instrText> дополнительных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решение принимать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положения </w:instrText>
      </w:r>
      <w:r w:rsidRPr="007E1000">
        <w:rPr>
          <w:rFonts w:ascii="Times New Roman" w:eastAsia="Times New Roman" w:hAnsi="Times New Roman" w:cs="Times New Roman"/>
          <w:noProof/>
          <w:color w:val="000000" w:themeColor="text1"/>
          <w:sz w:val="24"/>
          <w:szCs w:val="24"/>
          <w:lang w:eastAsia="ru-RU"/>
        </w:rPr>
        <w:instrText>довольно-таки</w:instrText>
      </w:r>
      <w:r w:rsidRPr="007E1000">
        <w:rPr>
          <w:rFonts w:ascii="Times New Roman" w:eastAsia="Times New Roman" w:hAnsi="Times New Roman" w:cs="Times New Roman"/>
          <w:noProof/>
          <w:color w:val="FFFFFF"/>
          <w:spacing w:val="-20000"/>
          <w:sz w:val="24"/>
          <w:szCs w:val="24"/>
        </w:rPr>
        <w:instrText> фундаме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сложно, но в нем есть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innovation </w:instrText>
      </w:r>
      <w:r w:rsidRPr="007E1000">
        <w:rPr>
          <w:rFonts w:ascii="Times New Roman" w:eastAsia="Times New Roman" w:hAnsi="Times New Roman" w:cs="Times New Roman"/>
          <w:noProof/>
          <w:color w:val="000000" w:themeColor="text1"/>
          <w:sz w:val="24"/>
          <w:szCs w:val="24"/>
          <w:lang w:eastAsia="ru-RU"/>
        </w:rPr>
        <w:instrText>крайняя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необходимость. Торгово-промышленная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низованной </w:instrText>
      </w:r>
      <w:r w:rsidRPr="007E1000">
        <w:rPr>
          <w:rFonts w:ascii="Times New Roman" w:eastAsia="Times New Roman" w:hAnsi="Times New Roman" w:cs="Times New Roman"/>
          <w:noProof/>
          <w:color w:val="000000" w:themeColor="text1"/>
          <w:sz w:val="24"/>
          <w:szCs w:val="24"/>
          <w:lang w:eastAsia="ru-RU"/>
        </w:rPr>
        <w:instrText>палата</w:instrText>
      </w:r>
      <w:r w:rsidRPr="007E1000">
        <w:rPr>
          <w:rFonts w:ascii="Times New Roman" w:eastAsia="Times New Roman" w:hAnsi="Times New Roman" w:cs="Times New Roman"/>
          <w:noProof/>
          <w:color w:val="FFFFFF"/>
          <w:spacing w:val="-20000"/>
          <w:sz w:val="24"/>
          <w:szCs w:val="24"/>
        </w:rPr>
        <w:instrText> россия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России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создала</w:instrText>
      </w:r>
      <w:r w:rsidRPr="007E1000">
        <w:rPr>
          <w:rFonts w:ascii="Times New Roman" w:eastAsia="Times New Roman" w:hAnsi="Times New Roman" w:cs="Times New Roman"/>
          <w:noProof/>
          <w:color w:val="FFFFFF"/>
          <w:spacing w:val="-20000"/>
          <w:sz w:val="24"/>
          <w:szCs w:val="24"/>
        </w:rPr>
        <w:instrText> двадцать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целый ряд разработок по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которые </w:instrText>
      </w:r>
      <w:r w:rsidRPr="007E1000">
        <w:rPr>
          <w:rFonts w:ascii="Times New Roman" w:eastAsia="Times New Roman" w:hAnsi="Times New Roman" w:cs="Times New Roman"/>
          <w:noProof/>
          <w:color w:val="000000" w:themeColor="text1"/>
          <w:sz w:val="24"/>
          <w:szCs w:val="24"/>
          <w:lang w:eastAsia="ru-RU"/>
        </w:rPr>
        <w:instrText>налоговому</w:instrText>
      </w:r>
      <w:r w:rsidRPr="007E1000">
        <w:rPr>
          <w:rFonts w:ascii="Times New Roman" w:eastAsia="Times New Roman" w:hAnsi="Times New Roman" w:cs="Times New Roman"/>
          <w:noProof/>
          <w:color w:val="FFFFFF"/>
          <w:spacing w:val="-20000"/>
          <w:sz w:val="24"/>
          <w:szCs w:val="24"/>
        </w:rPr>
        <w:instrText> сфере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стимулированию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непрерывного </w:instrText>
      </w:r>
      <w:r w:rsidRPr="007E1000">
        <w:rPr>
          <w:rFonts w:ascii="Times New Roman" w:eastAsia="Times New Roman" w:hAnsi="Times New Roman" w:cs="Times New Roman"/>
          <w:noProof/>
          <w:color w:val="000000" w:themeColor="text1"/>
          <w:sz w:val="24"/>
          <w:szCs w:val="24"/>
          <w:lang w:eastAsia="ru-RU"/>
        </w:rPr>
        <w:instrText>инновационной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деятельности и предложила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функциональный </w:instrText>
      </w:r>
      <w:r w:rsidRPr="007E1000">
        <w:rPr>
          <w:rFonts w:ascii="Times New Roman" w:eastAsia="Times New Roman" w:hAnsi="Times New Roman" w:cs="Times New Roman"/>
          <w:noProof/>
          <w:color w:val="000000" w:themeColor="text1"/>
          <w:sz w:val="24"/>
          <w:szCs w:val="24"/>
          <w:lang w:eastAsia="ru-RU"/>
        </w:rPr>
        <w:instrText>ввести</w:instrText>
      </w:r>
      <w:r w:rsidRPr="007E1000">
        <w:rPr>
          <w:rFonts w:ascii="Times New Roman" w:eastAsia="Times New Roman" w:hAnsi="Times New Roman" w:cs="Times New Roman"/>
          <w:noProof/>
          <w:color w:val="FFFFFF"/>
          <w:spacing w:val="-20000"/>
          <w:sz w:val="24"/>
          <w:szCs w:val="24"/>
        </w:rPr>
        <w:instrText> внутренних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особый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налоговый</w:instrText>
      </w:r>
      <w:r w:rsidRPr="007E1000">
        <w:rPr>
          <w:rFonts w:ascii="Times New Roman" w:eastAsia="Times New Roman" w:hAnsi="Times New Roman" w:cs="Times New Roman"/>
          <w:noProof/>
          <w:color w:val="FFFFFF"/>
          <w:spacing w:val="-20000"/>
          <w:sz w:val="24"/>
          <w:szCs w:val="24"/>
        </w:rPr>
        <w:instrText> стран</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режим для малых 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альтернативной </w:instrText>
      </w:r>
      <w:r w:rsidRPr="007E1000">
        <w:rPr>
          <w:rFonts w:ascii="Times New Roman" w:eastAsia="Times New Roman" w:hAnsi="Times New Roman" w:cs="Times New Roman"/>
          <w:noProof/>
          <w:color w:val="000000" w:themeColor="text1"/>
          <w:sz w:val="24"/>
          <w:szCs w:val="24"/>
          <w:lang w:eastAsia="ru-RU"/>
        </w:rPr>
        <w:instrText>средних</w:instrText>
      </w:r>
      <w:r w:rsidRPr="007E1000">
        <w:rPr>
          <w:rFonts w:ascii="Times New Roman" w:eastAsia="Times New Roman" w:hAnsi="Times New Roman" w:cs="Times New Roman"/>
          <w:noProof/>
          <w:color w:val="FFFFFF"/>
          <w:spacing w:val="-20000"/>
          <w:sz w:val="24"/>
          <w:szCs w:val="24"/>
        </w:rPr>
        <w:instrText> ральным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инновационных предприятий.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являющиеся </w:instrText>
      </w:r>
      <w:r w:rsidRPr="007E1000">
        <w:rPr>
          <w:rFonts w:ascii="Times New Roman" w:eastAsia="Times New Roman" w:hAnsi="Times New Roman" w:cs="Times New Roman"/>
          <w:noProof/>
          <w:color w:val="000000" w:themeColor="text1"/>
          <w:sz w:val="24"/>
          <w:szCs w:val="24"/>
          <w:lang w:eastAsia="ru-RU"/>
        </w:rPr>
        <w:instrText>Кроме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того, она предложила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обусловлено </w:instrText>
      </w:r>
      <w:r w:rsidRPr="007E1000">
        <w:rPr>
          <w:rFonts w:ascii="Times New Roman" w:eastAsia="Times New Roman" w:hAnsi="Times New Roman" w:cs="Times New Roman"/>
          <w:noProof/>
          <w:color w:val="000000" w:themeColor="text1"/>
          <w:sz w:val="24"/>
          <w:szCs w:val="24"/>
          <w:lang w:eastAsia="ru-RU"/>
        </w:rPr>
        <w:instrText>освободить</w:instrText>
      </w:r>
      <w:r w:rsidRPr="007E1000">
        <w:rPr>
          <w:rFonts w:ascii="Times New Roman" w:eastAsia="Times New Roman" w:hAnsi="Times New Roman" w:cs="Times New Roman"/>
          <w:noProof/>
          <w:color w:val="FFFFFF"/>
          <w:spacing w:val="-20000"/>
          <w:sz w:val="24"/>
          <w:szCs w:val="24"/>
        </w:rPr>
        <w:instrText> внутренних</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новые малые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инновационные</w:instrText>
      </w:r>
      <w:r w:rsidRPr="007E1000">
        <w:rPr>
          <w:rFonts w:ascii="Times New Roman" w:eastAsia="Times New Roman" w:hAnsi="Times New Roman" w:cs="Times New Roman"/>
          <w:noProof/>
          <w:color w:val="FFFFFF"/>
          <w:spacing w:val="-20000"/>
          <w:sz w:val="24"/>
          <w:szCs w:val="24"/>
        </w:rPr>
        <w:instrText> конечном</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предприятия в ближайшие два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также </w:instrText>
      </w:r>
      <w:r w:rsidRPr="007E1000">
        <w:rPr>
          <w:rFonts w:ascii="Times New Roman" w:eastAsia="Times New Roman" w:hAnsi="Times New Roman" w:cs="Times New Roman"/>
          <w:noProof/>
          <w:color w:val="000000" w:themeColor="text1"/>
          <w:sz w:val="24"/>
          <w:szCs w:val="24"/>
          <w:lang w:eastAsia="ru-RU"/>
        </w:rPr>
        <w:instrText>года</w:instrText>
      </w:r>
      <w:r w:rsidRPr="007E1000">
        <w:rPr>
          <w:rFonts w:ascii="Times New Roman" w:eastAsia="Times New Roman" w:hAnsi="Times New Roman" w:cs="Times New Roman"/>
          <w:noProof/>
          <w:color w:val="FFFFFF"/>
          <w:spacing w:val="-20000"/>
          <w:sz w:val="24"/>
          <w:szCs w:val="24"/>
        </w:rPr>
        <w:instrText> быть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деятельности от уплаты налога на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science </w:instrText>
      </w:r>
      <w:r w:rsidRPr="007E1000">
        <w:rPr>
          <w:rFonts w:ascii="Times New Roman" w:eastAsia="Times New Roman" w:hAnsi="Times New Roman" w:cs="Times New Roman"/>
          <w:noProof/>
          <w:color w:val="000000" w:themeColor="text1"/>
          <w:sz w:val="24"/>
          <w:szCs w:val="24"/>
          <w:lang w:eastAsia="ru-RU"/>
        </w:rPr>
        <w:instrText>прибыль</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w:t>
      </w:r>
    </w:p>
    <w:p w14:paraId="17E910C7" w14:textId="77777777" w:rsidR="007E1000" w:rsidRPr="007E1000" w:rsidRDefault="007E1000" w:rsidP="007E1000">
      <w:pPr>
        <w:spacing w:line="24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Российская экономика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функциям </w:instrText>
      </w:r>
      <w:r w:rsidRPr="007E1000">
        <w:rPr>
          <w:rFonts w:ascii="Times New Roman" w:eastAsia="Times New Roman" w:hAnsi="Times New Roman" w:cs="Times New Roman"/>
          <w:noProof/>
          <w:color w:val="000000" w:themeColor="text1"/>
          <w:sz w:val="24"/>
          <w:szCs w:val="24"/>
          <w:lang w:eastAsia="ru-RU"/>
        </w:rPr>
        <w:instrText>выдвигает</w:instrText>
      </w:r>
      <w:r w:rsidRPr="007E1000">
        <w:rPr>
          <w:rFonts w:ascii="Times New Roman" w:eastAsia="Times New Roman" w:hAnsi="Times New Roman" w:cs="Times New Roman"/>
          <w:noProof/>
          <w:color w:val="FFFFFF"/>
          <w:spacing w:val="-20000"/>
          <w:sz w:val="24"/>
          <w:szCs w:val="24"/>
        </w:rPr>
        <w:instrText> цели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требования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усиления</w:instrText>
      </w:r>
      <w:r w:rsidRPr="007E1000">
        <w:rPr>
          <w:rFonts w:ascii="Times New Roman" w:eastAsia="Times New Roman" w:hAnsi="Times New Roman" w:cs="Times New Roman"/>
          <w:noProof/>
          <w:color w:val="FFFFFF"/>
          <w:spacing w:val="-20000"/>
          <w:sz w:val="24"/>
          <w:szCs w:val="24"/>
        </w:rPr>
        <w:instrText> этого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государственного и общест</w:t>
      </w:r>
      <w:r w:rsidRPr="007E1000">
        <w:rPr>
          <w:rFonts w:ascii="Times New Roman" w:eastAsia="Times New Roman" w:hAnsi="Times New Roman" w:cs="Times New Roman"/>
          <w:sz w:val="24"/>
          <w:szCs w:val="24"/>
          <w:highlight w:val="white"/>
        </w:rPr>
        <w:t>венного</w:t>
      </w:r>
      <w:r w:rsidRPr="007E1000">
        <w:rPr>
          <w:rFonts w:ascii="Times New Roman" w:eastAsia="Times New Roman" w:hAnsi="Times New Roman" w:cs="Times New Roman"/>
          <w:color w:val="000000" w:themeColor="text1"/>
          <w:sz w:val="24"/>
          <w:szCs w:val="24"/>
          <w:lang w:eastAsia="ru-RU"/>
        </w:rPr>
        <w:t xml:space="preserve"> контроля за эффективностью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аким </w:instrText>
      </w:r>
      <w:r w:rsidRPr="007E1000">
        <w:rPr>
          <w:rFonts w:ascii="Times New Roman" w:eastAsia="Times New Roman" w:hAnsi="Times New Roman" w:cs="Times New Roman"/>
          <w:noProof/>
          <w:color w:val="000000" w:themeColor="text1"/>
          <w:sz w:val="24"/>
          <w:szCs w:val="24"/>
          <w:lang w:eastAsia="ru-RU"/>
        </w:rPr>
        <w:instrText>преференций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предназначенных для компаний, зани</w:t>
      </w:r>
      <w:r w:rsidRPr="007E1000">
        <w:rPr>
          <w:rFonts w:ascii="Times New Roman" w:eastAsia="Times New Roman" w:hAnsi="Times New Roman" w:cs="Times New Roman"/>
          <w:sz w:val="24"/>
          <w:szCs w:val="24"/>
          <w:highlight w:val="white"/>
        </w:rPr>
        <w:t>мающихся</w:t>
      </w:r>
      <w:r w:rsidRPr="007E1000">
        <w:rPr>
          <w:rFonts w:ascii="Times New Roman" w:eastAsia="Times New Roman" w:hAnsi="Times New Roman" w:cs="Times New Roman"/>
          <w:color w:val="000000" w:themeColor="text1"/>
          <w:sz w:val="24"/>
          <w:szCs w:val="24"/>
          <w:lang w:eastAsia="ru-RU"/>
        </w:rPr>
        <w:t xml:space="preserve"> инновационной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деятельностью</w:instrText>
      </w:r>
      <w:r w:rsidRPr="007E1000">
        <w:rPr>
          <w:rFonts w:ascii="Times New Roman" w:eastAsia="Times New Roman" w:hAnsi="Times New Roman" w:cs="Times New Roman"/>
          <w:noProof/>
          <w:color w:val="FFFFFF"/>
          <w:spacing w:val="-20000"/>
          <w:sz w:val="24"/>
          <w:szCs w:val="24"/>
        </w:rPr>
        <w:instrText> изменяется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[1, с. 45]. Главной проблемой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развитие </w:instrText>
      </w:r>
      <w:r w:rsidRPr="007E1000">
        <w:rPr>
          <w:rFonts w:ascii="Times New Roman" w:eastAsia="Times New Roman" w:hAnsi="Times New Roman" w:cs="Times New Roman"/>
          <w:noProof/>
          <w:color w:val="000000" w:themeColor="text1"/>
          <w:sz w:val="24"/>
          <w:szCs w:val="24"/>
          <w:lang w:eastAsia="ru-RU"/>
        </w:rPr>
        <w:instrText>инновационной</w:instrText>
      </w:r>
      <w:r w:rsidRPr="007E1000">
        <w:rPr>
          <w:rFonts w:ascii="Times New Roman" w:eastAsia="Times New Roman" w:hAnsi="Times New Roman" w:cs="Times New Roman"/>
          <w:noProof/>
          <w:color w:val="FFFFFF"/>
          <w:spacing w:val="-20000"/>
          <w:sz w:val="24"/>
          <w:szCs w:val="24"/>
        </w:rPr>
        <w:instrText> эффективности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сферы России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инновационное </w:instrText>
      </w:r>
      <w:r w:rsidRPr="007E1000">
        <w:rPr>
          <w:rFonts w:ascii="Times New Roman" w:eastAsia="Times New Roman" w:hAnsi="Times New Roman" w:cs="Times New Roman"/>
          <w:noProof/>
          <w:color w:val="000000" w:themeColor="text1"/>
          <w:sz w:val="24"/>
          <w:szCs w:val="24"/>
          <w:lang w:eastAsia="ru-RU"/>
        </w:rPr>
        <w:instrText>является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то, что страна не умеет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инновационного </w:instrText>
      </w:r>
      <w:r w:rsidRPr="007E1000">
        <w:rPr>
          <w:rFonts w:ascii="Times New Roman" w:eastAsia="Times New Roman" w:hAnsi="Times New Roman" w:cs="Times New Roman"/>
          <w:noProof/>
          <w:color w:val="000000" w:themeColor="text1"/>
          <w:sz w:val="24"/>
          <w:szCs w:val="24"/>
          <w:lang w:eastAsia="ru-RU"/>
        </w:rPr>
        <w:instrText>превращать</w:instrText>
      </w:r>
      <w:r w:rsidRPr="007E1000">
        <w:rPr>
          <w:rFonts w:ascii="Times New Roman" w:eastAsia="Times New Roman" w:hAnsi="Times New Roman" w:cs="Times New Roman"/>
          <w:noProof/>
          <w:color w:val="FFFFFF"/>
          <w:spacing w:val="-20000"/>
          <w:sz w:val="24"/>
          <w:szCs w:val="24"/>
        </w:rPr>
        <w:instrText> соединенными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интеллектуальный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потенциал</w:instrText>
      </w:r>
      <w:r w:rsidRPr="007E1000">
        <w:rPr>
          <w:rFonts w:ascii="Times New Roman" w:eastAsia="Times New Roman" w:hAnsi="Times New Roman" w:cs="Times New Roman"/>
          <w:noProof/>
          <w:color w:val="FFFFFF"/>
          <w:spacing w:val="-20000"/>
          <w:sz w:val="24"/>
          <w:szCs w:val="24"/>
        </w:rPr>
        <w:instrText> году</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активы или бренды. Для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государство </w:instrText>
      </w:r>
      <w:r w:rsidRPr="007E1000">
        <w:rPr>
          <w:rFonts w:ascii="Times New Roman" w:eastAsia="Times New Roman" w:hAnsi="Times New Roman" w:cs="Times New Roman"/>
          <w:noProof/>
          <w:color w:val="000000" w:themeColor="text1"/>
          <w:sz w:val="24"/>
          <w:szCs w:val="24"/>
          <w:lang w:eastAsia="ru-RU"/>
        </w:rPr>
        <w:instrText>этого</w:instrText>
      </w:r>
      <w:r w:rsidRPr="007E1000">
        <w:rPr>
          <w:rFonts w:ascii="Times New Roman" w:eastAsia="Times New Roman" w:hAnsi="Times New Roman" w:cs="Times New Roman"/>
          <w:noProof/>
          <w:color w:val="FFFFFF"/>
          <w:spacing w:val="-20000"/>
          <w:sz w:val="24"/>
          <w:szCs w:val="24"/>
        </w:rPr>
        <w:instrText> обусловлено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необходимо заняться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тесном </w:instrText>
      </w:r>
      <w:r w:rsidRPr="007E1000">
        <w:rPr>
          <w:rFonts w:ascii="Times New Roman" w:eastAsia="Times New Roman" w:hAnsi="Times New Roman" w:cs="Times New Roman"/>
          <w:noProof/>
          <w:color w:val="000000" w:themeColor="text1"/>
          <w:sz w:val="24"/>
          <w:szCs w:val="24"/>
          <w:lang w:eastAsia="ru-RU"/>
        </w:rPr>
        <w:instrText>вопросами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касающимися этой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forum </w:instrText>
      </w:r>
      <w:r w:rsidRPr="007E1000">
        <w:rPr>
          <w:rFonts w:ascii="Times New Roman" w:eastAsia="Times New Roman" w:hAnsi="Times New Roman" w:cs="Times New Roman"/>
          <w:noProof/>
          <w:color w:val="000000" w:themeColor="text1"/>
          <w:sz w:val="24"/>
          <w:szCs w:val="24"/>
          <w:lang w:eastAsia="ru-RU"/>
        </w:rPr>
        <w:instrText>проблемы</w:instrText>
      </w:r>
      <w:r w:rsidRPr="007E1000">
        <w:rPr>
          <w:rFonts w:ascii="Times New Roman" w:eastAsia="Times New Roman" w:hAnsi="Times New Roman" w:cs="Times New Roman"/>
          <w:noProof/>
          <w:color w:val="FFFFFF"/>
          <w:spacing w:val="-20000"/>
          <w:sz w:val="24"/>
          <w:szCs w:val="24"/>
        </w:rPr>
        <w:instrText> привел</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в частности -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принять</w:instrText>
      </w:r>
      <w:r w:rsidRPr="007E1000">
        <w:rPr>
          <w:rFonts w:ascii="Times New Roman" w:eastAsia="Times New Roman" w:hAnsi="Times New Roman" w:cs="Times New Roman"/>
          <w:noProof/>
          <w:color w:val="FFFFFF"/>
          <w:spacing w:val="-20000"/>
          <w:sz w:val="24"/>
          <w:szCs w:val="24"/>
        </w:rPr>
        <w:instrText> надлежности</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законопроект, который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ствованного </w:instrText>
      </w:r>
      <w:r w:rsidRPr="007E1000">
        <w:rPr>
          <w:rFonts w:ascii="Times New Roman" w:eastAsia="Times New Roman" w:hAnsi="Times New Roman" w:cs="Times New Roman"/>
          <w:noProof/>
          <w:color w:val="000000" w:themeColor="text1"/>
          <w:sz w:val="24"/>
          <w:szCs w:val="24"/>
          <w:lang w:eastAsia="ru-RU"/>
        </w:rPr>
        <w:instrText>разрешил</w:instrText>
      </w:r>
      <w:r w:rsidRPr="007E1000">
        <w:rPr>
          <w:rFonts w:ascii="Times New Roman" w:eastAsia="Times New Roman" w:hAnsi="Times New Roman" w:cs="Times New Roman"/>
          <w:noProof/>
          <w:color w:val="FFFFFF"/>
          <w:spacing w:val="-20000"/>
          <w:sz w:val="24"/>
          <w:szCs w:val="24"/>
        </w:rPr>
        <w:instrText> информационные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бы вузам создавать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диффузия </w:instrText>
      </w:r>
      <w:r w:rsidRPr="007E1000">
        <w:rPr>
          <w:rFonts w:ascii="Times New Roman" w:eastAsia="Times New Roman" w:hAnsi="Times New Roman" w:cs="Times New Roman"/>
          <w:noProof/>
          <w:color w:val="000000" w:themeColor="text1"/>
          <w:sz w:val="24"/>
          <w:szCs w:val="24"/>
          <w:lang w:eastAsia="ru-RU"/>
        </w:rPr>
        <w:instrText>коммерческие</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структуры.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global </w:instrText>
      </w:r>
      <w:r w:rsidRPr="007E1000">
        <w:rPr>
          <w:rFonts w:ascii="Times New Roman" w:eastAsia="Times New Roman" w:hAnsi="Times New Roman" w:cs="Times New Roman"/>
          <w:noProof/>
          <w:color w:val="000000" w:themeColor="text1"/>
          <w:sz w:val="24"/>
          <w:szCs w:val="24"/>
          <w:lang w:eastAsia="ru-RU"/>
        </w:rPr>
        <w:instrText>Данный</w:instrText>
      </w:r>
      <w:r w:rsidRPr="007E1000">
        <w:rPr>
          <w:rFonts w:ascii="Times New Roman" w:eastAsia="Times New Roman" w:hAnsi="Times New Roman" w:cs="Times New Roman"/>
          <w:noProof/>
          <w:color w:val="FFFFFF"/>
          <w:spacing w:val="-20000"/>
          <w:sz w:val="24"/>
          <w:szCs w:val="24"/>
        </w:rPr>
        <w:instrText> крупная</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законопроект мог бы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000000" w:themeColor="text1"/>
          <w:sz w:val="24"/>
          <w:szCs w:val="24"/>
          <w:lang w:eastAsia="ru-RU"/>
        </w:rPr>
        <w:instrText>стать</w:instrText>
      </w:r>
      <w:r w:rsidRPr="007E1000">
        <w:rPr>
          <w:rFonts w:ascii="Times New Roman" w:eastAsia="Times New Roman" w:hAnsi="Times New Roman" w:cs="Times New Roman"/>
          <w:noProof/>
          <w:color w:val="FFFFFF"/>
          <w:spacing w:val="-20000"/>
          <w:sz w:val="24"/>
          <w:szCs w:val="24"/>
        </w:rPr>
        <w:instrText> изводителей</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средством развития </w:t>
      </w:r>
      <w:r w:rsidRPr="007E1000">
        <w:rPr>
          <w:rFonts w:ascii="Times New Roman" w:eastAsia="Times New Roman" w:hAnsi="Times New Roman" w:cs="Times New Roman"/>
          <w:sz w:val="24"/>
          <w:szCs w:val="24"/>
        </w:rPr>
        <w:fldChar w:fldCharType="begin"/>
      </w:r>
      <w:r w:rsidRPr="007E1000">
        <w:rPr>
          <w:rFonts w:ascii="Times New Roman" w:eastAsia="Times New Roman" w:hAnsi="Times New Roman" w:cs="Times New Roman"/>
          <w:sz w:val="24"/>
          <w:szCs w:val="24"/>
        </w:rPr>
        <w:instrText xml:space="preserve">eq </w:instrText>
      </w:r>
      <w:r w:rsidRPr="007E1000">
        <w:rPr>
          <w:rFonts w:ascii="Times New Roman" w:eastAsia="Times New Roman" w:hAnsi="Times New Roman" w:cs="Times New Roman"/>
          <w:noProof/>
          <w:color w:val="FFFFFF"/>
          <w:spacing w:val="-20000"/>
          <w:sz w:val="24"/>
          <w:szCs w:val="24"/>
        </w:rPr>
        <w:instrText xml:space="preserve"> могут </w:instrText>
      </w:r>
      <w:r w:rsidRPr="007E1000">
        <w:rPr>
          <w:rFonts w:ascii="Times New Roman" w:eastAsia="Times New Roman" w:hAnsi="Times New Roman" w:cs="Times New Roman"/>
          <w:noProof/>
          <w:color w:val="000000" w:themeColor="text1"/>
          <w:sz w:val="24"/>
          <w:szCs w:val="24"/>
          <w:lang w:eastAsia="ru-RU"/>
        </w:rPr>
        <w:instrText>венчурного</w:instrText>
      </w:r>
      <w:r w:rsidRPr="007E1000">
        <w:rPr>
          <w:rFonts w:ascii="Times New Roman" w:eastAsia="Times New Roman" w:hAnsi="Times New Roman" w:cs="Times New Roman"/>
          <w:noProof/>
          <w:color w:val="FFFFFF"/>
          <w:spacing w:val="-20000"/>
          <w:sz w:val="24"/>
          <w:szCs w:val="24"/>
        </w:rPr>
        <w:instrText> место</w:instrText>
      </w:r>
      <w:r w:rsidRPr="007E1000">
        <w:rPr>
          <w:rFonts w:ascii="Times New Roman" w:eastAsia="Times New Roman" w:hAnsi="Times New Roman" w:cs="Times New Roman"/>
          <w:sz w:val="24"/>
          <w:szCs w:val="24"/>
        </w:rPr>
        <w:fldChar w:fldCharType="end"/>
      </w:r>
      <w:r w:rsidRPr="007E1000">
        <w:rPr>
          <w:rFonts w:ascii="Times New Roman" w:eastAsia="Times New Roman" w:hAnsi="Times New Roman" w:cs="Times New Roman"/>
          <w:color w:val="000000" w:themeColor="text1"/>
          <w:sz w:val="24"/>
          <w:szCs w:val="24"/>
          <w:lang w:eastAsia="ru-RU"/>
        </w:rPr>
        <w:t xml:space="preserve"> бизнеса в России. </w:t>
      </w:r>
    </w:p>
    <w:p w14:paraId="4535DC2A" w14:textId="77777777" w:rsidR="007E1000" w:rsidRPr="007E1000" w:rsidRDefault="007E1000" w:rsidP="007E1000">
      <w:pPr>
        <w:shd w:val="clear" w:color="auto" w:fill="FFFFFF"/>
        <w:spacing w:line="240" w:lineRule="auto"/>
        <w:jc w:val="both"/>
        <w:rPr>
          <w:rFonts w:ascii="Times New Roman" w:eastAsia="Times New Roman" w:hAnsi="Times New Roman" w:cs="Times New Roman"/>
          <w:color w:val="000000" w:themeColor="text1"/>
          <w:sz w:val="24"/>
          <w:szCs w:val="24"/>
          <w:lang w:eastAsia="ru-RU"/>
        </w:rPr>
      </w:pP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Россия</w:instrText>
      </w:r>
      <w:r w:rsidRPr="007E1000">
        <w:rPr>
          <w:rFonts w:ascii="Times New Roman" w:eastAsia="Times New Roman" w:hAnsi="Times New Roman" w:cs="Times New Roman"/>
          <w:noProof/>
          <w:color w:val="FFFFFF"/>
          <w:spacing w:val="-20000"/>
          <w:sz w:val="24"/>
          <w:szCs w:val="24"/>
          <w:lang w:eastAsia="ru-RU"/>
        </w:rPr>
        <w:instrText> возникнуть</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перед </w:t>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возникший </w:instrText>
      </w:r>
      <w:r w:rsidRPr="007E1000">
        <w:rPr>
          <w:rFonts w:ascii="Times New Roman" w:eastAsia="Times New Roman" w:hAnsi="Times New Roman" w:cs="Times New Roman"/>
          <w:noProof/>
          <w:color w:val="000000" w:themeColor="text1"/>
          <w:sz w:val="24"/>
          <w:szCs w:val="24"/>
          <w:lang w:eastAsia="ru-RU"/>
        </w:rPr>
        <w:instrText>собой</w:instrText>
      </w:r>
      <w:r w:rsidRPr="007E1000">
        <w:rPr>
          <w:rFonts w:ascii="Times New Roman" w:eastAsia="Times New Roman" w:hAnsi="Times New Roman" w:cs="Times New Roman"/>
          <w:noProof/>
          <w:color w:val="FFFFFF"/>
          <w:spacing w:val="-20000"/>
          <w:sz w:val="24"/>
          <w:szCs w:val="24"/>
          <w:lang w:eastAsia="ru-RU"/>
        </w:rPr>
        <w:instrText> формированию</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долгосрочного развития,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ресурса </w:instrText>
      </w:r>
      <w:r w:rsidRPr="007E1000">
        <w:rPr>
          <w:rFonts w:ascii="Times New Roman" w:eastAsia="Times New Roman" w:hAnsi="Times New Roman" w:cs="Times New Roman"/>
          <w:noProof/>
          <w:color w:val="000000" w:themeColor="text1"/>
          <w:sz w:val="24"/>
          <w:szCs w:val="24"/>
          <w:lang w:eastAsia="ru-RU"/>
        </w:rPr>
        <w:instrText>цели</w:instrText>
      </w:r>
      <w:r w:rsidRPr="007E1000">
        <w:rPr>
          <w:rFonts w:ascii="Times New Roman" w:eastAsia="Times New Roman" w:hAnsi="Times New Roman" w:cs="Times New Roman"/>
          <w:sz w:val="24"/>
          <w:szCs w:val="24"/>
          <w:lang w:eastAsia="ru-RU"/>
        </w:rPr>
        <w:fldChar w:fldCharType="end"/>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жизни </w:instrText>
      </w:r>
      <w:r w:rsidRPr="007E1000">
        <w:rPr>
          <w:rFonts w:ascii="Times New Roman" w:eastAsia="Times New Roman" w:hAnsi="Times New Roman" w:cs="Times New Roman"/>
          <w:noProof/>
          <w:color w:val="000000" w:themeColor="text1"/>
          <w:sz w:val="24"/>
          <w:szCs w:val="24"/>
          <w:lang w:eastAsia="ru-RU"/>
        </w:rPr>
        <w:instrText>заключающиеся</w:instrText>
      </w:r>
      <w:r w:rsidRPr="007E1000">
        <w:rPr>
          <w:rFonts w:ascii="Times New Roman" w:eastAsia="Times New Roman" w:hAnsi="Times New Roman" w:cs="Times New Roman"/>
          <w:noProof/>
          <w:color w:val="FFFFFF"/>
          <w:spacing w:val="-20000"/>
          <w:sz w:val="24"/>
          <w:szCs w:val="24"/>
          <w:lang w:eastAsia="ru-RU"/>
        </w:rPr>
        <w:instrText> связи</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и закреплении геополитической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высокого</w:instrText>
      </w:r>
      <w:r w:rsidRPr="007E1000">
        <w:rPr>
          <w:rFonts w:ascii="Times New Roman" w:eastAsia="Times New Roman" w:hAnsi="Times New Roman" w:cs="Times New Roman"/>
          <w:noProof/>
          <w:color w:val="FFFFFF"/>
          <w:spacing w:val="-20000"/>
          <w:sz w:val="24"/>
          <w:szCs w:val="24"/>
          <w:lang w:eastAsia="ru-RU"/>
        </w:rPr>
        <w:instrText> инновациям</w:instrText>
      </w:r>
      <w:r w:rsidRPr="007E1000">
        <w:rPr>
          <w:rFonts w:ascii="Times New Roman" w:eastAsia="Times New Roman" w:hAnsi="Times New Roman" w:cs="Times New Roman"/>
          <w:sz w:val="24"/>
          <w:szCs w:val="24"/>
          <w:lang w:eastAsia="ru-RU"/>
        </w:rPr>
        <w:fldChar w:fldCharType="end"/>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вобождения </w:instrText>
      </w:r>
      <w:r w:rsidRPr="007E1000">
        <w:rPr>
          <w:rFonts w:ascii="Times New Roman" w:eastAsia="Times New Roman" w:hAnsi="Times New Roman" w:cs="Times New Roman"/>
          <w:noProof/>
          <w:color w:val="000000" w:themeColor="text1"/>
          <w:sz w:val="24"/>
          <w:szCs w:val="24"/>
          <w:lang w:eastAsia="ru-RU"/>
        </w:rPr>
        <w:instrText>населения</w:instrText>
      </w:r>
      <w:r w:rsidRPr="007E1000">
        <w:rPr>
          <w:rFonts w:ascii="Times New Roman" w:eastAsia="Times New Roman" w:hAnsi="Times New Roman" w:cs="Times New Roman"/>
          <w:noProof/>
          <w:color w:val="FFFFFF"/>
          <w:spacing w:val="-20000"/>
          <w:sz w:val="24"/>
          <w:szCs w:val="24"/>
          <w:lang w:eastAsia="ru-RU"/>
        </w:rPr>
        <w:instrText> лавшие</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политическую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выделенного </w:instrText>
      </w:r>
      <w:r w:rsidRPr="007E1000">
        <w:rPr>
          <w:rFonts w:ascii="Times New Roman" w:eastAsia="Times New Roman" w:hAnsi="Times New Roman" w:cs="Times New Roman"/>
          <w:noProof/>
          <w:color w:val="000000" w:themeColor="text1"/>
          <w:sz w:val="24"/>
          <w:szCs w:val="24"/>
          <w:lang w:eastAsia="ru-RU"/>
        </w:rPr>
        <w:instrText>роли</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Наиболее эффективным возможным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шенно </w:instrText>
      </w:r>
      <w:r w:rsidRPr="007E1000">
        <w:rPr>
          <w:rFonts w:ascii="Times New Roman" w:eastAsia="Times New Roman" w:hAnsi="Times New Roman" w:cs="Times New Roman"/>
          <w:noProof/>
          <w:color w:val="000000" w:themeColor="text1"/>
          <w:sz w:val="24"/>
          <w:szCs w:val="24"/>
          <w:lang w:eastAsia="ru-RU"/>
        </w:rPr>
        <w:instrText>лидеров</w:instrText>
      </w:r>
      <w:r w:rsidRPr="007E1000">
        <w:rPr>
          <w:rFonts w:ascii="Times New Roman" w:eastAsia="Times New Roman" w:hAnsi="Times New Roman" w:cs="Times New Roman"/>
          <w:noProof/>
          <w:color w:val="FFFFFF"/>
          <w:spacing w:val="-20000"/>
          <w:sz w:val="24"/>
          <w:szCs w:val="24"/>
          <w:lang w:eastAsia="ru-RU"/>
        </w:rPr>
        <w:instrText> формированию</w:instrText>
      </w:r>
      <w:r w:rsidRPr="007E1000">
        <w:rPr>
          <w:rFonts w:ascii="Times New Roman" w:eastAsia="Times New Roman" w:hAnsi="Times New Roman" w:cs="Times New Roman"/>
          <w:sz w:val="24"/>
          <w:szCs w:val="24"/>
          <w:lang w:eastAsia="ru-RU"/>
        </w:rPr>
        <w:fldChar w:fldCharType="end"/>
      </w:r>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000000" w:themeColor="text1"/>
          <w:sz w:val="24"/>
          <w:szCs w:val="24"/>
          <w:lang w:eastAsia="ru-RU"/>
        </w:rPr>
        <w:instrText>мировую</w:instrText>
      </w:r>
      <w:r w:rsidRPr="007E1000">
        <w:rPr>
          <w:rFonts w:ascii="Times New Roman" w:eastAsia="Times New Roman" w:hAnsi="Times New Roman" w:cs="Times New Roman"/>
          <w:noProof/>
          <w:color w:val="FFFFFF"/>
          <w:spacing w:val="-20000"/>
          <w:sz w:val="24"/>
          <w:szCs w:val="24"/>
          <w:lang w:eastAsia="ru-RU"/>
        </w:rPr>
        <w:instrText> проблема</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российской экономики, ее отраслей из сырьевой области на инновационную </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обеспечивающим </w:instrText>
      </w:r>
      <w:r w:rsidRPr="007E1000">
        <w:rPr>
          <w:rFonts w:ascii="Times New Roman" w:eastAsia="Times New Roman" w:hAnsi="Times New Roman" w:cs="Times New Roman"/>
          <w:noProof/>
          <w:color w:val="000000" w:themeColor="text1"/>
          <w:sz w:val="24"/>
          <w:szCs w:val="24"/>
          <w:lang w:eastAsia="ru-RU"/>
        </w:rPr>
        <w:instrText>повестку</w:instrText>
      </w:r>
      <w:r w:rsidRPr="007E1000">
        <w:rPr>
          <w:rFonts w:ascii="Times New Roman" w:eastAsia="Times New Roman" w:hAnsi="Times New Roman" w:cs="Times New Roman"/>
          <w:noProof/>
          <w:color w:val="FFFFFF"/>
          <w:spacing w:val="-20000"/>
          <w:sz w:val="24"/>
          <w:szCs w:val="24"/>
          <w:lang w:eastAsia="ru-RU"/>
        </w:rPr>
        <w:instrText> развития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ориентированную модель </w:t>
      </w:r>
      <w:bookmarkStart w:id="15" w:name="_Hlk511823057"/>
      <w:r w:rsidRPr="630840AF">
        <w:rPr>
          <w:lang w:eastAsia="ru-RU"/>
        </w:rPr>
        <w:t>￼</w:t>
      </w:r>
      <w:r w:rsidRPr="007E1000">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соединенными </w:instrText>
      </w:r>
      <w:r w:rsidRPr="007E1000">
        <w:rPr>
          <w:rFonts w:ascii="Times New Roman" w:eastAsia="Times New Roman" w:hAnsi="Times New Roman" w:cs="Times New Roman"/>
          <w:noProof/>
          <w:color w:val="000000" w:themeColor="text1"/>
          <w:sz w:val="24"/>
          <w:szCs w:val="24"/>
          <w:lang w:eastAsia="ru-RU"/>
        </w:rPr>
        <w:instrText>способом</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достижения этих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которой </w:instrText>
      </w:r>
      <w:r w:rsidRPr="007E1000">
        <w:rPr>
          <w:rFonts w:ascii="Times New Roman" w:eastAsia="Times New Roman" w:hAnsi="Times New Roman" w:cs="Times New Roman"/>
          <w:noProof/>
          <w:color w:val="000000" w:themeColor="text1"/>
          <w:sz w:val="24"/>
          <w:szCs w:val="24"/>
          <w:lang w:eastAsia="ru-RU"/>
        </w:rPr>
        <w:instrText>целей</w:instrText>
      </w:r>
      <w:r w:rsidRPr="007E1000">
        <w:rPr>
          <w:rFonts w:ascii="Times New Roman" w:eastAsia="Times New Roman" w:hAnsi="Times New Roman" w:cs="Times New Roman"/>
          <w:noProof/>
          <w:color w:val="FFFFFF"/>
          <w:spacing w:val="-20000"/>
          <w:sz w:val="24"/>
          <w:szCs w:val="24"/>
          <w:lang w:eastAsia="ru-RU"/>
        </w:rPr>
        <w:instrText> тенциала</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 может являться </w:t>
      </w:r>
      <w:r w:rsidRPr="007E1000">
        <w:rPr>
          <w:rFonts w:ascii="Times New Roman" w:eastAsia="Times New Roman" w:hAnsi="Times New Roman" w:cs="Times New Roman"/>
          <w:sz w:val="24"/>
          <w:szCs w:val="24"/>
          <w:highlight w:val="white"/>
          <w:lang w:eastAsia="ru-RU"/>
        </w:rPr>
        <w:t>перепрофилирование</w:t>
      </w:r>
      <w:r w:rsidRPr="007E1000">
        <w:rPr>
          <w:rFonts w:ascii="Times New Roman" w:eastAsia="Times New Roman" w:hAnsi="Times New Roman" w:cs="Times New Roman"/>
          <w:color w:val="000000" w:themeColor="text1"/>
          <w:sz w:val="24"/>
          <w:szCs w:val="24"/>
          <w:lang w:eastAsia="ru-RU"/>
        </w:rPr>
        <w:t xml:space="preserve"> российской экономики, ее отраслей из сырьевой </w:t>
      </w:r>
      <w:r w:rsidRPr="007E1000">
        <w:rPr>
          <w:rFonts w:ascii="Times New Roman" w:eastAsia="Times New Roman" w:hAnsi="Times New Roman" w:cs="Times New Roman"/>
          <w:color w:val="000000" w:themeColor="text1"/>
          <w:sz w:val="24"/>
          <w:szCs w:val="24"/>
          <w:lang w:eastAsia="ru-RU"/>
        </w:rPr>
        <w:lastRenderedPageBreak/>
        <w:t xml:space="preserve">области на инновационную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ления </w:instrText>
      </w:r>
      <w:r w:rsidRPr="007E1000">
        <w:rPr>
          <w:rFonts w:ascii="Times New Roman" w:eastAsia="Times New Roman" w:hAnsi="Times New Roman" w:cs="Times New Roman"/>
          <w:noProof/>
          <w:color w:val="000000" w:themeColor="text1"/>
          <w:sz w:val="24"/>
          <w:szCs w:val="24"/>
          <w:lang w:eastAsia="ru-RU"/>
        </w:rPr>
        <w:instrText>социально</w:instrText>
      </w:r>
      <w:r w:rsidRPr="007E1000">
        <w:rPr>
          <w:rFonts w:ascii="Times New Roman" w:eastAsia="Times New Roman" w:hAnsi="Times New Roman" w:cs="Times New Roman"/>
          <w:noProof/>
          <w:color w:val="FFFFFF"/>
          <w:spacing w:val="-20000"/>
          <w:sz w:val="24"/>
          <w:szCs w:val="24"/>
          <w:lang w:eastAsia="ru-RU"/>
        </w:rPr>
        <w:instrText> место</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color w:val="000000" w:themeColor="text1"/>
          <w:sz w:val="24"/>
          <w:szCs w:val="24"/>
          <w:lang w:eastAsia="ru-RU"/>
        </w:rPr>
        <w:t xml:space="preserve">-ориентированную модель </w:t>
      </w:r>
      <w:r w:rsidRPr="007E1000">
        <w:rPr>
          <w:rFonts w:ascii="Times New Roman" w:eastAsia="Times New Roman" w:hAnsi="Times New Roman" w:cs="Times New Roman"/>
          <w:sz w:val="24"/>
          <w:szCs w:val="24"/>
          <w:lang w:eastAsia="ru-RU"/>
        </w:rPr>
        <w:fldChar w:fldCharType="begin"/>
      </w:r>
      <w:r w:rsidRPr="007E1000">
        <w:rPr>
          <w:rFonts w:ascii="Times New Roman" w:eastAsia="Times New Roman" w:hAnsi="Times New Roman" w:cs="Times New Roman"/>
          <w:sz w:val="24"/>
          <w:szCs w:val="24"/>
          <w:lang w:eastAsia="ru-RU"/>
        </w:rPr>
        <w:instrText xml:space="preserve">eq </w:instrText>
      </w:r>
      <w:r w:rsidRPr="007E1000">
        <w:rPr>
          <w:rFonts w:ascii="Times New Roman" w:eastAsia="Times New Roman" w:hAnsi="Times New Roman" w:cs="Times New Roman"/>
          <w:noProof/>
          <w:color w:val="FFFFFF"/>
          <w:spacing w:val="-20000"/>
          <w:sz w:val="24"/>
          <w:szCs w:val="24"/>
          <w:lang w:eastAsia="ru-RU"/>
        </w:rPr>
        <w:instrText xml:space="preserve"> малые </w:instrText>
      </w:r>
      <w:r w:rsidRPr="007E1000">
        <w:rPr>
          <w:rFonts w:ascii="Times New Roman" w:eastAsia="Times New Roman" w:hAnsi="Times New Roman" w:cs="Times New Roman"/>
          <w:noProof/>
          <w:color w:val="000000" w:themeColor="text1"/>
          <w:sz w:val="24"/>
          <w:szCs w:val="24"/>
          <w:lang w:eastAsia="ru-RU"/>
        </w:rPr>
        <w:instrText>развития</w:instrText>
      </w:r>
      <w:r w:rsidRPr="007E1000">
        <w:rPr>
          <w:rFonts w:ascii="Times New Roman" w:eastAsia="Times New Roman" w:hAnsi="Times New Roman" w:cs="Times New Roman"/>
          <w:sz w:val="24"/>
          <w:szCs w:val="24"/>
          <w:lang w:eastAsia="ru-RU"/>
        </w:rPr>
        <w:fldChar w:fldCharType="end"/>
      </w:r>
      <w:r w:rsidRPr="007E1000">
        <w:rPr>
          <w:rFonts w:ascii="Times New Roman" w:eastAsia="Times New Roman" w:hAnsi="Times New Roman" w:cs="Times New Roman"/>
          <w:sz w:val="24"/>
          <w:szCs w:val="24"/>
          <w:lang w:eastAsia="ru-RU"/>
        </w:rPr>
        <w:t xml:space="preserve"> отраслей с высокой долей добавленной стоимости – обрабатывающих отраслей, инфраструктуры, информационных технологий и т.п.</w:t>
      </w:r>
      <w:bookmarkEnd w:id="15"/>
    </w:p>
    <w:p w14:paraId="2DE00C70"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0828AFE0"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7BBBDB27"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68285AC0"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63ED297C"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700A880C"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7D962636"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2A552BBE"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41558D7E" w14:textId="77777777" w:rsidR="007E1000" w:rsidRPr="007E1000" w:rsidRDefault="007E1000" w:rsidP="007E1000">
      <w:pPr>
        <w:shd w:val="clear" w:color="auto" w:fill="FFFFFF"/>
        <w:spacing w:after="0" w:line="360" w:lineRule="auto"/>
        <w:contextualSpacing/>
        <w:rPr>
          <w:rFonts w:ascii="Times New Roman" w:eastAsia="Times New Roman" w:hAnsi="Times New Roman" w:cs="Times New Roman"/>
          <w:color w:val="000000" w:themeColor="text1"/>
          <w:sz w:val="24"/>
          <w:szCs w:val="24"/>
          <w:lang w:eastAsia="ru-RU"/>
        </w:rPr>
      </w:pPr>
    </w:p>
    <w:p w14:paraId="791C0BC8"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6109F0E2"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39C05CC7"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1EF533CB"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22E2EB0F"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5F1A1ADB"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6D013848"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104D497C"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2C344184"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13AA0B87"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0E474E68"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50DF6546"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740FBA26"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025E7F4C"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526139AB"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60A5ECF6"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07B15200"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490E2721" w14:textId="77777777" w:rsidR="007E1000" w:rsidRPr="007E1000" w:rsidRDefault="007E1000" w:rsidP="007E1000">
      <w:pPr>
        <w:shd w:val="clear" w:color="auto" w:fill="FFFFFF"/>
        <w:spacing w:after="0" w:line="360" w:lineRule="auto"/>
        <w:contextualSpacing/>
        <w:jc w:val="center"/>
        <w:rPr>
          <w:rFonts w:ascii="Arial" w:eastAsia="Times New Roman" w:hAnsi="Arial" w:cs="Arial"/>
          <w:color w:val="000000" w:themeColor="text1"/>
          <w:sz w:val="24"/>
          <w:szCs w:val="24"/>
          <w:lang w:eastAsia="ru-RU"/>
        </w:rPr>
      </w:pPr>
    </w:p>
    <w:p w14:paraId="641D4FBA" w14:textId="77777777" w:rsidR="007E1000" w:rsidRPr="007E1000" w:rsidRDefault="630840AF" w:rsidP="630840AF">
      <w:pPr>
        <w:shd w:val="clear" w:color="auto" w:fill="FFFFFF" w:themeFill="background1"/>
        <w:spacing w:after="0" w:line="360" w:lineRule="auto"/>
        <w:contextualSpacing/>
        <w:jc w:val="center"/>
        <w:rPr>
          <w:rFonts w:ascii="Arial" w:eastAsia="Times New Roman" w:hAnsi="Arial" w:cs="Arial"/>
          <w:color w:val="000000" w:themeColor="text1"/>
          <w:sz w:val="24"/>
          <w:szCs w:val="24"/>
          <w:lang w:eastAsia="ru-RU"/>
        </w:rPr>
      </w:pPr>
      <w:r w:rsidRPr="630840AF">
        <w:rPr>
          <w:rFonts w:ascii="Arial" w:eastAsia="Times New Roman" w:hAnsi="Arial" w:cs="Arial"/>
          <w:color w:val="000000" w:themeColor="text1"/>
          <w:sz w:val="24"/>
          <w:szCs w:val="24"/>
          <w:lang w:eastAsia="ru-RU"/>
        </w:rPr>
        <w:t>Список использованных источников</w:t>
      </w:r>
    </w:p>
    <w:p w14:paraId="5AE6D6BE" w14:textId="77777777" w:rsidR="007E1000" w:rsidRPr="007E1000" w:rsidRDefault="007E1000" w:rsidP="007E1000">
      <w:pPr>
        <w:shd w:val="clear" w:color="auto" w:fill="FFFFFF"/>
        <w:spacing w:after="0" w:line="360" w:lineRule="auto"/>
        <w:contextualSpacing/>
        <w:jc w:val="both"/>
        <w:rPr>
          <w:rFonts w:ascii="Arial" w:eastAsia="Times New Roman" w:hAnsi="Arial" w:cs="Arial"/>
          <w:color w:val="000000" w:themeColor="text1"/>
          <w:sz w:val="24"/>
          <w:szCs w:val="24"/>
          <w:lang w:eastAsia="ru-RU"/>
        </w:rPr>
      </w:pPr>
    </w:p>
    <w:p w14:paraId="5152DB95"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Aгaпoвa T.A., Ceрeгинa C.Ф. Мaкрoэкoнoмикa /Т.А. Агапова, С.Ф Серегина. - М.: Синергия, 2013. - 560 с.</w:t>
      </w:r>
    </w:p>
    <w:p w14:paraId="538F4C5C"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Фирова И.П., Ковалев Н.В. Повышение эффективности государственного регулирования инновационной и научно-технической сферы / И.П. Фирова, Н.В. Ковалев// </w:t>
      </w:r>
      <w:r w:rsidRPr="007E1000">
        <w:rPr>
          <w:rFonts w:ascii="Times New Roman" w:eastAsia="Times New Roman" w:hAnsi="Times New Roman" w:cs="Times New Roman"/>
          <w:color w:val="000000" w:themeColor="text1"/>
          <w:sz w:val="24"/>
          <w:szCs w:val="24"/>
          <w:lang w:eastAsia="ru-RU"/>
        </w:rPr>
        <w:lastRenderedPageBreak/>
        <w:t>Известия Санкт-Петербургского государственного экономического университета. - 2015. - № 2 (92). _  С. 15-19.</w:t>
      </w:r>
    </w:p>
    <w:p w14:paraId="6E4A68A5"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Кузык Б.Н. Теория и история цивилизаций / Б.Н. Кузык, Ю.В. Яковец, А.Д. Некипелов. Т. I. - М.: ИНЭС, 2004. - 768 с.</w:t>
      </w:r>
    </w:p>
    <w:p w14:paraId="78F81EDC"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Аркин П.А., Голубев А.Г. Структуризация инновационного процесса в кластере: информационно-логистический метод /П.А. Аркин, А.Г. Голубев // Известия Санкт-Петербургского государственного экономического университета. - 2014. - № 1. - С. 58-62.</w:t>
      </w:r>
    </w:p>
    <w:p w14:paraId="3BFD1982"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Прийма К.А. Сущность инноваций и эволюция научных представлений об инновационном развитии хозяйственной системы /К.А. Прийма // Известия Санкт-Петербургского государственного экономического университета. - 2015. - № 6. - С. 132-136.</w:t>
      </w:r>
    </w:p>
    <w:p w14:paraId="1D4DA08B"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«Российская наука на грани выживания», - заместитель президента РАН [Электронный ресурс]. – Режим доступа: </w:t>
      </w:r>
      <w:hyperlink r:id="rId122" w:history="1">
        <w:r w:rsidRPr="007E1000">
          <w:rPr>
            <w:rFonts w:ascii="Times New Roman" w:eastAsia="Times New Roman" w:hAnsi="Times New Roman" w:cs="Times New Roman"/>
            <w:color w:val="0000FF" w:themeColor="hyperlink"/>
            <w:sz w:val="24"/>
            <w:szCs w:val="24"/>
            <w:u w:val="single"/>
            <w:lang w:val="en-US" w:eastAsia="ru-RU"/>
          </w:rPr>
          <w:t>https</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www</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refnews</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ru</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read</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article</w:t>
        </w:r>
        <w:r w:rsidRPr="007E1000">
          <w:rPr>
            <w:rFonts w:ascii="Times New Roman" w:eastAsia="Times New Roman" w:hAnsi="Times New Roman" w:cs="Times New Roman"/>
            <w:color w:val="0000FF" w:themeColor="hyperlink"/>
            <w:sz w:val="24"/>
            <w:szCs w:val="24"/>
            <w:u w:val="single"/>
            <w:lang w:eastAsia="ru-RU"/>
          </w:rPr>
          <w:t>/1380939</w:t>
        </w:r>
      </w:hyperlink>
    </w:p>
    <w:p w14:paraId="72869EB2" w14:textId="77777777" w:rsidR="007E1000" w:rsidRPr="007E1000" w:rsidRDefault="007E1000" w:rsidP="007E1000">
      <w:pPr>
        <w:spacing w:after="0" w:line="360" w:lineRule="auto"/>
        <w:contextualSpacing/>
        <w:jc w:val="both"/>
        <w:rPr>
          <w:rFonts w:ascii="Times New Roman" w:eastAsia="Times New Roman" w:hAnsi="Times New Roman" w:cs="Times New Roman"/>
          <w:sz w:val="24"/>
          <w:szCs w:val="24"/>
        </w:rPr>
      </w:pPr>
      <w:r w:rsidRPr="007E1000">
        <w:rPr>
          <w:rFonts w:ascii="Times New Roman" w:eastAsia="Times New Roman" w:hAnsi="Times New Roman" w:cs="Times New Roman"/>
          <w:color w:val="000000" w:themeColor="text1"/>
          <w:sz w:val="24"/>
          <w:szCs w:val="24"/>
          <w:lang w:eastAsia="ru-RU"/>
        </w:rPr>
        <w:t xml:space="preserve">Главные достижения России в науке за последние 20 лет [Электронный ресурс]. -Режим доступа: </w:t>
      </w:r>
      <w:hyperlink r:id="rId123" w:history="1">
        <w:r w:rsidRPr="007E1000">
          <w:rPr>
            <w:rFonts w:ascii="Times New Roman" w:eastAsia="Times New Roman" w:hAnsi="Times New Roman" w:cs="Times New Roman"/>
            <w:color w:val="0000FF" w:themeColor="hyperlink"/>
            <w:sz w:val="24"/>
            <w:szCs w:val="24"/>
            <w:u w:val="single"/>
            <w:lang w:val="en-US"/>
          </w:rPr>
          <w:t>https</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moiarussia</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ru</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glavnye</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dostizheniya</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rossii</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v</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nauke</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za</w:t>
        </w:r>
        <w:r w:rsidRPr="007E1000">
          <w:rPr>
            <w:rFonts w:ascii="Times New Roman" w:eastAsia="Times New Roman" w:hAnsi="Times New Roman" w:cs="Times New Roman"/>
            <w:color w:val="0000FF" w:themeColor="hyperlink"/>
            <w:sz w:val="24"/>
            <w:szCs w:val="24"/>
            <w:u w:val="single"/>
          </w:rPr>
          <w:t>-</w:t>
        </w:r>
        <w:r w:rsidRPr="007E1000">
          <w:rPr>
            <w:rFonts w:ascii="Times New Roman" w:eastAsia="Times New Roman" w:hAnsi="Times New Roman" w:cs="Times New Roman"/>
            <w:color w:val="0000FF" w:themeColor="hyperlink"/>
            <w:sz w:val="24"/>
            <w:szCs w:val="24"/>
            <w:u w:val="single"/>
            <w:lang w:val="en-US"/>
          </w:rPr>
          <w:t>poslednie</w:t>
        </w:r>
        <w:r w:rsidRPr="007E1000">
          <w:rPr>
            <w:rFonts w:ascii="Times New Roman" w:eastAsia="Times New Roman" w:hAnsi="Times New Roman" w:cs="Times New Roman"/>
            <w:color w:val="0000FF" w:themeColor="hyperlink"/>
            <w:sz w:val="24"/>
            <w:szCs w:val="24"/>
            <w:u w:val="single"/>
          </w:rPr>
          <w:t>-20-</w:t>
        </w:r>
        <w:r w:rsidRPr="007E1000">
          <w:rPr>
            <w:rFonts w:ascii="Times New Roman" w:eastAsia="Times New Roman" w:hAnsi="Times New Roman" w:cs="Times New Roman"/>
            <w:color w:val="0000FF" w:themeColor="hyperlink"/>
            <w:sz w:val="24"/>
            <w:szCs w:val="24"/>
            <w:u w:val="single"/>
            <w:lang w:val="en-US"/>
          </w:rPr>
          <w:t>let</w:t>
        </w:r>
        <w:r w:rsidRPr="007E1000">
          <w:rPr>
            <w:rFonts w:ascii="Times New Roman" w:eastAsia="Times New Roman" w:hAnsi="Times New Roman" w:cs="Times New Roman"/>
            <w:color w:val="0000FF" w:themeColor="hyperlink"/>
            <w:sz w:val="24"/>
            <w:szCs w:val="24"/>
            <w:u w:val="single"/>
          </w:rPr>
          <w:t>/</w:t>
        </w:r>
      </w:hyperlink>
    </w:p>
    <w:p w14:paraId="75C25614"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Настенко И.В. Инновационный менеджмент в современной России [Электронный ресурс]. -Режим доступа: </w:t>
      </w:r>
      <w:hyperlink r:id="rId124" w:history="1">
        <w:r w:rsidRPr="007E1000">
          <w:rPr>
            <w:rFonts w:ascii="Times New Roman" w:eastAsia="Times New Roman" w:hAnsi="Times New Roman" w:cs="Times New Roman"/>
            <w:color w:val="0000FF" w:themeColor="hyperlink"/>
            <w:sz w:val="24"/>
            <w:szCs w:val="24"/>
            <w:u w:val="single"/>
            <w:lang w:val="en-US" w:eastAsia="ru-RU"/>
          </w:rPr>
          <w:t>https</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sibac</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info</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studconf</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econom</w:t>
        </w:r>
        <w:r w:rsidRPr="007E1000">
          <w:rPr>
            <w:rFonts w:ascii="Times New Roman" w:eastAsia="Times New Roman" w:hAnsi="Times New Roman" w:cs="Times New Roman"/>
            <w:color w:val="0000FF" w:themeColor="hyperlink"/>
            <w:sz w:val="24"/>
            <w:szCs w:val="24"/>
            <w:u w:val="single"/>
            <w:lang w:eastAsia="ru-RU"/>
          </w:rPr>
          <w:t>/</w:t>
        </w:r>
        <w:r w:rsidRPr="007E1000">
          <w:rPr>
            <w:rFonts w:ascii="Times New Roman" w:eastAsia="Times New Roman" w:hAnsi="Times New Roman" w:cs="Times New Roman"/>
            <w:color w:val="0000FF" w:themeColor="hyperlink"/>
            <w:sz w:val="24"/>
            <w:szCs w:val="24"/>
            <w:u w:val="single"/>
            <w:lang w:val="en-US" w:eastAsia="ru-RU"/>
          </w:rPr>
          <w:t>xxiii</w:t>
        </w:r>
        <w:r w:rsidRPr="007E1000">
          <w:rPr>
            <w:rFonts w:ascii="Times New Roman" w:eastAsia="Times New Roman" w:hAnsi="Times New Roman" w:cs="Times New Roman"/>
            <w:color w:val="0000FF" w:themeColor="hyperlink"/>
            <w:sz w:val="24"/>
            <w:szCs w:val="24"/>
            <w:u w:val="single"/>
            <w:lang w:eastAsia="ru-RU"/>
          </w:rPr>
          <w:t>/39013</w:t>
        </w:r>
      </w:hyperlink>
    </w:p>
    <w:p w14:paraId="61B716BD" w14:textId="77777777" w:rsidR="007E1000" w:rsidRPr="007E1000" w:rsidRDefault="007E1000" w:rsidP="007E1000">
      <w:pPr>
        <w:numPr>
          <w:ilvl w:val="0"/>
          <w:numId w:val="85"/>
        </w:numPr>
        <w:spacing w:after="0" w:line="360" w:lineRule="auto"/>
        <w:ind w:left="0" w:firstLine="709"/>
        <w:contextualSpacing/>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О Концепции долгосрочного социально-экономического развития Российской Федерации на период до 2020 года: распоряжение Правительства РФ от 17.11.2008 </w:t>
      </w:r>
      <w:r w:rsidRPr="007E1000">
        <w:rPr>
          <w:rFonts w:ascii="Times New Roman" w:eastAsia="Times New Roman" w:hAnsi="Times New Roman" w:cs="Times New Roman"/>
          <w:color w:val="000000" w:themeColor="text1"/>
          <w:sz w:val="24"/>
          <w:szCs w:val="24"/>
          <w:lang w:val="en-US" w:eastAsia="ru-RU"/>
        </w:rPr>
        <w:t>N</w:t>
      </w:r>
      <w:r w:rsidRPr="007E1000">
        <w:rPr>
          <w:rFonts w:ascii="Times New Roman" w:eastAsia="Times New Roman" w:hAnsi="Times New Roman" w:cs="Times New Roman"/>
          <w:color w:val="000000" w:themeColor="text1"/>
          <w:sz w:val="24"/>
          <w:szCs w:val="24"/>
          <w:lang w:eastAsia="ru-RU"/>
        </w:rPr>
        <w:t xml:space="preserve"> 1662-р (ред. от 10.02.2017) (вместе с «Концепцией долгосрочного социально-экономического развития Российской Федерации на период до 2020 года») [Электронный ресурс] //СПС «КонсультантПлюс». – Режим доступа: </w:t>
      </w:r>
    </w:p>
    <w:p w14:paraId="4A831648" w14:textId="77777777" w:rsidR="007E1000" w:rsidRPr="007E1000" w:rsidRDefault="007014C7" w:rsidP="007E1000">
      <w:pPr>
        <w:spacing w:after="0" w:line="360" w:lineRule="auto"/>
        <w:contextualSpacing/>
        <w:jc w:val="both"/>
        <w:rPr>
          <w:rFonts w:ascii="Times New Roman" w:eastAsia="Times New Roman" w:hAnsi="Times New Roman" w:cs="Times New Roman"/>
          <w:sz w:val="24"/>
          <w:szCs w:val="24"/>
        </w:rPr>
      </w:pPr>
      <w:hyperlink r:id="rId125" w:history="1">
        <w:r w:rsidR="007E1000" w:rsidRPr="007E1000">
          <w:rPr>
            <w:rFonts w:ascii="Times New Roman" w:eastAsia="Times New Roman" w:hAnsi="Times New Roman" w:cs="Times New Roman"/>
            <w:color w:val="0000FF" w:themeColor="hyperlink"/>
            <w:sz w:val="24"/>
            <w:szCs w:val="24"/>
            <w:u w:val="single"/>
            <w:lang w:val="en-US"/>
          </w:rPr>
          <w:t>http</w:t>
        </w:r>
        <w:r w:rsidR="007E1000" w:rsidRPr="007E1000">
          <w:rPr>
            <w:rFonts w:ascii="Times New Roman" w:eastAsia="Times New Roman" w:hAnsi="Times New Roman" w:cs="Times New Roman"/>
            <w:color w:val="0000FF" w:themeColor="hyperlink"/>
            <w:sz w:val="24"/>
            <w:szCs w:val="24"/>
            <w:u w:val="single"/>
          </w:rPr>
          <w:t>://</w:t>
        </w:r>
        <w:r w:rsidR="007E1000" w:rsidRPr="007E1000">
          <w:rPr>
            <w:rFonts w:ascii="Times New Roman" w:eastAsia="Times New Roman" w:hAnsi="Times New Roman" w:cs="Times New Roman"/>
            <w:color w:val="0000FF" w:themeColor="hyperlink"/>
            <w:sz w:val="24"/>
            <w:szCs w:val="24"/>
            <w:u w:val="single"/>
            <w:lang w:val="en-US"/>
          </w:rPr>
          <w:t>www</w:t>
        </w:r>
        <w:r w:rsidR="007E1000" w:rsidRPr="007E1000">
          <w:rPr>
            <w:rFonts w:ascii="Times New Roman" w:eastAsia="Times New Roman" w:hAnsi="Times New Roman" w:cs="Times New Roman"/>
            <w:color w:val="0000FF" w:themeColor="hyperlink"/>
            <w:sz w:val="24"/>
            <w:szCs w:val="24"/>
            <w:u w:val="single"/>
          </w:rPr>
          <w:t>.</w:t>
        </w:r>
        <w:r w:rsidR="007E1000" w:rsidRPr="007E1000">
          <w:rPr>
            <w:rFonts w:ascii="Times New Roman" w:eastAsia="Times New Roman" w:hAnsi="Times New Roman" w:cs="Times New Roman"/>
            <w:color w:val="0000FF" w:themeColor="hyperlink"/>
            <w:sz w:val="24"/>
            <w:szCs w:val="24"/>
            <w:u w:val="single"/>
            <w:lang w:val="en-US"/>
          </w:rPr>
          <w:t>consultant</w:t>
        </w:r>
        <w:r w:rsidR="007E1000" w:rsidRPr="007E1000">
          <w:rPr>
            <w:rFonts w:ascii="Times New Roman" w:eastAsia="Times New Roman" w:hAnsi="Times New Roman" w:cs="Times New Roman"/>
            <w:color w:val="0000FF" w:themeColor="hyperlink"/>
            <w:sz w:val="24"/>
            <w:szCs w:val="24"/>
            <w:u w:val="single"/>
          </w:rPr>
          <w:t>.</w:t>
        </w:r>
        <w:r w:rsidR="007E1000" w:rsidRPr="007E1000">
          <w:rPr>
            <w:rFonts w:ascii="Times New Roman" w:eastAsia="Times New Roman" w:hAnsi="Times New Roman" w:cs="Times New Roman"/>
            <w:color w:val="0000FF" w:themeColor="hyperlink"/>
            <w:sz w:val="24"/>
            <w:szCs w:val="24"/>
            <w:u w:val="single"/>
            <w:lang w:val="en-US"/>
          </w:rPr>
          <w:t>ru</w:t>
        </w:r>
        <w:r w:rsidR="007E1000" w:rsidRPr="007E1000">
          <w:rPr>
            <w:rFonts w:ascii="Times New Roman" w:eastAsia="Times New Roman" w:hAnsi="Times New Roman" w:cs="Times New Roman"/>
            <w:color w:val="0000FF" w:themeColor="hyperlink"/>
            <w:sz w:val="24"/>
            <w:szCs w:val="24"/>
            <w:u w:val="single"/>
          </w:rPr>
          <w:t>/</w:t>
        </w:r>
        <w:r w:rsidR="007E1000" w:rsidRPr="007E1000">
          <w:rPr>
            <w:rFonts w:ascii="Times New Roman" w:eastAsia="Times New Roman" w:hAnsi="Times New Roman" w:cs="Times New Roman"/>
            <w:color w:val="0000FF" w:themeColor="hyperlink"/>
            <w:sz w:val="24"/>
            <w:szCs w:val="24"/>
            <w:u w:val="single"/>
            <w:lang w:val="en-US"/>
          </w:rPr>
          <w:t>document</w:t>
        </w:r>
        <w:r w:rsidR="007E1000" w:rsidRPr="007E1000">
          <w:rPr>
            <w:rFonts w:ascii="Times New Roman" w:eastAsia="Times New Roman" w:hAnsi="Times New Roman" w:cs="Times New Roman"/>
            <w:color w:val="0000FF" w:themeColor="hyperlink"/>
            <w:sz w:val="24"/>
            <w:szCs w:val="24"/>
            <w:u w:val="single"/>
          </w:rPr>
          <w:t>/</w:t>
        </w:r>
        <w:r w:rsidR="007E1000" w:rsidRPr="007E1000">
          <w:rPr>
            <w:rFonts w:ascii="Times New Roman" w:eastAsia="Times New Roman" w:hAnsi="Times New Roman" w:cs="Times New Roman"/>
            <w:color w:val="0000FF" w:themeColor="hyperlink"/>
            <w:sz w:val="24"/>
            <w:szCs w:val="24"/>
            <w:u w:val="single"/>
            <w:lang w:val="en-US"/>
          </w:rPr>
          <w:t>cons</w:t>
        </w:r>
        <w:r w:rsidR="007E1000" w:rsidRPr="007E1000">
          <w:rPr>
            <w:rFonts w:ascii="Times New Roman" w:eastAsia="Times New Roman" w:hAnsi="Times New Roman" w:cs="Times New Roman"/>
            <w:color w:val="0000FF" w:themeColor="hyperlink"/>
            <w:sz w:val="24"/>
            <w:szCs w:val="24"/>
            <w:u w:val="single"/>
          </w:rPr>
          <w:t>_</w:t>
        </w:r>
        <w:r w:rsidR="007E1000" w:rsidRPr="007E1000">
          <w:rPr>
            <w:rFonts w:ascii="Times New Roman" w:eastAsia="Times New Roman" w:hAnsi="Times New Roman" w:cs="Times New Roman"/>
            <w:color w:val="0000FF" w:themeColor="hyperlink"/>
            <w:sz w:val="24"/>
            <w:szCs w:val="24"/>
            <w:u w:val="single"/>
            <w:lang w:val="en-US"/>
          </w:rPr>
          <w:t>doc</w:t>
        </w:r>
        <w:r w:rsidR="007E1000" w:rsidRPr="007E1000">
          <w:rPr>
            <w:rFonts w:ascii="Times New Roman" w:eastAsia="Times New Roman" w:hAnsi="Times New Roman" w:cs="Times New Roman"/>
            <w:color w:val="0000FF" w:themeColor="hyperlink"/>
            <w:sz w:val="24"/>
            <w:szCs w:val="24"/>
            <w:u w:val="single"/>
          </w:rPr>
          <w:t>_</w:t>
        </w:r>
        <w:r w:rsidR="007E1000" w:rsidRPr="007E1000">
          <w:rPr>
            <w:rFonts w:ascii="Times New Roman" w:eastAsia="Times New Roman" w:hAnsi="Times New Roman" w:cs="Times New Roman"/>
            <w:color w:val="0000FF" w:themeColor="hyperlink"/>
            <w:sz w:val="24"/>
            <w:szCs w:val="24"/>
            <w:u w:val="single"/>
            <w:lang w:val="en-US"/>
          </w:rPr>
          <w:t>LAW</w:t>
        </w:r>
        <w:r w:rsidR="007E1000" w:rsidRPr="007E1000">
          <w:rPr>
            <w:rFonts w:ascii="Times New Roman" w:eastAsia="Times New Roman" w:hAnsi="Times New Roman" w:cs="Times New Roman"/>
            <w:color w:val="0000FF" w:themeColor="hyperlink"/>
            <w:sz w:val="24"/>
            <w:szCs w:val="24"/>
            <w:u w:val="single"/>
          </w:rPr>
          <w:t>_82134/</w:t>
        </w:r>
        <w:r w:rsidR="007E1000" w:rsidRPr="007E1000">
          <w:rPr>
            <w:rFonts w:ascii="Times New Roman" w:eastAsia="Times New Roman" w:hAnsi="Times New Roman" w:cs="Times New Roman"/>
            <w:color w:val="0000FF" w:themeColor="hyperlink"/>
            <w:sz w:val="24"/>
            <w:szCs w:val="24"/>
            <w:u w:val="single"/>
            <w:lang w:val="en-US"/>
          </w:rPr>
          <w:t>a</w:t>
        </w:r>
        <w:r w:rsidR="007E1000" w:rsidRPr="007E1000">
          <w:rPr>
            <w:rFonts w:ascii="Times New Roman" w:eastAsia="Times New Roman" w:hAnsi="Times New Roman" w:cs="Times New Roman"/>
            <w:color w:val="0000FF" w:themeColor="hyperlink"/>
            <w:sz w:val="24"/>
            <w:szCs w:val="24"/>
            <w:u w:val="single"/>
          </w:rPr>
          <w:t>9</w:t>
        </w:r>
        <w:r w:rsidR="007E1000" w:rsidRPr="007E1000">
          <w:rPr>
            <w:rFonts w:ascii="Times New Roman" w:eastAsia="Times New Roman" w:hAnsi="Times New Roman" w:cs="Times New Roman"/>
            <w:color w:val="0000FF" w:themeColor="hyperlink"/>
            <w:sz w:val="24"/>
            <w:szCs w:val="24"/>
            <w:u w:val="single"/>
            <w:lang w:val="en-US"/>
          </w:rPr>
          <w:t>b</w:t>
        </w:r>
        <w:r w:rsidR="007E1000" w:rsidRPr="007E1000">
          <w:rPr>
            <w:rFonts w:ascii="Times New Roman" w:eastAsia="Times New Roman" w:hAnsi="Times New Roman" w:cs="Times New Roman"/>
            <w:color w:val="0000FF" w:themeColor="hyperlink"/>
            <w:sz w:val="24"/>
            <w:szCs w:val="24"/>
            <w:u w:val="single"/>
          </w:rPr>
          <w:t>016</w:t>
        </w:r>
        <w:r w:rsidR="007E1000" w:rsidRPr="007E1000">
          <w:rPr>
            <w:rFonts w:ascii="Times New Roman" w:eastAsia="Times New Roman" w:hAnsi="Times New Roman" w:cs="Times New Roman"/>
            <w:color w:val="0000FF" w:themeColor="hyperlink"/>
            <w:sz w:val="24"/>
            <w:szCs w:val="24"/>
            <w:u w:val="single"/>
            <w:lang w:val="en-US"/>
          </w:rPr>
          <w:t>dd</w:t>
        </w:r>
        <w:r w:rsidR="007E1000" w:rsidRPr="007E1000">
          <w:rPr>
            <w:rFonts w:ascii="Times New Roman" w:eastAsia="Times New Roman" w:hAnsi="Times New Roman" w:cs="Times New Roman"/>
            <w:color w:val="0000FF" w:themeColor="hyperlink"/>
            <w:sz w:val="24"/>
            <w:szCs w:val="24"/>
            <w:u w:val="single"/>
          </w:rPr>
          <w:t>1</w:t>
        </w:r>
        <w:r w:rsidR="007E1000" w:rsidRPr="007E1000">
          <w:rPr>
            <w:rFonts w:ascii="Times New Roman" w:eastAsia="Times New Roman" w:hAnsi="Times New Roman" w:cs="Times New Roman"/>
            <w:color w:val="0000FF" w:themeColor="hyperlink"/>
            <w:sz w:val="24"/>
            <w:szCs w:val="24"/>
            <w:u w:val="single"/>
            <w:lang w:val="en-US"/>
          </w:rPr>
          <w:t>e</w:t>
        </w:r>
        <w:r w:rsidR="007E1000" w:rsidRPr="007E1000">
          <w:rPr>
            <w:rFonts w:ascii="Times New Roman" w:eastAsia="Times New Roman" w:hAnsi="Times New Roman" w:cs="Times New Roman"/>
            <w:color w:val="0000FF" w:themeColor="hyperlink"/>
            <w:sz w:val="24"/>
            <w:szCs w:val="24"/>
            <w:u w:val="single"/>
          </w:rPr>
          <w:t>6</w:t>
        </w:r>
        <w:r w:rsidR="007E1000" w:rsidRPr="007E1000">
          <w:rPr>
            <w:rFonts w:ascii="Times New Roman" w:eastAsia="Times New Roman" w:hAnsi="Times New Roman" w:cs="Times New Roman"/>
            <w:color w:val="0000FF" w:themeColor="hyperlink"/>
            <w:sz w:val="24"/>
            <w:szCs w:val="24"/>
            <w:u w:val="single"/>
            <w:lang w:val="en-US"/>
          </w:rPr>
          <w:t>fd</w:t>
        </w:r>
        <w:r w:rsidR="007E1000" w:rsidRPr="007E1000">
          <w:rPr>
            <w:rFonts w:ascii="Times New Roman" w:eastAsia="Times New Roman" w:hAnsi="Times New Roman" w:cs="Times New Roman"/>
            <w:color w:val="0000FF" w:themeColor="hyperlink"/>
            <w:sz w:val="24"/>
            <w:szCs w:val="24"/>
            <w:u w:val="single"/>
          </w:rPr>
          <w:t>0</w:t>
        </w:r>
        <w:r w:rsidR="007E1000" w:rsidRPr="007E1000">
          <w:rPr>
            <w:rFonts w:ascii="Times New Roman" w:eastAsia="Times New Roman" w:hAnsi="Times New Roman" w:cs="Times New Roman"/>
            <w:color w:val="0000FF" w:themeColor="hyperlink"/>
            <w:sz w:val="24"/>
            <w:szCs w:val="24"/>
            <w:u w:val="single"/>
            <w:lang w:val="en-US"/>
          </w:rPr>
          <w:t>de</w:t>
        </w:r>
        <w:r w:rsidR="007E1000" w:rsidRPr="007E1000">
          <w:rPr>
            <w:rFonts w:ascii="Times New Roman" w:eastAsia="Times New Roman" w:hAnsi="Times New Roman" w:cs="Times New Roman"/>
            <w:color w:val="0000FF" w:themeColor="hyperlink"/>
            <w:sz w:val="24"/>
            <w:szCs w:val="24"/>
            <w:u w:val="single"/>
          </w:rPr>
          <w:t>3</w:t>
        </w:r>
        <w:r w:rsidR="007E1000" w:rsidRPr="007E1000">
          <w:rPr>
            <w:rFonts w:ascii="Times New Roman" w:eastAsia="Times New Roman" w:hAnsi="Times New Roman" w:cs="Times New Roman"/>
            <w:color w:val="0000FF" w:themeColor="hyperlink"/>
            <w:sz w:val="24"/>
            <w:szCs w:val="24"/>
            <w:u w:val="single"/>
            <w:lang w:val="en-US"/>
          </w:rPr>
          <w:t>b</w:t>
        </w:r>
        <w:r w:rsidR="007E1000" w:rsidRPr="007E1000">
          <w:rPr>
            <w:rFonts w:ascii="Times New Roman" w:eastAsia="Times New Roman" w:hAnsi="Times New Roman" w:cs="Times New Roman"/>
            <w:color w:val="0000FF" w:themeColor="hyperlink"/>
            <w:sz w:val="24"/>
            <w:szCs w:val="24"/>
            <w:u w:val="single"/>
          </w:rPr>
          <w:t>2783</w:t>
        </w:r>
        <w:r w:rsidR="007E1000" w:rsidRPr="007E1000">
          <w:rPr>
            <w:rFonts w:ascii="Times New Roman" w:eastAsia="Times New Roman" w:hAnsi="Times New Roman" w:cs="Times New Roman"/>
            <w:color w:val="0000FF" w:themeColor="hyperlink"/>
            <w:sz w:val="24"/>
            <w:szCs w:val="24"/>
            <w:u w:val="single"/>
            <w:lang w:val="en-US"/>
          </w:rPr>
          <w:t>fee</w:t>
        </w:r>
        <w:r w:rsidR="007E1000" w:rsidRPr="007E1000">
          <w:rPr>
            <w:rFonts w:ascii="Times New Roman" w:eastAsia="Times New Roman" w:hAnsi="Times New Roman" w:cs="Times New Roman"/>
            <w:color w:val="0000FF" w:themeColor="hyperlink"/>
            <w:sz w:val="24"/>
            <w:szCs w:val="24"/>
            <w:u w:val="single"/>
          </w:rPr>
          <w:t>55</w:t>
        </w:r>
        <w:r w:rsidR="007E1000" w:rsidRPr="007E1000">
          <w:rPr>
            <w:rFonts w:ascii="Times New Roman" w:eastAsia="Times New Roman" w:hAnsi="Times New Roman" w:cs="Times New Roman"/>
            <w:color w:val="0000FF" w:themeColor="hyperlink"/>
            <w:sz w:val="24"/>
            <w:szCs w:val="24"/>
            <w:u w:val="single"/>
            <w:lang w:val="en-US"/>
          </w:rPr>
          <w:t>aa</w:t>
        </w:r>
        <w:r w:rsidR="007E1000" w:rsidRPr="007E1000">
          <w:rPr>
            <w:rFonts w:ascii="Times New Roman" w:eastAsia="Times New Roman" w:hAnsi="Times New Roman" w:cs="Times New Roman"/>
            <w:color w:val="0000FF" w:themeColor="hyperlink"/>
            <w:sz w:val="24"/>
            <w:szCs w:val="24"/>
            <w:u w:val="single"/>
          </w:rPr>
          <w:t>8</w:t>
        </w:r>
        <w:r w:rsidR="007E1000" w:rsidRPr="007E1000">
          <w:rPr>
            <w:rFonts w:ascii="Times New Roman" w:eastAsia="Times New Roman" w:hAnsi="Times New Roman" w:cs="Times New Roman"/>
            <w:color w:val="0000FF" w:themeColor="hyperlink"/>
            <w:sz w:val="24"/>
            <w:szCs w:val="24"/>
            <w:u w:val="single"/>
            <w:lang w:val="en-US"/>
          </w:rPr>
          <w:t>a</w:t>
        </w:r>
        <w:r w:rsidR="007E1000" w:rsidRPr="007E1000">
          <w:rPr>
            <w:rFonts w:ascii="Times New Roman" w:eastAsia="Times New Roman" w:hAnsi="Times New Roman" w:cs="Times New Roman"/>
            <w:color w:val="0000FF" w:themeColor="hyperlink"/>
            <w:sz w:val="24"/>
            <w:szCs w:val="24"/>
            <w:u w:val="single"/>
          </w:rPr>
          <w:t>0483</w:t>
        </w:r>
        <w:r w:rsidR="007E1000" w:rsidRPr="007E1000">
          <w:rPr>
            <w:rFonts w:ascii="Times New Roman" w:eastAsia="Times New Roman" w:hAnsi="Times New Roman" w:cs="Times New Roman"/>
            <w:color w:val="0000FF" w:themeColor="hyperlink"/>
            <w:sz w:val="24"/>
            <w:szCs w:val="24"/>
            <w:u w:val="single"/>
            <w:lang w:val="en-US"/>
          </w:rPr>
          <w:t>d</w:t>
        </w:r>
        <w:r w:rsidR="007E1000" w:rsidRPr="007E1000">
          <w:rPr>
            <w:rFonts w:ascii="Times New Roman" w:eastAsia="Times New Roman" w:hAnsi="Times New Roman" w:cs="Times New Roman"/>
            <w:color w:val="0000FF" w:themeColor="hyperlink"/>
            <w:sz w:val="24"/>
            <w:szCs w:val="24"/>
            <w:u w:val="single"/>
          </w:rPr>
          <w:t>0</w:t>
        </w:r>
        <w:r w:rsidR="007E1000" w:rsidRPr="007E1000">
          <w:rPr>
            <w:rFonts w:ascii="Times New Roman" w:eastAsia="Times New Roman" w:hAnsi="Times New Roman" w:cs="Times New Roman"/>
            <w:color w:val="0000FF" w:themeColor="hyperlink"/>
            <w:sz w:val="24"/>
            <w:szCs w:val="24"/>
            <w:u w:val="single"/>
            <w:lang w:val="en-US"/>
          </w:rPr>
          <w:t>a</w:t>
        </w:r>
        <w:r w:rsidR="007E1000" w:rsidRPr="007E1000">
          <w:rPr>
            <w:rFonts w:ascii="Times New Roman" w:eastAsia="Times New Roman" w:hAnsi="Times New Roman" w:cs="Times New Roman"/>
            <w:color w:val="0000FF" w:themeColor="hyperlink"/>
            <w:sz w:val="24"/>
            <w:szCs w:val="24"/>
            <w:u w:val="single"/>
          </w:rPr>
          <w:t>77/</w:t>
        </w:r>
      </w:hyperlink>
    </w:p>
    <w:p w14:paraId="27B8F768" w14:textId="77777777" w:rsidR="007E1000" w:rsidRPr="007E1000" w:rsidRDefault="007E1000" w:rsidP="007E1000">
      <w:pPr>
        <w:spacing w:after="0" w:line="360" w:lineRule="auto"/>
        <w:jc w:val="both"/>
        <w:textAlignment w:val="top"/>
        <w:rPr>
          <w:rFonts w:ascii="Times New Roman" w:eastAsia="Times New Roman" w:hAnsi="Times New Roman" w:cs="Times New Roman"/>
          <w:color w:val="000000" w:themeColor="text1"/>
          <w:sz w:val="24"/>
          <w:szCs w:val="24"/>
          <w:lang w:eastAsia="ru-RU"/>
        </w:rPr>
      </w:pPr>
      <w:r w:rsidRPr="007E1000">
        <w:rPr>
          <w:rFonts w:ascii="Times New Roman" w:eastAsia="Times New Roman" w:hAnsi="Times New Roman" w:cs="Times New Roman"/>
          <w:color w:val="000000" w:themeColor="text1"/>
          <w:sz w:val="24"/>
          <w:szCs w:val="24"/>
          <w:lang w:eastAsia="ru-RU"/>
        </w:rPr>
        <w:t xml:space="preserve">  </w:t>
      </w:r>
    </w:p>
    <w:p w14:paraId="064791A8"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4BF6756B"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587D3BE7"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ru-RU"/>
        </w:rPr>
      </w:pPr>
    </w:p>
    <w:p w14:paraId="683DC078"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0436B083" w14:textId="77777777" w:rsidR="007E1000" w:rsidRPr="007E1000" w:rsidRDefault="007E1000" w:rsidP="007E1000">
      <w:pPr>
        <w:spacing w:after="0" w:line="240" w:lineRule="auto"/>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Рубрика: Экономика. Предпринимательство</w:t>
      </w:r>
      <w:r w:rsidRPr="007E1000">
        <w:rPr>
          <w:rFonts w:ascii="Times New Roman" w:eastAsia="MS Mincho" w:hAnsi="Times New Roman" w:cs="Times New Roman"/>
          <w:sz w:val="28"/>
          <w:szCs w:val="24"/>
          <w:lang w:eastAsia="ja-JP"/>
        </w:rPr>
        <w:t xml:space="preserve"> </w:t>
      </w:r>
    </w:p>
    <w:p w14:paraId="026FB4BA" w14:textId="77777777" w:rsidR="007E1000" w:rsidRPr="007E1000" w:rsidRDefault="007E1000" w:rsidP="007E1000">
      <w:pPr>
        <w:spacing w:after="0" w:line="240" w:lineRule="auto"/>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УДК 338.984</w:t>
      </w:r>
    </w:p>
    <w:p w14:paraId="062D1859" w14:textId="77777777" w:rsidR="007E1000" w:rsidRPr="007E1000" w:rsidRDefault="007E1000" w:rsidP="007E1000">
      <w:pPr>
        <w:spacing w:after="0" w:line="240" w:lineRule="auto"/>
        <w:jc w:val="center"/>
        <w:rPr>
          <w:rFonts w:ascii="Times New Roman" w:eastAsia="Times New Roman" w:hAnsi="Times New Roman" w:cs="Times New Roman"/>
          <w:b/>
          <w:sz w:val="24"/>
          <w:szCs w:val="24"/>
        </w:rPr>
      </w:pPr>
      <w:r w:rsidRPr="007E1000">
        <w:rPr>
          <w:rFonts w:ascii="Times New Roman" w:eastAsia="Times New Roman" w:hAnsi="Times New Roman" w:cs="Times New Roman"/>
          <w:b/>
          <w:sz w:val="24"/>
          <w:szCs w:val="24"/>
        </w:rPr>
        <w:t xml:space="preserve">Тенденции развития малого и среднего бизнеса в регионе: </w:t>
      </w:r>
    </w:p>
    <w:p w14:paraId="648FE458" w14:textId="77777777" w:rsidR="007E1000" w:rsidRPr="007E1000" w:rsidRDefault="007E1000" w:rsidP="007E1000">
      <w:pPr>
        <w:spacing w:after="0" w:line="240" w:lineRule="auto"/>
        <w:jc w:val="center"/>
        <w:rPr>
          <w:rFonts w:ascii="Times New Roman" w:eastAsia="Times New Roman" w:hAnsi="Times New Roman" w:cs="Times New Roman"/>
          <w:b/>
          <w:sz w:val="24"/>
          <w:szCs w:val="24"/>
        </w:rPr>
      </w:pPr>
      <w:r w:rsidRPr="007E1000">
        <w:rPr>
          <w:rFonts w:ascii="Times New Roman" w:eastAsia="Times New Roman" w:hAnsi="Times New Roman" w:cs="Times New Roman"/>
          <w:b/>
          <w:sz w:val="24"/>
          <w:szCs w:val="24"/>
        </w:rPr>
        <w:t>меры поддержки и перспективы</w:t>
      </w:r>
    </w:p>
    <w:p w14:paraId="682A31CB"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Панченко Владислав Константинович,</w:t>
      </w:r>
    </w:p>
    <w:p w14:paraId="27455EF2"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бакалавр 4 курса, кафедра управления</w:t>
      </w:r>
    </w:p>
    <w:p w14:paraId="6E01AC2C" w14:textId="77777777" w:rsidR="007E1000" w:rsidRPr="007E1000" w:rsidRDefault="007E1000" w:rsidP="007E1000">
      <w:pPr>
        <w:spacing w:after="0" w:line="240" w:lineRule="auto"/>
        <w:jc w:val="center"/>
        <w:rPr>
          <w:rFonts w:ascii="Times New Roman" w:eastAsia="MS Mincho" w:hAnsi="Times New Roman" w:cs="Times New Roman"/>
          <w:i/>
          <w:sz w:val="24"/>
          <w:szCs w:val="24"/>
          <w:lang w:eastAsia="ja-JP"/>
        </w:rPr>
      </w:pPr>
      <w:r w:rsidRPr="007E1000">
        <w:rPr>
          <w:rFonts w:ascii="Times New Roman" w:eastAsia="MS Mincho" w:hAnsi="Times New Roman" w:cs="Times New Roman"/>
          <w:i/>
          <w:sz w:val="24"/>
          <w:szCs w:val="24"/>
          <w:lang w:eastAsia="ja-JP"/>
        </w:rPr>
        <w:t xml:space="preserve"> Владивостокский государственный университет экономики и сервиса</w:t>
      </w:r>
    </w:p>
    <w:p w14:paraId="14D09413" w14:textId="77777777" w:rsidR="007E1000" w:rsidRPr="007E1000" w:rsidRDefault="007E1000" w:rsidP="007E1000">
      <w:pPr>
        <w:spacing w:after="0" w:line="240" w:lineRule="auto"/>
        <w:jc w:val="center"/>
        <w:rPr>
          <w:rFonts w:ascii="Times New Roman" w:eastAsia="MS Mincho" w:hAnsi="Times New Roman" w:cs="Times New Roman"/>
          <w:i/>
          <w:sz w:val="24"/>
          <w:szCs w:val="24"/>
          <w:lang w:eastAsia="ja-JP"/>
        </w:rPr>
      </w:pPr>
      <w:r w:rsidRPr="007E1000">
        <w:rPr>
          <w:rFonts w:ascii="Times New Roman" w:eastAsia="MS Mincho" w:hAnsi="Times New Roman" w:cs="Times New Roman"/>
          <w:i/>
          <w:sz w:val="24"/>
          <w:szCs w:val="24"/>
          <w:lang w:eastAsia="ja-JP"/>
        </w:rPr>
        <w:t>Россия. Владивосток</w:t>
      </w:r>
    </w:p>
    <w:p w14:paraId="19248632"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val="en-US" w:eastAsia="ja-JP"/>
        </w:rPr>
        <w:t>E</w:t>
      </w:r>
      <w:r w:rsidRPr="007E1000">
        <w:rPr>
          <w:rFonts w:ascii="Times New Roman" w:eastAsia="MS Mincho" w:hAnsi="Times New Roman" w:cs="Times New Roman"/>
          <w:sz w:val="24"/>
          <w:szCs w:val="24"/>
          <w:lang w:eastAsia="ja-JP"/>
        </w:rPr>
        <w:t>-</w:t>
      </w:r>
      <w:r w:rsidRPr="007E1000">
        <w:rPr>
          <w:rFonts w:ascii="Times New Roman" w:eastAsia="MS Mincho" w:hAnsi="Times New Roman" w:cs="Times New Roman"/>
          <w:sz w:val="24"/>
          <w:szCs w:val="24"/>
          <w:lang w:val="en-US" w:eastAsia="ja-JP"/>
        </w:rPr>
        <w:t>mail</w:t>
      </w:r>
      <w:r w:rsidRPr="007E1000">
        <w:rPr>
          <w:rFonts w:ascii="Times New Roman" w:eastAsia="MS Mincho" w:hAnsi="Times New Roman" w:cs="Times New Roman"/>
          <w:sz w:val="24"/>
          <w:szCs w:val="24"/>
          <w:lang w:eastAsia="ja-JP"/>
        </w:rPr>
        <w:t xml:space="preserve">: </w:t>
      </w:r>
      <w:r w:rsidRPr="007E1000">
        <w:rPr>
          <w:rFonts w:ascii="Times New Roman" w:eastAsia="MS Mincho" w:hAnsi="Times New Roman" w:cs="Times New Roman"/>
          <w:sz w:val="24"/>
          <w:szCs w:val="24"/>
          <w:lang w:val="en-US" w:eastAsia="ja-JP"/>
        </w:rPr>
        <w:t>panchenko</w:t>
      </w:r>
      <w:r w:rsidRPr="007E1000">
        <w:rPr>
          <w:rFonts w:ascii="Times New Roman" w:eastAsia="MS Mincho" w:hAnsi="Times New Roman" w:cs="Times New Roman"/>
          <w:sz w:val="24"/>
          <w:szCs w:val="24"/>
          <w:lang w:eastAsia="ja-JP"/>
        </w:rPr>
        <w:t>13113@</w:t>
      </w:r>
      <w:r w:rsidRPr="007E1000">
        <w:rPr>
          <w:rFonts w:ascii="Times New Roman" w:eastAsia="MS Mincho" w:hAnsi="Times New Roman" w:cs="Times New Roman"/>
          <w:sz w:val="24"/>
          <w:szCs w:val="24"/>
          <w:lang w:val="en-US" w:eastAsia="ja-JP"/>
        </w:rPr>
        <w:t>yandex</w:t>
      </w:r>
      <w:r w:rsidRPr="007E1000">
        <w:rPr>
          <w:rFonts w:ascii="Times New Roman" w:eastAsia="MS Mincho" w:hAnsi="Times New Roman" w:cs="Times New Roman"/>
          <w:sz w:val="24"/>
          <w:szCs w:val="24"/>
          <w:lang w:eastAsia="ja-JP"/>
        </w:rPr>
        <w:t>.</w:t>
      </w:r>
      <w:r w:rsidRPr="007E1000">
        <w:rPr>
          <w:rFonts w:ascii="Times New Roman" w:eastAsia="MS Mincho" w:hAnsi="Times New Roman" w:cs="Times New Roman"/>
          <w:sz w:val="24"/>
          <w:szCs w:val="24"/>
          <w:lang w:val="en-US" w:eastAsia="ja-JP"/>
        </w:rPr>
        <w:t>ru</w:t>
      </w:r>
      <w:r w:rsidRPr="007E1000">
        <w:rPr>
          <w:rFonts w:ascii="Times New Roman" w:eastAsia="MS Mincho" w:hAnsi="Times New Roman" w:cs="Times New Roman"/>
          <w:sz w:val="24"/>
          <w:szCs w:val="24"/>
          <w:lang w:eastAsia="ja-JP"/>
        </w:rPr>
        <w:t>; тел.: +7(904) 623-11-20</w:t>
      </w:r>
    </w:p>
    <w:p w14:paraId="712113EB"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lastRenderedPageBreak/>
        <w:t>ул. Гоголя, 41, г. Владивосток, Приморский край, Россия, 690014</w:t>
      </w:r>
    </w:p>
    <w:p w14:paraId="17355D52"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Мирошникова Татьяна Константиновна</w:t>
      </w:r>
    </w:p>
    <w:p w14:paraId="1BE5C089"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доцент, кафедра управления, кандидат экономических наук</w:t>
      </w:r>
    </w:p>
    <w:p w14:paraId="0C209598" w14:textId="77777777" w:rsidR="007E1000" w:rsidRPr="007E1000" w:rsidRDefault="007E1000" w:rsidP="007E1000">
      <w:pPr>
        <w:spacing w:after="0" w:line="240" w:lineRule="auto"/>
        <w:jc w:val="center"/>
        <w:rPr>
          <w:rFonts w:ascii="Times New Roman" w:eastAsia="MS Mincho" w:hAnsi="Times New Roman" w:cs="Times New Roman"/>
          <w:sz w:val="24"/>
          <w:szCs w:val="24"/>
          <w:lang w:val="en-US" w:eastAsia="ja-JP"/>
        </w:rPr>
      </w:pPr>
      <w:r w:rsidRPr="007E1000">
        <w:rPr>
          <w:rFonts w:ascii="Times New Roman" w:eastAsia="MS Mincho" w:hAnsi="Times New Roman" w:cs="Times New Roman"/>
          <w:sz w:val="24"/>
          <w:szCs w:val="24"/>
          <w:lang w:val="en-US" w:eastAsia="ja-JP"/>
        </w:rPr>
        <w:t>E-mail:</w:t>
      </w:r>
      <w:r w:rsidRPr="007E1000">
        <w:rPr>
          <w:rFonts w:ascii="Times New Roman" w:eastAsia="MS Mincho" w:hAnsi="Times New Roman" w:cs="Times New Roman"/>
          <w:color w:val="0000FF"/>
          <w:sz w:val="28"/>
          <w:szCs w:val="24"/>
          <w:u w:val="single"/>
          <w:lang w:val="en-US" w:eastAsia="ja-JP"/>
        </w:rPr>
        <w:t xml:space="preserve"> </w:t>
      </w:r>
      <w:r w:rsidRPr="007E1000">
        <w:rPr>
          <w:rFonts w:ascii="Times New Roman" w:eastAsia="MS Mincho" w:hAnsi="Times New Roman" w:cs="Times New Roman"/>
          <w:color w:val="0000FF"/>
          <w:sz w:val="24"/>
          <w:szCs w:val="24"/>
          <w:u w:val="single"/>
          <w:lang w:val="en-US" w:eastAsia="ja-JP"/>
        </w:rPr>
        <w:t>tatyana.miroshnikova@vvsu.ru</w:t>
      </w:r>
      <w:r w:rsidRPr="007E1000">
        <w:rPr>
          <w:rFonts w:ascii="Times New Roman" w:eastAsia="MS Mincho" w:hAnsi="Times New Roman" w:cs="Times New Roman"/>
          <w:sz w:val="24"/>
          <w:szCs w:val="24"/>
          <w:lang w:val="en-US" w:eastAsia="ja-JP"/>
        </w:rPr>
        <w:t xml:space="preserve">; </w:t>
      </w:r>
      <w:r w:rsidRPr="007E1000">
        <w:rPr>
          <w:rFonts w:ascii="Times New Roman" w:eastAsia="MS Mincho" w:hAnsi="Times New Roman" w:cs="Times New Roman"/>
          <w:sz w:val="24"/>
          <w:szCs w:val="24"/>
          <w:lang w:eastAsia="ja-JP"/>
        </w:rPr>
        <w:t>тел</w:t>
      </w:r>
      <w:r w:rsidRPr="007E1000">
        <w:rPr>
          <w:rFonts w:ascii="Times New Roman" w:eastAsia="MS Mincho" w:hAnsi="Times New Roman" w:cs="Times New Roman"/>
          <w:sz w:val="24"/>
          <w:szCs w:val="24"/>
          <w:lang w:val="en-US" w:eastAsia="ja-JP"/>
        </w:rPr>
        <w:t>.: +7(423) 240-41-36</w:t>
      </w:r>
    </w:p>
    <w:p w14:paraId="1DD0A564" w14:textId="77777777" w:rsidR="007E1000" w:rsidRPr="007E1000" w:rsidRDefault="007E1000" w:rsidP="007E1000">
      <w:pPr>
        <w:spacing w:after="0" w:line="240" w:lineRule="auto"/>
        <w:jc w:val="center"/>
        <w:rPr>
          <w:rFonts w:ascii="Times New Roman" w:eastAsia="MS Mincho" w:hAnsi="Times New Roman" w:cs="Times New Roman"/>
          <w:i/>
          <w:sz w:val="24"/>
          <w:szCs w:val="24"/>
          <w:lang w:eastAsia="ja-JP"/>
        </w:rPr>
      </w:pPr>
      <w:r w:rsidRPr="007E1000">
        <w:rPr>
          <w:rFonts w:ascii="Times New Roman" w:eastAsia="MS Mincho" w:hAnsi="Times New Roman" w:cs="Times New Roman"/>
          <w:i/>
          <w:sz w:val="24"/>
          <w:szCs w:val="24"/>
          <w:lang w:eastAsia="ja-JP"/>
        </w:rPr>
        <w:t>Владивостокский государственный университет экономики и сервиса</w:t>
      </w:r>
    </w:p>
    <w:p w14:paraId="509C9D29" w14:textId="77777777" w:rsidR="007E1000" w:rsidRPr="007E1000" w:rsidRDefault="007E1000" w:rsidP="007E1000">
      <w:pPr>
        <w:spacing w:after="0" w:line="240" w:lineRule="auto"/>
        <w:jc w:val="center"/>
        <w:rPr>
          <w:rFonts w:ascii="Times New Roman" w:eastAsia="MS Mincho" w:hAnsi="Times New Roman" w:cs="Times New Roman"/>
          <w:i/>
          <w:sz w:val="24"/>
          <w:szCs w:val="24"/>
          <w:lang w:eastAsia="ja-JP"/>
        </w:rPr>
      </w:pPr>
      <w:r w:rsidRPr="007E1000">
        <w:rPr>
          <w:rFonts w:ascii="Times New Roman" w:eastAsia="MS Mincho" w:hAnsi="Times New Roman" w:cs="Times New Roman"/>
          <w:i/>
          <w:sz w:val="24"/>
          <w:szCs w:val="24"/>
          <w:lang w:eastAsia="ja-JP"/>
        </w:rPr>
        <w:t>Россия. Владивосток</w:t>
      </w:r>
    </w:p>
    <w:p w14:paraId="486A265F"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ул. Гоголя, 41, г. Владивосток, Приморский край, Россия, 690014</w:t>
      </w:r>
    </w:p>
    <w:p w14:paraId="69678E1F" w14:textId="77777777" w:rsidR="007E1000" w:rsidRPr="007E1000" w:rsidRDefault="007E1000" w:rsidP="007E1000">
      <w:pPr>
        <w:spacing w:after="0" w:line="240" w:lineRule="auto"/>
        <w:jc w:val="center"/>
        <w:rPr>
          <w:rFonts w:ascii="Times New Roman" w:eastAsia="MS Mincho" w:hAnsi="Times New Roman" w:cs="Times New Roman"/>
          <w:sz w:val="24"/>
          <w:szCs w:val="24"/>
          <w:lang w:eastAsia="ja-JP"/>
        </w:rPr>
      </w:pPr>
    </w:p>
    <w:p w14:paraId="08C1FDAD" w14:textId="77777777" w:rsidR="007E1000" w:rsidRPr="007E1000" w:rsidRDefault="007E1000" w:rsidP="007E1000">
      <w:pPr>
        <w:widowControl w:val="0"/>
        <w:spacing w:after="0" w:line="360" w:lineRule="auto"/>
        <w:rPr>
          <w:rFonts w:ascii="Times New Roman" w:eastAsia="MS Mincho" w:hAnsi="Times New Roman" w:cs="Times New Roman"/>
          <w:sz w:val="24"/>
          <w:szCs w:val="24"/>
          <w:lang w:eastAsia="ja-JP"/>
        </w:rPr>
      </w:pPr>
    </w:p>
    <w:p w14:paraId="4FFD3915" w14:textId="77777777" w:rsidR="007E1000" w:rsidRPr="007E1000" w:rsidRDefault="007E1000" w:rsidP="007E1000">
      <w:pPr>
        <w:spacing w:after="0" w:line="240" w:lineRule="auto"/>
        <w:jc w:val="both"/>
        <w:rPr>
          <w:rFonts w:ascii="Times New Roman" w:eastAsia="Times New Roman" w:hAnsi="Times New Roman" w:cs="Times New Roman"/>
          <w:i/>
          <w:sz w:val="24"/>
          <w:szCs w:val="24"/>
        </w:rPr>
      </w:pPr>
      <w:r w:rsidRPr="007E1000">
        <w:rPr>
          <w:rFonts w:ascii="Times New Roman" w:eastAsia="MS Mincho" w:hAnsi="Times New Roman" w:cs="Times New Roman"/>
          <w:i/>
          <w:sz w:val="24"/>
          <w:szCs w:val="24"/>
          <w:lang w:eastAsia="ja-JP"/>
        </w:rPr>
        <w:t xml:space="preserve">Статья посвящена формированию эффективной </w:t>
      </w:r>
      <w:r w:rsidRPr="007E1000">
        <w:rPr>
          <w:rFonts w:ascii="Times New Roman" w:eastAsia="Times New Roman" w:hAnsi="Times New Roman" w:cs="Times New Roman"/>
          <w:i/>
          <w:sz w:val="24"/>
          <w:szCs w:val="24"/>
        </w:rPr>
        <w:t>программы,</w:t>
      </w:r>
      <w:r w:rsidRPr="007E1000">
        <w:rPr>
          <w:rFonts w:ascii="Times New Roman" w:eastAsia="MS Mincho" w:hAnsi="Times New Roman" w:cs="Times New Roman"/>
          <w:i/>
          <w:sz w:val="24"/>
          <w:szCs w:val="24"/>
          <w:lang w:eastAsia="ja-JP"/>
        </w:rPr>
        <w:t xml:space="preserve"> способствующей развитию малого и среднего предпринимательства, с целью повышения инвестиционного потенциала региона и совершенствования процесса принятия стратегических управленческих решений. Авторами освещены вопросы</w:t>
      </w:r>
      <w:r w:rsidRPr="007E1000">
        <w:rPr>
          <w:rFonts w:ascii="Times New Roman" w:eastAsia="Times New Roman" w:hAnsi="Times New Roman" w:cs="Times New Roman"/>
          <w:i/>
          <w:sz w:val="24"/>
          <w:szCs w:val="24"/>
        </w:rPr>
        <w:t xml:space="preserve"> влияния малого и среднего предпринимательства на экономику региона, а также социальную сферу. Определены текущие направления развития данного сегмента, рассмотрены существующие меры поддержки МСП на данный момент. Выделены основные проблемы, негативно влияющие на развитие малого среднего бизнеса. Предложен авторский подход для решения существующих проблем.</w:t>
      </w:r>
    </w:p>
    <w:p w14:paraId="73175E0B" w14:textId="77777777" w:rsidR="007E1000" w:rsidRPr="007E1000" w:rsidRDefault="007E1000" w:rsidP="007E1000">
      <w:pPr>
        <w:spacing w:after="0" w:line="240" w:lineRule="auto"/>
        <w:jc w:val="both"/>
        <w:rPr>
          <w:rFonts w:ascii="Times New Roman" w:eastAsia="Times New Roman" w:hAnsi="Times New Roman" w:cs="Times New Roman"/>
          <w:i/>
          <w:sz w:val="24"/>
          <w:szCs w:val="24"/>
        </w:rPr>
      </w:pPr>
      <w:r w:rsidRPr="007E1000">
        <w:rPr>
          <w:rFonts w:ascii="Times New Roman" w:eastAsia="MS Mincho" w:hAnsi="Times New Roman" w:cs="Times New Roman"/>
          <w:b/>
          <w:i/>
          <w:sz w:val="24"/>
          <w:szCs w:val="24"/>
          <w:lang w:eastAsia="ja-JP"/>
        </w:rPr>
        <w:t xml:space="preserve">Ключевые слова и словосочетания: </w:t>
      </w:r>
      <w:r w:rsidRPr="007E1000">
        <w:rPr>
          <w:rFonts w:ascii="Times New Roman" w:eastAsia="MS Mincho" w:hAnsi="Times New Roman" w:cs="Times New Roman"/>
          <w:i/>
          <w:sz w:val="24"/>
          <w:szCs w:val="24"/>
          <w:lang w:eastAsia="ja-JP"/>
        </w:rPr>
        <w:t xml:space="preserve">малое и среднее предпринимательство, </w:t>
      </w:r>
      <w:r w:rsidRPr="007E1000">
        <w:rPr>
          <w:rFonts w:ascii="Times New Roman" w:eastAsia="Times New Roman" w:hAnsi="Times New Roman" w:cs="Times New Roman"/>
          <w:i/>
          <w:sz w:val="24"/>
          <w:szCs w:val="24"/>
        </w:rPr>
        <w:t>меры поддержки МСП, программа развития</w:t>
      </w:r>
    </w:p>
    <w:p w14:paraId="1084E6F5" w14:textId="77777777" w:rsidR="007E1000" w:rsidRPr="007E1000" w:rsidRDefault="007E1000" w:rsidP="007E1000">
      <w:pPr>
        <w:spacing w:after="0" w:line="240" w:lineRule="auto"/>
        <w:jc w:val="both"/>
        <w:rPr>
          <w:rFonts w:ascii="Times New Roman" w:eastAsia="Times New Roman" w:hAnsi="Times New Roman" w:cs="Times New Roman"/>
          <w:i/>
          <w:sz w:val="24"/>
          <w:szCs w:val="24"/>
        </w:rPr>
      </w:pPr>
    </w:p>
    <w:p w14:paraId="242F30F6" w14:textId="77777777" w:rsidR="007E1000" w:rsidRPr="007E1000" w:rsidRDefault="007E1000" w:rsidP="007E1000">
      <w:pPr>
        <w:spacing w:after="0" w:line="240" w:lineRule="auto"/>
        <w:jc w:val="center"/>
        <w:rPr>
          <w:rFonts w:ascii="Times New Roman" w:eastAsia="MS Mincho" w:hAnsi="Times New Roman" w:cs="Times New Roman"/>
          <w:sz w:val="28"/>
          <w:szCs w:val="24"/>
          <w:lang w:val="en" w:eastAsia="ja-JP"/>
        </w:rPr>
      </w:pPr>
      <w:r w:rsidRPr="007E1000">
        <w:rPr>
          <w:rFonts w:ascii="Times New Roman" w:eastAsia="Times New Roman" w:hAnsi="Times New Roman" w:cs="Times New Roman"/>
          <w:b/>
          <w:sz w:val="24"/>
          <w:szCs w:val="24"/>
          <w:lang w:val="en-US"/>
        </w:rPr>
        <w:t>Trends in the development of small and medium-sized businesses in the region:</w:t>
      </w:r>
      <w:r w:rsidRPr="007E1000">
        <w:rPr>
          <w:rFonts w:ascii="Times New Roman" w:eastAsia="Times New Roman" w:hAnsi="Times New Roman" w:cs="Times New Roman"/>
          <w:b/>
          <w:sz w:val="24"/>
          <w:szCs w:val="24"/>
          <w:lang w:val="en-US"/>
        </w:rPr>
        <w:br/>
        <w:t>support measures and prospects</w:t>
      </w:r>
      <w:r w:rsidRPr="007E1000">
        <w:rPr>
          <w:rFonts w:ascii="Times New Roman" w:eastAsia="Times New Roman" w:hAnsi="Times New Roman" w:cs="Times New Roman"/>
          <w:b/>
          <w:sz w:val="24"/>
          <w:szCs w:val="24"/>
          <w:lang w:val="en-US"/>
        </w:rPr>
        <w:br/>
      </w:r>
      <w:r w:rsidRPr="007E1000">
        <w:rPr>
          <w:rFonts w:ascii="Times New Roman" w:eastAsia="Times New Roman" w:hAnsi="Times New Roman" w:cs="Times New Roman"/>
          <w:sz w:val="24"/>
          <w:szCs w:val="24"/>
          <w:lang w:val="en-US"/>
        </w:rPr>
        <w:t>Panchenko Vladislav Konstantinovich</w:t>
      </w:r>
      <w:r w:rsidRPr="007E1000">
        <w:rPr>
          <w:rFonts w:ascii="Times New Roman" w:eastAsia="MS Mincho" w:hAnsi="Times New Roman" w:cs="Times New Roman"/>
          <w:sz w:val="28"/>
          <w:szCs w:val="24"/>
          <w:lang w:val="en" w:eastAsia="ja-JP"/>
        </w:rPr>
        <w:t>,</w:t>
      </w:r>
    </w:p>
    <w:p w14:paraId="5146BF3B" w14:textId="77777777" w:rsidR="007E1000" w:rsidRPr="007E1000" w:rsidRDefault="007E1000" w:rsidP="007E1000">
      <w:pPr>
        <w:spacing w:after="0" w:line="240" w:lineRule="auto"/>
        <w:jc w:val="center"/>
        <w:rPr>
          <w:rFonts w:ascii="Times New Roman" w:eastAsia="MS Mincho" w:hAnsi="Times New Roman" w:cs="Times New Roman"/>
          <w:sz w:val="24"/>
          <w:szCs w:val="24"/>
          <w:lang w:val="en-US" w:eastAsia="ja-JP"/>
        </w:rPr>
      </w:pPr>
      <w:r w:rsidRPr="007E1000">
        <w:rPr>
          <w:rFonts w:ascii="Times New Roman" w:eastAsia="MS Mincho" w:hAnsi="Times New Roman" w:cs="Times New Roman"/>
          <w:sz w:val="24"/>
          <w:szCs w:val="24"/>
          <w:lang w:val="en-US" w:eastAsia="ja-JP"/>
        </w:rPr>
        <w:t>Bachelor of the 4</w:t>
      </w:r>
      <w:r w:rsidRPr="007E1000">
        <w:rPr>
          <w:rFonts w:ascii="Times New Roman" w:eastAsia="MS Mincho" w:hAnsi="Times New Roman" w:cs="Times New Roman"/>
          <w:sz w:val="24"/>
          <w:szCs w:val="24"/>
          <w:vertAlign w:val="superscript"/>
          <w:lang w:val="en-US" w:eastAsia="ja-JP"/>
        </w:rPr>
        <w:t>nd</w:t>
      </w:r>
      <w:r w:rsidRPr="007E1000">
        <w:rPr>
          <w:rFonts w:ascii="Times New Roman" w:eastAsia="MS Mincho" w:hAnsi="Times New Roman" w:cs="Times New Roman"/>
          <w:sz w:val="24"/>
          <w:szCs w:val="24"/>
          <w:lang w:val="en-US" w:eastAsia="ja-JP"/>
        </w:rPr>
        <w:t xml:space="preserve"> year, Department of Management</w:t>
      </w:r>
    </w:p>
    <w:p w14:paraId="1687354F" w14:textId="77777777" w:rsidR="007E1000" w:rsidRPr="007E1000" w:rsidRDefault="007E1000" w:rsidP="007E1000">
      <w:pPr>
        <w:spacing w:after="0" w:line="240" w:lineRule="auto"/>
        <w:jc w:val="center"/>
        <w:rPr>
          <w:rFonts w:ascii="Times New Roman" w:eastAsia="MS Mincho" w:hAnsi="Times New Roman" w:cs="Times New Roman"/>
          <w:i/>
          <w:sz w:val="24"/>
          <w:szCs w:val="24"/>
          <w:lang w:val="en-US" w:eastAsia="ja-JP"/>
        </w:rPr>
      </w:pPr>
      <w:r w:rsidRPr="007E1000">
        <w:rPr>
          <w:rFonts w:ascii="Times New Roman" w:eastAsia="MS Mincho" w:hAnsi="Times New Roman" w:cs="Times New Roman"/>
          <w:i/>
          <w:sz w:val="24"/>
          <w:szCs w:val="24"/>
          <w:lang w:val="en-US" w:eastAsia="ja-JP"/>
        </w:rPr>
        <w:t>Vladivostok State University of Economics and Service</w:t>
      </w:r>
    </w:p>
    <w:p w14:paraId="23FF54D6" w14:textId="77777777" w:rsidR="007E1000" w:rsidRPr="007E1000" w:rsidRDefault="007E1000" w:rsidP="007E1000">
      <w:pPr>
        <w:spacing w:after="0" w:line="240" w:lineRule="auto"/>
        <w:jc w:val="center"/>
        <w:rPr>
          <w:rFonts w:ascii="Times New Roman" w:eastAsia="MS Mincho" w:hAnsi="Times New Roman" w:cs="Times New Roman"/>
          <w:i/>
          <w:sz w:val="24"/>
          <w:szCs w:val="24"/>
          <w:lang w:val="en-US" w:eastAsia="ja-JP"/>
        </w:rPr>
      </w:pPr>
      <w:r w:rsidRPr="007E1000">
        <w:rPr>
          <w:rFonts w:ascii="Times New Roman" w:eastAsia="MS Mincho" w:hAnsi="Times New Roman" w:cs="Times New Roman"/>
          <w:i/>
          <w:sz w:val="24"/>
          <w:szCs w:val="24"/>
          <w:lang w:val="en-US" w:eastAsia="ja-JP"/>
        </w:rPr>
        <w:t>Russia. Vladivostok</w:t>
      </w:r>
    </w:p>
    <w:p w14:paraId="6ED69C50" w14:textId="77777777" w:rsidR="007E1000" w:rsidRPr="007E1000" w:rsidRDefault="007E1000" w:rsidP="007E1000">
      <w:pPr>
        <w:spacing w:after="0" w:line="240" w:lineRule="auto"/>
        <w:jc w:val="center"/>
        <w:rPr>
          <w:rFonts w:ascii="Times New Roman" w:eastAsia="MS Mincho" w:hAnsi="Times New Roman" w:cs="Times New Roman"/>
          <w:sz w:val="24"/>
          <w:szCs w:val="24"/>
          <w:lang w:val="en-US" w:eastAsia="ja-JP"/>
        </w:rPr>
      </w:pPr>
      <w:r w:rsidRPr="007E1000">
        <w:rPr>
          <w:rFonts w:ascii="Times New Roman" w:eastAsia="MS Mincho" w:hAnsi="Times New Roman" w:cs="Times New Roman"/>
          <w:sz w:val="24"/>
          <w:szCs w:val="24"/>
          <w:lang w:val="en-US" w:eastAsia="ja-JP"/>
        </w:rPr>
        <w:t xml:space="preserve">Tatyana Miroshnikova </w:t>
      </w:r>
    </w:p>
    <w:p w14:paraId="02118B3A" w14:textId="77777777" w:rsidR="007E1000" w:rsidRPr="007E1000" w:rsidRDefault="007E1000" w:rsidP="007E1000">
      <w:pPr>
        <w:spacing w:after="0" w:line="240" w:lineRule="auto"/>
        <w:jc w:val="center"/>
        <w:rPr>
          <w:rFonts w:ascii="Times New Roman" w:eastAsia="Times New Roman" w:hAnsi="Times New Roman" w:cs="Times New Roman"/>
          <w:sz w:val="24"/>
          <w:szCs w:val="24"/>
          <w:lang w:val="en-US"/>
        </w:rPr>
      </w:pPr>
      <w:r w:rsidRPr="007E1000">
        <w:rPr>
          <w:rFonts w:ascii="Times New Roman" w:eastAsia="Times New Roman" w:hAnsi="Times New Roman" w:cs="Times New Roman"/>
          <w:sz w:val="24"/>
          <w:szCs w:val="24"/>
          <w:lang w:val="en-US"/>
        </w:rPr>
        <w:t>Assistant professor, Department of Management, Candidate of economic sciences</w:t>
      </w:r>
    </w:p>
    <w:p w14:paraId="6A7083DD" w14:textId="77777777" w:rsidR="007E1000" w:rsidRPr="007E1000" w:rsidRDefault="007E1000" w:rsidP="007E1000">
      <w:pPr>
        <w:spacing w:after="0" w:line="240" w:lineRule="auto"/>
        <w:jc w:val="center"/>
        <w:rPr>
          <w:rFonts w:ascii="Times New Roman" w:eastAsia="MS Mincho" w:hAnsi="Times New Roman" w:cs="Times New Roman"/>
          <w:i/>
          <w:sz w:val="24"/>
          <w:szCs w:val="24"/>
          <w:lang w:val="en-US" w:eastAsia="ja-JP"/>
        </w:rPr>
      </w:pPr>
      <w:r w:rsidRPr="007E1000">
        <w:rPr>
          <w:rFonts w:ascii="Times New Roman" w:eastAsia="MS Mincho" w:hAnsi="Times New Roman" w:cs="Times New Roman"/>
          <w:i/>
          <w:sz w:val="24"/>
          <w:szCs w:val="24"/>
          <w:lang w:val="en-US" w:eastAsia="ja-JP"/>
        </w:rPr>
        <w:t>Vladivostok State University of Economics and Service</w:t>
      </w:r>
    </w:p>
    <w:p w14:paraId="52601486" w14:textId="77777777" w:rsidR="007E1000" w:rsidRPr="007E1000" w:rsidRDefault="007E1000" w:rsidP="007E1000">
      <w:pPr>
        <w:spacing w:after="0" w:line="240" w:lineRule="auto"/>
        <w:jc w:val="center"/>
        <w:rPr>
          <w:rFonts w:ascii="Times New Roman" w:eastAsia="MS Mincho" w:hAnsi="Times New Roman" w:cs="Times New Roman"/>
          <w:i/>
          <w:sz w:val="24"/>
          <w:szCs w:val="24"/>
          <w:lang w:val="en-US" w:eastAsia="ja-JP"/>
        </w:rPr>
      </w:pPr>
      <w:r w:rsidRPr="007E1000">
        <w:rPr>
          <w:rFonts w:ascii="Times New Roman" w:eastAsia="MS Mincho" w:hAnsi="Times New Roman" w:cs="Times New Roman"/>
          <w:i/>
          <w:sz w:val="24"/>
          <w:szCs w:val="24"/>
          <w:lang w:val="en-US" w:eastAsia="ja-JP"/>
        </w:rPr>
        <w:t>Russia. Vladivostok</w:t>
      </w:r>
    </w:p>
    <w:p w14:paraId="364B0712" w14:textId="77777777" w:rsidR="007E1000" w:rsidRPr="007E1000" w:rsidRDefault="007E1000" w:rsidP="007E1000">
      <w:pPr>
        <w:spacing w:after="0" w:line="240" w:lineRule="auto"/>
        <w:jc w:val="center"/>
        <w:rPr>
          <w:rFonts w:ascii="Times New Roman" w:eastAsia="MS Mincho" w:hAnsi="Times New Roman" w:cs="Times New Roman"/>
          <w:i/>
          <w:sz w:val="24"/>
          <w:szCs w:val="24"/>
          <w:lang w:val="en-US" w:eastAsia="ja-JP"/>
        </w:rPr>
      </w:pPr>
    </w:p>
    <w:p w14:paraId="38332A37" w14:textId="77777777" w:rsidR="007E1000" w:rsidRPr="007E1000" w:rsidRDefault="007E1000" w:rsidP="007E1000">
      <w:pPr>
        <w:spacing w:after="0" w:line="240" w:lineRule="auto"/>
        <w:jc w:val="both"/>
        <w:rPr>
          <w:rFonts w:ascii="Times New Roman" w:eastAsia="MS Mincho" w:hAnsi="Times New Roman" w:cs="Times New Roman"/>
          <w:sz w:val="28"/>
          <w:szCs w:val="24"/>
          <w:lang w:val="en" w:eastAsia="ja-JP"/>
        </w:rPr>
      </w:pPr>
      <w:r w:rsidRPr="007E1000">
        <w:rPr>
          <w:rFonts w:ascii="Times New Roman" w:eastAsia="MS Mincho" w:hAnsi="Times New Roman" w:cs="Times New Roman"/>
          <w:i/>
          <w:sz w:val="24"/>
          <w:szCs w:val="24"/>
          <w:lang w:val="en-US" w:eastAsia="ja-JP"/>
        </w:rPr>
        <w:t>The article is devoted to the formation of an effective program that promotes the development of small and medium-sized businesses, with the aim of increasing the investment potential of the region and improving the process of making strategic management decisions. The authors have discussed the impact of small and medium-sized enterprises on the economy of the region, as well as on the social sphere. Current trends in the development of this segment have been determined, and current measures to support SMEs have been considered at the moment. The main problems that negatively influence the development of small-scale medium-sized businesses are singled out. The author's approach is proposed to solve existing problems</w:t>
      </w:r>
      <w:r w:rsidRPr="007E1000">
        <w:rPr>
          <w:rFonts w:ascii="Times New Roman" w:eastAsia="MS Mincho" w:hAnsi="Times New Roman" w:cs="Times New Roman"/>
          <w:sz w:val="28"/>
          <w:szCs w:val="24"/>
          <w:lang w:val="en" w:eastAsia="ja-JP"/>
        </w:rPr>
        <w:t>.</w:t>
      </w:r>
    </w:p>
    <w:p w14:paraId="09250FA9" w14:textId="77777777" w:rsidR="007E1000" w:rsidRPr="007E1000" w:rsidRDefault="007E1000" w:rsidP="007E1000">
      <w:pPr>
        <w:spacing w:after="0" w:line="240" w:lineRule="auto"/>
        <w:jc w:val="both"/>
        <w:rPr>
          <w:rFonts w:ascii="Times New Roman" w:eastAsia="MS Mincho" w:hAnsi="Times New Roman" w:cs="Times New Roman"/>
          <w:i/>
          <w:sz w:val="24"/>
          <w:szCs w:val="24"/>
          <w:lang w:val="en-US" w:eastAsia="ja-JP"/>
        </w:rPr>
      </w:pPr>
      <w:r w:rsidRPr="007E1000">
        <w:rPr>
          <w:rFonts w:ascii="Times New Roman" w:eastAsia="MS Mincho" w:hAnsi="Times New Roman" w:cs="Times New Roman"/>
          <w:b/>
          <w:i/>
          <w:sz w:val="24"/>
          <w:szCs w:val="24"/>
          <w:lang w:val="en-US" w:eastAsia="ja-JP"/>
        </w:rPr>
        <w:t>Key words and phrases:</w:t>
      </w:r>
      <w:r w:rsidRPr="007E1000">
        <w:rPr>
          <w:rFonts w:ascii="Times New Roman" w:eastAsia="MS Mincho" w:hAnsi="Times New Roman" w:cs="Times New Roman"/>
          <w:sz w:val="28"/>
          <w:szCs w:val="24"/>
          <w:lang w:val="en" w:eastAsia="ja-JP"/>
        </w:rPr>
        <w:t xml:space="preserve"> </w:t>
      </w:r>
      <w:r w:rsidRPr="007E1000">
        <w:rPr>
          <w:rFonts w:ascii="Times New Roman" w:eastAsia="MS Mincho" w:hAnsi="Times New Roman" w:cs="Times New Roman"/>
          <w:i/>
          <w:sz w:val="24"/>
          <w:szCs w:val="24"/>
          <w:lang w:val="en-US" w:eastAsia="ja-JP"/>
        </w:rPr>
        <w:t>small and medium business, support measures for SMEs, development program</w:t>
      </w:r>
    </w:p>
    <w:p w14:paraId="38A4CB42" w14:textId="77777777" w:rsidR="007E1000" w:rsidRPr="007E1000" w:rsidRDefault="007E1000" w:rsidP="007E1000">
      <w:pPr>
        <w:spacing w:after="0" w:line="240" w:lineRule="auto"/>
        <w:jc w:val="center"/>
        <w:rPr>
          <w:rFonts w:ascii="Times New Roman" w:eastAsia="MS Mincho" w:hAnsi="Times New Roman" w:cs="Times New Roman"/>
          <w:sz w:val="28"/>
          <w:szCs w:val="24"/>
          <w:lang w:val="en-US" w:eastAsia="ja-JP"/>
        </w:rPr>
      </w:pPr>
    </w:p>
    <w:p w14:paraId="36B8B4D2"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Субъекты малого и среднего предпринимательства имеют большое значение для экономического развития и формирования инновационного потенциала государства, ведь оно во многом определяет темпы экономического роста, структуру и качество валового внутреннего продукта. Вклад малого и среднего бизнеса в ВВП страны на 2016 год составляет 21%. Эти предприятия имеют ряд преимуществ перед крупным бизнесом, таких как: меньшие организационные затраты и инвестиции, более быстрая приспособляемость к изменениям внешней среды и т.д.</w:t>
      </w:r>
    </w:p>
    <w:p w14:paraId="03DC7681"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В истории России  наблюдаются частые кардинальные изменения в форме собственности и в форме ведения предпринимательской деятельности. С приходом к власти в России команды </w:t>
      </w:r>
      <w:r w:rsidRPr="007E1000">
        <w:rPr>
          <w:rFonts w:ascii="Times New Roman" w:eastAsia="Times New Roman" w:hAnsi="Times New Roman" w:cs="Times New Roman"/>
          <w:sz w:val="24"/>
          <w:szCs w:val="24"/>
        </w:rPr>
        <w:lastRenderedPageBreak/>
        <w:t>В.В. Путина политика становится более ориентированной на защиту субъектов предпринимательства, создание условий для его развития. Он отмечает важность развития предпринимательства для большей устойчивости государства перед изменениями внешней среды.</w:t>
      </w:r>
    </w:p>
    <w:p w14:paraId="17C81B96"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 целью развития предпринимательства, государство должно осуществлять поддержку, в таких важных вопросах, как: нормативно-правовое регулирование, налогообложение, финансово-кредитное регулирование, информационно-аналитическая поддержка, использование государственного и муниципального имущества.</w:t>
      </w:r>
    </w:p>
    <w:p w14:paraId="16005F3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 рамках госпрограммы «Развитие малого и среднего предпринимательства» в 2017 году 82 субъектам РФ выделено в общей сумме 7,5 млрд руб. На данный момент существуют такие меры поддержки малого и среднего предпринимательства:</w:t>
      </w:r>
    </w:p>
    <w:p w14:paraId="00C6DFF9"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1 Субсидии от центра занятости;</w:t>
      </w:r>
    </w:p>
    <w:p w14:paraId="6B7F5AD8"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2 Грантовая поддержка;</w:t>
      </w:r>
    </w:p>
    <w:p w14:paraId="3D0B1B2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 Федеральные программы поддержки бизнеса;</w:t>
      </w:r>
    </w:p>
    <w:p w14:paraId="03FF80B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3.1 Минэкономразвития России;</w:t>
      </w:r>
    </w:p>
    <w:p w14:paraId="3872F309"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3.2 Корпорации МСП;</w:t>
      </w:r>
    </w:p>
    <w:p w14:paraId="3B718730"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3.3 АО «МСП Банк»;</w:t>
      </w:r>
    </w:p>
    <w:p w14:paraId="6990D232"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3.4 Фонд содействия развитию малых форм предприятий в научно-технической сфере;</w:t>
      </w:r>
    </w:p>
    <w:p w14:paraId="2295BC70"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3.5 Минсельхоз России;</w:t>
      </w:r>
    </w:p>
    <w:p w14:paraId="40A498D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4 Региональные программы поддержки;</w:t>
      </w:r>
    </w:p>
    <w:p w14:paraId="33F87FAF"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5 Субсидии на возмещение процентов по кредиту.</w:t>
      </w:r>
    </w:p>
    <w:p w14:paraId="792707C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 развитии МСП на Дальнем Востоке сегодня заинтересовано не только государство, но и финансовые институты, что находит выражение в разработке и внедрении разнообразных мер поддержки этого вида бизнеса.</w:t>
      </w:r>
    </w:p>
    <w:p w14:paraId="72A9F8A2"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Одной из мер поддержки МСП Дальнего Востока стала разработка и внедрение Российским Банком поддержки малого и среднего предпринимательства (МСП Банк) специального кредитного продукта для предпринимателей.</w:t>
      </w:r>
    </w:p>
    <w:p w14:paraId="74E2FB6E"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Основную поддержку бизнеса в приморье осуществляет МинВостокРазвития. МинВостокРазвития ДВ является федеральным органом исполнительной власти, осуществляющим на территории Дальневосточного федерального округа функции по координации деятельности и реализации государственных и федеральных целевых программ.</w:t>
      </w:r>
    </w:p>
    <w:p w14:paraId="40DD9D6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 него входят:</w:t>
      </w:r>
    </w:p>
    <w:p w14:paraId="0B16F20F"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1 агентство ДВ по привлечению инвестиций и поддержке экспорта;</w:t>
      </w:r>
    </w:p>
    <w:p w14:paraId="7965B97B"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2 агентство по развитию человеческого капитала на ДВ;</w:t>
      </w:r>
    </w:p>
    <w:p w14:paraId="0E297420"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3 корпорация развития ДВ.</w:t>
      </w:r>
    </w:p>
    <w:p w14:paraId="23B3D37B"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Малый и средний бизнес Дальнего Востока может получить финансовую поддержку через систему сопровождения инвестпроектов и на сайте Агентства Дальнего Востока по привлечению инвестиций и поддержке экспорта. К таким продуктам относятся гарантийная поддержка и стимулирование кредитования субъектов МСП.</w:t>
      </w:r>
    </w:p>
    <w:p w14:paraId="512C92DF"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Так же в Приморском крае действует программа «Свободный порт». Свободный порт Владивосток — территория с особыми режимами таможенного, налогового, инвестиционного и смежного регулирования.</w:t>
      </w:r>
    </w:p>
    <w:p w14:paraId="3234D01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Помимо СПВ на территории Дальнего востока действуют 18 территорий опережающего развития (ТОР). ТОР - это экономические зоны, при работе в которых резидентам предоставляются масштабные налоговые льготы. ТОР – это инструмент развития ДФО, ориентированный на глобальную конкурентоспособность и движение в страны АТР. Для создания ТОР были изменены Гражданский, Градостроительный, Трудовой, Земельный, Лесной кодексы Российской Федерации; а также федеральные законы о законодательных и исполнительных органах власти субъектов РФ, о местном самоуправлении, о приватизации, об обязательном страховании, об иностранцах, о лицензировании, об экологической </w:t>
      </w:r>
      <w:r w:rsidRPr="007E1000">
        <w:rPr>
          <w:rFonts w:ascii="Times New Roman" w:eastAsia="Times New Roman" w:hAnsi="Times New Roman" w:cs="Times New Roman"/>
          <w:sz w:val="24"/>
          <w:szCs w:val="24"/>
        </w:rPr>
        <w:lastRenderedPageBreak/>
        <w:t>экспертизе, о таможенных отчислениях и другие законодательные акты Российской Федерации.</w:t>
      </w:r>
    </w:p>
    <w:p w14:paraId="2F3BF68F"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На сегодняшний день проблемы в развитии малого бизнеса являются наиболее актуальными вопросами для современной российской экономики. Основными проблемами для развития предпринимательства в большинстве регионов является недостаток финансирования, а также недоступность займов и субсидий из средств государственных и муниципальных фондов поддержки.</w:t>
      </w:r>
    </w:p>
    <w:p w14:paraId="682C7389"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С 1 июля 2014 г. вступил в силу Федеральный закон «О развитии малого и среднего предпринимательства в Российской Федерации» с изменениями на 28 декабря 2013 г., в ред. с 1 июля 2014 г. В данном нормативно-правовом документе выделены отдельными статьями основные виды предпринимательской деятельности, для которых будут применяться меры государственной поддержки; среди них можно отметить ремесленную деятельность, инновации и промышленное производство, сферу образования, виды предпринимательства, связанные с внешнеэкономической деятельностью, и поддержку сельского хозяйства. Особая роль при поддержке малого бизнеса отводится сельскому хозяйству. Также на сегодняшний день поддерживается развитие молодежного предпринимательства. Существует ряд программ, которые позволяют молодым специалистам реализовать свои возможности в разных сферах экономики. </w:t>
      </w:r>
    </w:p>
    <w:p w14:paraId="11B1DAB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 Послании Президента России четко определены приоритеты развития экономики на долгосрочную перспективу, такие как: возможность открытия своего дела за 2–3 дня, отсутствие проверок надзорных органов в течение 3-летнего периода с момента открытия своего дела, возможность осуществления коммерческой и некоммерческой деятельности в рамках одного юридического лица и другие. Программой Министерства экономического развития предусмотрен широкий спектр мероприятий поддержки для различных групп предприятий, в том числе: поддержка лизинга малых компаний, модернизации производства, грантовая поддержка начинающих и другие.</w:t>
      </w:r>
    </w:p>
    <w:p w14:paraId="3BF62570"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Несмотря на развернутую государственную поддержку в области развития малого предпринимательства, предприниматель сталкивается с рядом проблем: нестабильность в применении налогообложения, коррупционные барьеры, с которыми сталкиваются предприниматели на протяжении всего развития своего бизнеса, в том числе при его создании, отсутствие финансовой поддержки со стороны банковского сектора, высокий рост инфляции, которая была обеспечена введением санкций, скачками цен на нефть, значительным повышением курса европейской валюты и доллара, введением товарного эмбарго. Можно сделать вывод, что на малый и средний бизнес оказывается много факторов, которые отрицательно влияют на его развитие, однако уже сейчас действуют меры и указы, призванные исправить данные проблемы и позволить МСП стабильно развиваться и увеличивать свой вклад в ВВП страны. </w:t>
      </w:r>
    </w:p>
    <w:p w14:paraId="7D38167A"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Экономический рост увеличение масштабов регионального производства, которое обеспечивается как за счет роста количества применяемых факторов производства. Существуют два подхода и соответственно два механизма стимулирования экономического роста в регионах. Первый подход приемлем в условиях неполного использования регионом своих экономических ресурсов. Второй подход приемлем тогда, когда имеющиеся производст</w:t>
      </w:r>
      <w:r w:rsidRPr="007E1000">
        <w:rPr>
          <w:rFonts w:ascii="Times New Roman" w:eastAsia="Times New Roman" w:hAnsi="Times New Roman" w:cs="Times New Roman"/>
          <w:sz w:val="24"/>
          <w:szCs w:val="24"/>
        </w:rPr>
        <w:softHyphen/>
        <w:t>венные мощности задействованы полностью и дальнейшее развитие регионального хозяйства связано с повышением его конкурентоспособности, структурной перестройкой. Источни</w:t>
      </w:r>
      <w:r w:rsidRPr="007E1000">
        <w:rPr>
          <w:rFonts w:ascii="Times New Roman" w:eastAsia="Times New Roman" w:hAnsi="Times New Roman" w:cs="Times New Roman"/>
          <w:sz w:val="24"/>
          <w:szCs w:val="24"/>
        </w:rPr>
        <w:softHyphen/>
        <w:t>ком роста здесь являются ка</w:t>
      </w:r>
      <w:r w:rsidRPr="007E1000">
        <w:rPr>
          <w:rFonts w:ascii="Times New Roman" w:eastAsia="Times New Roman" w:hAnsi="Times New Roman" w:cs="Times New Roman"/>
          <w:sz w:val="24"/>
          <w:szCs w:val="24"/>
        </w:rPr>
        <w:softHyphen/>
        <w:t>питаловложения, осуществляемые предприятиями – «точками роста».  Точки эконо</w:t>
      </w:r>
      <w:r w:rsidRPr="007E1000">
        <w:rPr>
          <w:rFonts w:ascii="Times New Roman" w:eastAsia="Times New Roman" w:hAnsi="Times New Roman" w:cs="Times New Roman"/>
          <w:sz w:val="24"/>
          <w:szCs w:val="24"/>
        </w:rPr>
        <w:softHyphen/>
        <w:t>мического роста это само</w:t>
      </w:r>
      <w:r w:rsidRPr="007E1000">
        <w:rPr>
          <w:rFonts w:ascii="Times New Roman" w:eastAsia="Times New Roman" w:hAnsi="Times New Roman" w:cs="Times New Roman"/>
          <w:sz w:val="24"/>
          <w:szCs w:val="24"/>
        </w:rPr>
        <w:softHyphen/>
        <w:t>стоятельно действующие предприятия, способные к развитию и обеспечению собственных финансовых потребностей и предприятия, имеющие хороший экономический потенциал, способные его реализовать при внешней фи</w:t>
      </w:r>
      <w:r w:rsidRPr="007E1000">
        <w:rPr>
          <w:rFonts w:ascii="Times New Roman" w:eastAsia="Times New Roman" w:hAnsi="Times New Roman" w:cs="Times New Roman"/>
          <w:sz w:val="24"/>
          <w:szCs w:val="24"/>
        </w:rPr>
        <w:softHyphen/>
        <w:t xml:space="preserve">нансовой поддержке. </w:t>
      </w:r>
    </w:p>
    <w:p w14:paraId="6504497A"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Способы определения точек экономического роста: по удельному весу сегмента в общем объеме продукции, про</w:t>
      </w:r>
      <w:r w:rsidRPr="007E1000">
        <w:rPr>
          <w:rFonts w:ascii="Times New Roman" w:eastAsia="Times New Roman" w:hAnsi="Times New Roman" w:cs="Times New Roman"/>
          <w:sz w:val="24"/>
          <w:szCs w:val="24"/>
        </w:rPr>
        <w:softHyphen/>
        <w:t xml:space="preserve">изведенной в регионе за определенный период; по доле убыточных </w:t>
      </w:r>
      <w:r w:rsidRPr="007E1000">
        <w:rPr>
          <w:rFonts w:ascii="Times New Roman" w:eastAsia="Times New Roman" w:hAnsi="Times New Roman" w:cs="Times New Roman"/>
          <w:sz w:val="24"/>
          <w:szCs w:val="24"/>
        </w:rPr>
        <w:lastRenderedPageBreak/>
        <w:t>предприятий; по уровню рентабельности сегмента (отрасли); по денежному выражению полученной прибыли; по бюджетной эффективности (размеру налоговых платежей).</w:t>
      </w:r>
    </w:p>
    <w:p w14:paraId="708A2EA1"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Для развития экономики региона авторами предложена программа, основной направленностью которой является субъект, а именно физическое лицо, поскольку без объективно требуемого количества платежеспособного населения невозможно развитие бизнеса. Наша программа включает в себя такие направления как: </w:t>
      </w:r>
    </w:p>
    <w:p w14:paraId="05343BFB"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обеспечение достойной заработной платы физическим лицам и пенсии гражданам, покупательная способность (платежеспособность) является одним из наиважнейших экономических показателей; </w:t>
      </w:r>
    </w:p>
    <w:p w14:paraId="22925F1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обоснованное снижении налогового бремени для МСП или льготное налогообложение;</w:t>
      </w:r>
    </w:p>
    <w:p w14:paraId="6923DDCB"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освобождение предприятий МСП от жесткого контроля налоговыми органами;</w:t>
      </w:r>
    </w:p>
    <w:p w14:paraId="68AE9BCA"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приватизация определенной части государственных корпоративных структур и передача монополий участникам предпринимательства, с использованием жестких антимонопольных ограничений;</w:t>
      </w:r>
    </w:p>
    <w:p w14:paraId="155D490B"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снижение необоснованного количества государственных проверок в сфере МСП, устранение влияния чиновников, представителей силовых структур на МСП;</w:t>
      </w:r>
    </w:p>
    <w:p w14:paraId="45023013"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снижение бюрократических процедур при регистрации бизнеса и формировании бумажной отчетности;</w:t>
      </w:r>
    </w:p>
    <w:p w14:paraId="3B4B239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развитие дистанционной формы взаимодействия с налоговыми органами;</w:t>
      </w:r>
    </w:p>
    <w:p w14:paraId="0868319B"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ускорение процесса регистрации патентов и новых технологий. </w:t>
      </w:r>
    </w:p>
    <w:p w14:paraId="4CB9E074" w14:textId="77777777" w:rsidR="007E1000" w:rsidRPr="007E1000" w:rsidRDefault="007E1000" w:rsidP="007E1000">
      <w:pPr>
        <w:spacing w:after="0" w:line="240" w:lineRule="auto"/>
        <w:jc w:val="both"/>
        <w:rPr>
          <w:rFonts w:ascii="Times New Roman" w:eastAsia="MS Mincho" w:hAnsi="Times New Roman" w:cs="Times New Roman"/>
          <w:sz w:val="24"/>
          <w:szCs w:val="24"/>
          <w:lang w:eastAsia="ja-JP"/>
        </w:rPr>
      </w:pPr>
      <w:r w:rsidRPr="007E1000">
        <w:rPr>
          <w:rFonts w:ascii="Times New Roman" w:eastAsia="Times New Roman" w:hAnsi="Times New Roman" w:cs="Times New Roman"/>
          <w:sz w:val="24"/>
          <w:szCs w:val="24"/>
        </w:rPr>
        <w:t>Данные предложения обеспечат развитие малого и среднего бизнеса без негативного влияния представленных авторами факторов и позволят воздействовать на повышение платежеспособности населения с целью активизации предпринимательства в регионе.</w:t>
      </w:r>
      <w:r w:rsidRPr="007E1000">
        <w:rPr>
          <w:rFonts w:ascii="Times New Roman" w:eastAsia="MS Mincho" w:hAnsi="Times New Roman" w:cs="Times New Roman"/>
          <w:sz w:val="24"/>
          <w:szCs w:val="24"/>
          <w:lang w:eastAsia="ja-JP"/>
        </w:rPr>
        <w:t xml:space="preserve"> </w:t>
      </w:r>
    </w:p>
    <w:p w14:paraId="46F391E9" w14:textId="77777777" w:rsidR="007E1000" w:rsidRPr="007E1000" w:rsidRDefault="007014C7" w:rsidP="007E1000">
      <w:pPr>
        <w:spacing w:after="0" w:line="240" w:lineRule="auto"/>
        <w:jc w:val="both"/>
        <w:rPr>
          <w:rFonts w:ascii="Times New Roman" w:eastAsia="MS Mincho" w:hAnsi="Times New Roman" w:cs="Times New Roman"/>
          <w:sz w:val="24"/>
          <w:szCs w:val="24"/>
          <w:lang w:eastAsia="ja-JP"/>
        </w:rPr>
      </w:pPr>
      <w:r>
        <w:rPr>
          <w:rFonts w:eastAsia="Times New Roman" w:cs="Times New Roman"/>
          <w:noProof/>
          <w:lang w:eastAsia="ru-RU"/>
        </w:rPr>
        <w:pict w14:anchorId="0C08E20A">
          <v:shape id="_x0000_s1233" type="#_x0000_t32" style="position:absolute;left:0;text-align:left;margin-left:33.65pt;margin-top:12.1pt;width:213.25pt;height:0;z-index:251745280" o:connectortype="straight"/>
        </w:pict>
      </w:r>
    </w:p>
    <w:p w14:paraId="0A03793D" w14:textId="77777777" w:rsidR="007E1000" w:rsidRPr="007E1000" w:rsidRDefault="007E1000" w:rsidP="00FC64DD">
      <w:pPr>
        <w:numPr>
          <w:ilvl w:val="0"/>
          <w:numId w:val="86"/>
        </w:numPr>
        <w:tabs>
          <w:tab w:val="left" w:pos="851"/>
          <w:tab w:val="left" w:pos="993"/>
        </w:tabs>
        <w:spacing w:after="0" w:line="240" w:lineRule="auto"/>
        <w:ind w:left="0" w:firstLine="709"/>
        <w:jc w:val="both"/>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Единый реестр субъектов малого и среднего предпринимательства / Федеральная налоговая служба. [Электронный ресурс] – Режим доступа:</w:t>
      </w:r>
      <w:r w:rsidRPr="007E1000">
        <w:rPr>
          <w:rFonts w:ascii="Times New Roman" w:eastAsia="MS Mincho" w:hAnsi="Times New Roman" w:cs="Times New Roman"/>
          <w:sz w:val="28"/>
          <w:szCs w:val="24"/>
          <w:lang w:eastAsia="ja-JP"/>
        </w:rPr>
        <w:t xml:space="preserve"> </w:t>
      </w:r>
      <w:r w:rsidRPr="007E1000">
        <w:rPr>
          <w:rFonts w:ascii="Times New Roman" w:eastAsia="MS Mincho" w:hAnsi="Times New Roman" w:cs="Times New Roman"/>
          <w:sz w:val="24"/>
          <w:szCs w:val="24"/>
          <w:lang w:eastAsia="ja-JP"/>
        </w:rPr>
        <w:t xml:space="preserve">https://rmsp.nalog.ru/index.html </w:t>
      </w:r>
    </w:p>
    <w:p w14:paraId="3D7D7A00" w14:textId="77777777" w:rsidR="007E1000" w:rsidRPr="007E1000" w:rsidRDefault="007E1000" w:rsidP="00FC64DD">
      <w:pPr>
        <w:numPr>
          <w:ilvl w:val="0"/>
          <w:numId w:val="86"/>
        </w:numPr>
        <w:tabs>
          <w:tab w:val="left" w:pos="851"/>
          <w:tab w:val="left" w:pos="993"/>
        </w:tabs>
        <w:spacing w:after="0" w:line="240" w:lineRule="auto"/>
        <w:ind w:left="0" w:firstLine="709"/>
        <w:jc w:val="both"/>
        <w:rPr>
          <w:rFonts w:ascii="Times New Roman" w:eastAsia="MS Mincho" w:hAnsi="Times New Roman" w:cs="Times New Roman"/>
          <w:b/>
          <w:sz w:val="24"/>
          <w:szCs w:val="24"/>
          <w:lang w:eastAsia="ja-JP"/>
        </w:rPr>
      </w:pPr>
      <w:r w:rsidRPr="007E1000">
        <w:rPr>
          <w:rFonts w:ascii="Times New Roman" w:eastAsia="MS Mincho" w:hAnsi="Times New Roman" w:cs="Times New Roman"/>
          <w:sz w:val="24"/>
          <w:szCs w:val="24"/>
          <w:lang w:eastAsia="ja-JP"/>
        </w:rPr>
        <w:t>Федеральная служба государственной статистики. [Электронный ресурс] –Режим доступа:</w:t>
      </w:r>
      <w:r w:rsidRPr="007E1000">
        <w:rPr>
          <w:rFonts w:ascii="Times New Roman" w:eastAsia="MS Mincho" w:hAnsi="Times New Roman" w:cs="Times New Roman"/>
          <w:sz w:val="28"/>
          <w:szCs w:val="24"/>
          <w:lang w:eastAsia="ja-JP"/>
        </w:rPr>
        <w:t xml:space="preserve"> </w:t>
      </w:r>
      <w:r w:rsidRPr="007E1000">
        <w:rPr>
          <w:rFonts w:ascii="Times New Roman" w:eastAsia="MS Mincho" w:hAnsi="Times New Roman" w:cs="Times New Roman"/>
          <w:sz w:val="24"/>
          <w:szCs w:val="24"/>
          <w:lang w:eastAsia="ja-JP"/>
        </w:rPr>
        <w:t xml:space="preserve"> http://www.gks.ru/wps/wcm/connect/rosstat_main/rosstat/ru/statistics/wages/labour_force/#</w:t>
      </w:r>
    </w:p>
    <w:p w14:paraId="25CDDFB1" w14:textId="77777777" w:rsidR="007E1000" w:rsidRPr="007E1000" w:rsidRDefault="007E1000" w:rsidP="00FC64DD">
      <w:pPr>
        <w:numPr>
          <w:ilvl w:val="0"/>
          <w:numId w:val="86"/>
        </w:numPr>
        <w:tabs>
          <w:tab w:val="left" w:pos="851"/>
          <w:tab w:val="left" w:pos="993"/>
        </w:tabs>
        <w:spacing w:after="0" w:line="240" w:lineRule="auto"/>
        <w:ind w:left="0" w:firstLine="709"/>
        <w:contextualSpacing/>
        <w:jc w:val="both"/>
        <w:rPr>
          <w:rFonts w:ascii="Times New Roman" w:eastAsia="MS Mincho" w:hAnsi="Times New Roman" w:cs="Times New Roman"/>
          <w:b/>
          <w:bCs/>
          <w:sz w:val="24"/>
          <w:szCs w:val="24"/>
          <w:lang w:eastAsia="ja-JP"/>
        </w:rPr>
      </w:pPr>
      <w:r w:rsidRPr="007E1000">
        <w:rPr>
          <w:rFonts w:ascii="Times New Roman" w:eastAsia="MS Mincho" w:hAnsi="Times New Roman" w:cs="Times New Roman"/>
          <w:bCs/>
          <w:sz w:val="24"/>
          <w:szCs w:val="24"/>
          <w:lang w:eastAsia="ja-JP"/>
        </w:rPr>
        <w:t>Федеральный закон "О развитии малого и среднего предпринимательства в Российской Федерации"  N209 ФЗ</w:t>
      </w:r>
      <w:r w:rsidRPr="007E1000">
        <w:rPr>
          <w:rFonts w:ascii="Times New Roman" w:eastAsia="MS Mincho" w:hAnsi="Times New Roman" w:cs="Times New Roman"/>
          <w:b/>
          <w:bCs/>
          <w:sz w:val="24"/>
          <w:szCs w:val="24"/>
          <w:lang w:eastAsia="ja-JP"/>
        </w:rPr>
        <w:t> / </w:t>
      </w:r>
      <w:r w:rsidRPr="007E1000">
        <w:rPr>
          <w:rFonts w:ascii="Times New Roman" w:eastAsia="MS Mincho" w:hAnsi="Times New Roman" w:cs="Times New Roman"/>
          <w:sz w:val="24"/>
          <w:szCs w:val="24"/>
          <w:lang w:eastAsia="ja-JP"/>
        </w:rPr>
        <w:t>КонсультантПлюс </w:t>
      </w:r>
      <w:r w:rsidRPr="007E1000">
        <w:rPr>
          <w:rFonts w:ascii="Times New Roman" w:eastAsia="MS Mincho" w:hAnsi="Times New Roman" w:cs="Times New Roman"/>
          <w:sz w:val="28"/>
          <w:szCs w:val="24"/>
          <w:lang w:eastAsia="ja-JP"/>
        </w:rPr>
        <w:t> </w:t>
      </w:r>
      <w:r w:rsidRPr="007E1000">
        <w:rPr>
          <w:rFonts w:ascii="Times New Roman" w:eastAsia="MS Mincho" w:hAnsi="Times New Roman" w:cs="Times New Roman"/>
          <w:sz w:val="24"/>
          <w:szCs w:val="24"/>
          <w:lang w:eastAsia="ja-JP"/>
        </w:rPr>
        <w:t>[Электронный ресурс]. –Режим доступа:</w:t>
      </w:r>
      <w:r w:rsidRPr="007E1000">
        <w:rPr>
          <w:rFonts w:ascii="Times New Roman" w:eastAsia="MS Mincho" w:hAnsi="Times New Roman" w:cs="Times New Roman"/>
          <w:sz w:val="28"/>
          <w:szCs w:val="24"/>
          <w:lang w:eastAsia="ja-JP"/>
        </w:rPr>
        <w:t xml:space="preserve"> </w:t>
      </w:r>
    </w:p>
    <w:p w14:paraId="185B0493" w14:textId="77777777" w:rsidR="007E1000" w:rsidRPr="007E1000" w:rsidRDefault="007E1000" w:rsidP="007E1000">
      <w:pPr>
        <w:tabs>
          <w:tab w:val="left" w:pos="851"/>
          <w:tab w:val="left" w:pos="993"/>
        </w:tabs>
        <w:spacing w:after="0" w:line="240" w:lineRule="auto"/>
        <w:contextualSpacing/>
        <w:jc w:val="both"/>
        <w:rPr>
          <w:rFonts w:ascii="Times New Roman" w:eastAsia="MS Mincho" w:hAnsi="Times New Roman" w:cs="Times New Roman"/>
          <w:sz w:val="24"/>
          <w:szCs w:val="24"/>
          <w:lang w:eastAsia="ja-JP"/>
        </w:rPr>
      </w:pPr>
      <w:r w:rsidRPr="007E1000">
        <w:rPr>
          <w:rFonts w:ascii="Times New Roman" w:eastAsia="MS Mincho" w:hAnsi="Times New Roman" w:cs="Times New Roman"/>
          <w:sz w:val="24"/>
          <w:szCs w:val="24"/>
          <w:lang w:eastAsia="ja-JP"/>
        </w:rPr>
        <w:t xml:space="preserve">http://www.consultant.ru/document/cons_doc_LAW_52144/ (дата обращения -15.04.2018) </w:t>
      </w:r>
    </w:p>
    <w:p w14:paraId="034CBA57" w14:textId="77777777" w:rsidR="007E1000" w:rsidRPr="007E1000" w:rsidRDefault="007E1000" w:rsidP="007E1000">
      <w:pPr>
        <w:tabs>
          <w:tab w:val="left" w:pos="851"/>
          <w:tab w:val="left" w:pos="993"/>
        </w:tabs>
        <w:spacing w:after="0" w:line="240" w:lineRule="auto"/>
        <w:contextualSpacing/>
        <w:jc w:val="both"/>
        <w:rPr>
          <w:rFonts w:ascii="Times New Roman" w:eastAsia="MS Mincho" w:hAnsi="Times New Roman" w:cs="Times New Roman"/>
          <w:b/>
          <w:bCs/>
          <w:sz w:val="24"/>
          <w:szCs w:val="24"/>
          <w:lang w:eastAsia="ja-JP"/>
        </w:rPr>
      </w:pPr>
      <w:r w:rsidRPr="007E1000">
        <w:rPr>
          <w:rFonts w:ascii="Times New Roman" w:eastAsia="MS Mincho" w:hAnsi="Times New Roman" w:cs="Times New Roman"/>
          <w:sz w:val="24"/>
          <w:szCs w:val="24"/>
          <w:lang w:eastAsia="ja-JP"/>
        </w:rPr>
        <w:t>4. МинВостокРазвития [Электронный ресурс] // новостной интернет портал МинВостокРазвития – Режим доступа: http://minvr.ru/.</w:t>
      </w:r>
    </w:p>
    <w:p w14:paraId="28AC1B28" w14:textId="77777777" w:rsidR="007E1000" w:rsidRPr="007E1000" w:rsidRDefault="007E1000" w:rsidP="007E1000">
      <w:pPr>
        <w:spacing w:after="0" w:line="240" w:lineRule="auto"/>
        <w:jc w:val="both"/>
        <w:rPr>
          <w:rFonts w:ascii="Times New Roman" w:eastAsia="Times New Roman" w:hAnsi="Times New Roman" w:cs="Times New Roman"/>
          <w:sz w:val="28"/>
          <w:szCs w:val="30"/>
          <w:lang w:eastAsia="ru-RU"/>
        </w:rPr>
      </w:pPr>
    </w:p>
    <w:p w14:paraId="59DE7374"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7CB7E4D9"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19E6574A" w14:textId="77777777" w:rsidR="007E1000" w:rsidRPr="007E1000" w:rsidRDefault="007E1000" w:rsidP="007E1000">
      <w:pPr>
        <w:spacing w:after="16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Рубрика: Финансы</w:t>
      </w:r>
    </w:p>
    <w:p w14:paraId="4AA7D532" w14:textId="77777777" w:rsidR="007E1000" w:rsidRPr="007E1000" w:rsidRDefault="007E1000" w:rsidP="007E1000">
      <w:pPr>
        <w:spacing w:after="16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УДК 657.1.014.134</w:t>
      </w:r>
    </w:p>
    <w:p w14:paraId="6AA831B4" w14:textId="77777777" w:rsidR="007E1000" w:rsidRPr="007E1000" w:rsidRDefault="007E1000" w:rsidP="007E1000">
      <w:pPr>
        <w:spacing w:after="160" w:line="240" w:lineRule="auto"/>
        <w:jc w:val="center"/>
        <w:rPr>
          <w:rFonts w:ascii="Times New Roman" w:eastAsia="Times New Roman" w:hAnsi="Times New Roman" w:cs="Times New Roman"/>
          <w:b/>
          <w:bCs/>
          <w:sz w:val="24"/>
          <w:szCs w:val="24"/>
        </w:rPr>
      </w:pPr>
      <w:r w:rsidRPr="007E1000">
        <w:rPr>
          <w:rFonts w:ascii="Times New Roman" w:eastAsia="Times New Roman" w:hAnsi="Times New Roman" w:cs="Times New Roman"/>
          <w:b/>
          <w:bCs/>
          <w:sz w:val="24"/>
          <w:szCs w:val="24"/>
        </w:rPr>
        <w:t>Вопросы адаптации российской системы бухгалтерского учета к международным стандартам финансовой отчетности</w:t>
      </w:r>
    </w:p>
    <w:p w14:paraId="64348133"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Седалищева Ирина Александровна,</w:t>
      </w:r>
    </w:p>
    <w:p w14:paraId="73FC54E4"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Бакалавр</w:t>
      </w:r>
    </w:p>
    <w:p w14:paraId="7DE7EB2B"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Владивостокский государственный университет экономики и сервиса</w:t>
      </w:r>
    </w:p>
    <w:p w14:paraId="360A7A53"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Россия. Владивосток</w:t>
      </w:r>
    </w:p>
    <w:p w14:paraId="7BB1C4CF"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E-mail: </w:t>
      </w:r>
      <w:hyperlink r:id="rId126">
        <w:r w:rsidRPr="007E1000">
          <w:rPr>
            <w:rFonts w:ascii="Times New Roman" w:eastAsia="Times New Roman" w:hAnsi="Times New Roman" w:cs="Times New Roman"/>
            <w:sz w:val="24"/>
            <w:szCs w:val="24"/>
          </w:rPr>
          <w:t>isedalishcheva@mail.ru</w:t>
        </w:r>
      </w:hyperlink>
      <w:r w:rsidRPr="007E1000">
        <w:rPr>
          <w:rFonts w:ascii="Times New Roman" w:eastAsia="Times New Roman" w:hAnsi="Times New Roman" w:cs="Times New Roman"/>
          <w:sz w:val="24"/>
          <w:szCs w:val="24"/>
        </w:rPr>
        <w:t>; тел.: +79242449700</w:t>
      </w:r>
    </w:p>
    <w:p w14:paraId="0D785BB0"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ул. Гоголя, 41, г. Владивосток, Приморский край, Россия, 690014</w:t>
      </w:r>
    </w:p>
    <w:p w14:paraId="087999AA"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lastRenderedPageBreak/>
        <w:t xml:space="preserve">Научный руководитель: Комиссарова Валерия Вячеславовна </w:t>
      </w:r>
    </w:p>
    <w:p w14:paraId="7E62752A" w14:textId="77777777" w:rsidR="007E1000" w:rsidRPr="007E1000" w:rsidRDefault="007E1000" w:rsidP="007E1000">
      <w:pPr>
        <w:spacing w:after="0" w:line="240" w:lineRule="auto"/>
        <w:jc w:val="center"/>
        <w:rPr>
          <w:rFonts w:ascii="Times New Roman" w:eastAsia="Times New Roman" w:hAnsi="Times New Roman" w:cs="Times New Roman"/>
          <w:sz w:val="24"/>
          <w:szCs w:val="24"/>
        </w:rPr>
      </w:pPr>
    </w:p>
    <w:p w14:paraId="1CC5E007" w14:textId="77777777" w:rsidR="007E1000" w:rsidRPr="007E1000" w:rsidRDefault="007E1000" w:rsidP="007E1000">
      <w:pPr>
        <w:spacing w:after="16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 статье рассматриваются вопросы адаптации российской системы бухгалтерского учета к международным стандартам финансовой отчетности. Так как Россия является частью мировой экономической системы, ей необходимо использовать МСФО для представления иностранным партнерам и инвесторам в понятной им форме информации о финансовом состоянии предприятия, поэтому эта тема приобретает всю большую актуальность.</w:t>
      </w:r>
    </w:p>
    <w:p w14:paraId="74EDC2E1" w14:textId="77777777" w:rsidR="007E1000" w:rsidRPr="007E1000" w:rsidRDefault="007E1000" w:rsidP="007E1000">
      <w:pPr>
        <w:spacing w:after="16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b/>
          <w:bCs/>
          <w:sz w:val="24"/>
          <w:szCs w:val="24"/>
        </w:rPr>
        <w:t>Ключевые слова и словосочетания:</w:t>
      </w:r>
      <w:r w:rsidRPr="007E1000">
        <w:rPr>
          <w:rFonts w:ascii="Times New Roman" w:eastAsia="Times New Roman" w:hAnsi="Times New Roman" w:cs="Times New Roman"/>
          <w:sz w:val="24"/>
          <w:szCs w:val="24"/>
        </w:rPr>
        <w:t xml:space="preserve"> международные стандарты финансовой отчетности, Россия, адаптация, бухгалтерский учет.</w:t>
      </w:r>
    </w:p>
    <w:p w14:paraId="1DF9E304" w14:textId="77777777" w:rsidR="007E1000" w:rsidRPr="007E1000" w:rsidRDefault="007E1000" w:rsidP="007E1000">
      <w:pPr>
        <w:spacing w:before="160" w:after="160" w:line="240" w:lineRule="auto"/>
        <w:jc w:val="center"/>
        <w:rPr>
          <w:rFonts w:ascii="Times New Roman" w:eastAsia="Times New Roman" w:hAnsi="Times New Roman" w:cs="Times New Roman"/>
          <w:b/>
          <w:bCs/>
          <w:sz w:val="24"/>
          <w:szCs w:val="24"/>
          <w:lang w:val="en-US"/>
        </w:rPr>
      </w:pPr>
      <w:r w:rsidRPr="007E1000">
        <w:rPr>
          <w:rFonts w:ascii="Times New Roman" w:eastAsia="Times New Roman" w:hAnsi="Times New Roman" w:cs="Times New Roman"/>
          <w:b/>
          <w:bCs/>
          <w:sz w:val="24"/>
          <w:szCs w:val="24"/>
          <w:lang w:val="en-US"/>
        </w:rPr>
        <w:t>Russian accounting system’s adaptation issues to the international financial reporting standards</w:t>
      </w:r>
    </w:p>
    <w:p w14:paraId="0F8B4CCB" w14:textId="77777777" w:rsidR="007E1000" w:rsidRPr="007E1000" w:rsidRDefault="007E1000" w:rsidP="007E1000">
      <w:pPr>
        <w:spacing w:after="160" w:line="240" w:lineRule="auto"/>
        <w:jc w:val="both"/>
        <w:rPr>
          <w:rFonts w:ascii="Times New Roman" w:eastAsia="Times New Roman" w:hAnsi="Times New Roman" w:cs="Times New Roman"/>
          <w:sz w:val="24"/>
          <w:szCs w:val="24"/>
          <w:lang w:val="en-US"/>
        </w:rPr>
      </w:pPr>
      <w:r w:rsidRPr="007E1000">
        <w:rPr>
          <w:rFonts w:ascii="Times New Roman" w:eastAsia="Times New Roman" w:hAnsi="Times New Roman" w:cs="Times New Roman"/>
          <w:sz w:val="24"/>
          <w:szCs w:val="24"/>
          <w:lang w:val="en-US"/>
        </w:rPr>
        <w:t>The article considers the issues of adaptation of the Russian accounting system to international financial reporting standards. Since Russia is part of the world economic system, it needs to use IFRS to present information about the financial state of the enterprise in a form they understand to foreign partners and investors, so this topic becomes more and more relevant.</w:t>
      </w:r>
    </w:p>
    <w:p w14:paraId="347D1598" w14:textId="77777777" w:rsidR="007E1000" w:rsidRPr="007E1000" w:rsidRDefault="007E1000" w:rsidP="007E1000">
      <w:pPr>
        <w:spacing w:after="160" w:line="240" w:lineRule="auto"/>
        <w:jc w:val="both"/>
        <w:rPr>
          <w:rFonts w:ascii="Times New Roman" w:eastAsia="Times New Roman" w:hAnsi="Times New Roman" w:cs="Times New Roman"/>
          <w:sz w:val="24"/>
          <w:szCs w:val="24"/>
          <w:lang w:val="en-US"/>
        </w:rPr>
      </w:pPr>
      <w:r w:rsidRPr="007E1000">
        <w:rPr>
          <w:rFonts w:ascii="Times New Roman" w:eastAsia="Times New Roman" w:hAnsi="Times New Roman" w:cs="Times New Roman"/>
          <w:b/>
          <w:bCs/>
          <w:sz w:val="24"/>
          <w:szCs w:val="24"/>
          <w:lang w:val="en-US"/>
        </w:rPr>
        <w:t>Keywords:</w:t>
      </w:r>
      <w:r w:rsidRPr="007E1000">
        <w:rPr>
          <w:rFonts w:ascii="Times New Roman" w:eastAsia="Times New Roman" w:hAnsi="Times New Roman" w:cs="Times New Roman"/>
          <w:sz w:val="24"/>
          <w:szCs w:val="24"/>
          <w:lang w:val="en-US"/>
        </w:rPr>
        <w:t xml:space="preserve"> international financial reporting standards, Russia, adaptation, accounting system.</w:t>
      </w:r>
    </w:p>
    <w:p w14:paraId="06715DD1"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Последние десятилетия ХХ и начало ХХI вв. отмечены повышенным вниманием к проблеме международной унификации бухгалтерского учета. На сегодняшний день общество делает не только большую работу по созданию новых стандартов финансовой отчетности, но и совершенствует их. Такая работа улучшает язык общения, предоставляет более достоверную информацию для внешних пользователей, позволяет сформировать наиболее существенную и полезную информацию для принятия управленческих решений.</w:t>
      </w:r>
    </w:p>
    <w:p w14:paraId="0CBB4350"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Цель статьи - описать проблемы и преимущества адаптации российской системы бухгалтерского учета к международным стандартам финансовой отчетности. </w:t>
      </w:r>
    </w:p>
    <w:p w14:paraId="166C1338"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Для достижения цели необходимо выполнить следующие задачи: </w:t>
      </w:r>
    </w:p>
    <w:p w14:paraId="31295CC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1. Рассмотреть причины внедрения международных стандартов финансовой отчетности в России</w:t>
      </w:r>
    </w:p>
    <w:p w14:paraId="53003603"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2. Выявить проблемы и преимущества адаптации международных стандартов финансовой отчетности</w:t>
      </w:r>
    </w:p>
    <w:p w14:paraId="0152C24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В настоящее время международные стандарты финансовой отчетности (МСФО) представляют собой свод высококачественных стандартов, раскрывающих требования к содержанию бухгалтерской информации и методологии получения учетных характеристик на основе гармонизации национальных стандартов экономически развитых стран. </w:t>
      </w:r>
    </w:p>
    <w:p w14:paraId="0FEB7C6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МСФО отражают совокупность следующих документов:</w:t>
      </w:r>
    </w:p>
    <w:p w14:paraId="07559284"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предисловие к положению МСФО</w:t>
      </w:r>
    </w:p>
    <w:p w14:paraId="5FD1555D" w14:textId="77777777" w:rsidR="007E1000" w:rsidRPr="007E1000" w:rsidRDefault="007E1000" w:rsidP="00FC64DD">
      <w:pPr>
        <w:numPr>
          <w:ilvl w:val="0"/>
          <w:numId w:val="89"/>
        </w:numPr>
        <w:spacing w:after="0" w:line="240" w:lineRule="auto"/>
        <w:ind w:left="-357" w:firstLine="709"/>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принципы подготовки и представления финансовой отчетности</w:t>
      </w:r>
    </w:p>
    <w:p w14:paraId="1814BCA9" w14:textId="77777777" w:rsidR="007E1000" w:rsidRPr="007E1000" w:rsidRDefault="007E1000" w:rsidP="00FC64DD">
      <w:pPr>
        <w:numPr>
          <w:ilvl w:val="0"/>
          <w:numId w:val="89"/>
        </w:numPr>
        <w:spacing w:after="0" w:line="240" w:lineRule="auto"/>
        <w:ind w:left="-357" w:firstLine="709"/>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 xml:space="preserve">стандарты и разъяснения к ним </w:t>
      </w:r>
    </w:p>
    <w:p w14:paraId="55F5E498"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Основной принцип МСФО лежит в их рекомендательном характере, а не законодательно-правовом. В них нет подробных интерпретаций, примеров применения стандартов в конкретных ситуациях. Цель в том, чтобы составители отчетности следовали принципам в любой практической ситуации (среди принципов – принципы начисления (</w:t>
      </w:r>
      <w:r w:rsidRPr="007E1000">
        <w:rPr>
          <w:rFonts w:ascii="Times New Roman" w:eastAsia="Times New Roman" w:hAnsi="Times New Roman" w:cs="Times New Roman"/>
          <w:sz w:val="24"/>
          <w:szCs w:val="24"/>
          <w:lang w:val="en-US"/>
        </w:rPr>
        <w:t>accrual</w:t>
      </w:r>
      <w:r w:rsidRPr="007E1000">
        <w:rPr>
          <w:rFonts w:ascii="Times New Roman" w:eastAsia="Times New Roman" w:hAnsi="Times New Roman" w:cs="Times New Roman"/>
          <w:sz w:val="24"/>
          <w:szCs w:val="24"/>
        </w:rPr>
        <w:t xml:space="preserve"> </w:t>
      </w:r>
      <w:r w:rsidRPr="007E1000">
        <w:rPr>
          <w:rFonts w:ascii="Times New Roman" w:eastAsia="Times New Roman" w:hAnsi="Times New Roman" w:cs="Times New Roman"/>
          <w:sz w:val="24"/>
          <w:szCs w:val="24"/>
          <w:lang w:val="en-US"/>
        </w:rPr>
        <w:t>basic</w:t>
      </w:r>
      <w:r w:rsidRPr="007E1000">
        <w:rPr>
          <w:rFonts w:ascii="Times New Roman" w:eastAsia="Times New Roman" w:hAnsi="Times New Roman" w:cs="Times New Roman"/>
          <w:sz w:val="24"/>
          <w:szCs w:val="24"/>
        </w:rPr>
        <w:t>), непрерывности деятельности (</w:t>
      </w:r>
      <w:r w:rsidRPr="007E1000">
        <w:rPr>
          <w:rFonts w:ascii="Times New Roman" w:eastAsia="Times New Roman" w:hAnsi="Times New Roman" w:cs="Times New Roman"/>
          <w:sz w:val="24"/>
          <w:szCs w:val="24"/>
          <w:lang w:val="en-US"/>
        </w:rPr>
        <w:t>going</w:t>
      </w:r>
      <w:r w:rsidRPr="007E1000">
        <w:rPr>
          <w:rFonts w:ascii="Times New Roman" w:eastAsia="Times New Roman" w:hAnsi="Times New Roman" w:cs="Times New Roman"/>
          <w:sz w:val="24"/>
          <w:szCs w:val="24"/>
        </w:rPr>
        <w:t xml:space="preserve"> </w:t>
      </w:r>
      <w:r w:rsidRPr="007E1000">
        <w:rPr>
          <w:rFonts w:ascii="Times New Roman" w:eastAsia="Times New Roman" w:hAnsi="Times New Roman" w:cs="Times New Roman"/>
          <w:sz w:val="24"/>
          <w:szCs w:val="24"/>
          <w:lang w:val="en-US"/>
        </w:rPr>
        <w:t>concern</w:t>
      </w:r>
      <w:r w:rsidRPr="007E1000">
        <w:rPr>
          <w:rFonts w:ascii="Times New Roman" w:eastAsia="Times New Roman" w:hAnsi="Times New Roman" w:cs="Times New Roman"/>
          <w:sz w:val="24"/>
          <w:szCs w:val="24"/>
        </w:rPr>
        <w:t>), осторожности (</w:t>
      </w:r>
      <w:r w:rsidRPr="007E1000">
        <w:rPr>
          <w:rFonts w:ascii="Times New Roman" w:eastAsia="Times New Roman" w:hAnsi="Times New Roman" w:cs="Times New Roman"/>
          <w:sz w:val="24"/>
          <w:szCs w:val="24"/>
          <w:lang w:val="en-US"/>
        </w:rPr>
        <w:t>prudence</w:t>
      </w:r>
      <w:r w:rsidRPr="007E1000">
        <w:rPr>
          <w:rFonts w:ascii="Times New Roman" w:eastAsia="Times New Roman" w:hAnsi="Times New Roman" w:cs="Times New Roman"/>
          <w:sz w:val="24"/>
          <w:szCs w:val="24"/>
        </w:rPr>
        <w:t>), уместности (</w:t>
      </w:r>
      <w:r w:rsidRPr="007E1000">
        <w:rPr>
          <w:rFonts w:ascii="Times New Roman" w:eastAsia="Times New Roman" w:hAnsi="Times New Roman" w:cs="Times New Roman"/>
          <w:sz w:val="24"/>
          <w:szCs w:val="24"/>
          <w:lang w:val="en-US"/>
        </w:rPr>
        <w:t>relevance</w:t>
      </w:r>
      <w:r w:rsidRPr="007E1000">
        <w:rPr>
          <w:rFonts w:ascii="Times New Roman" w:eastAsia="Times New Roman" w:hAnsi="Times New Roman" w:cs="Times New Roman"/>
          <w:sz w:val="24"/>
          <w:szCs w:val="24"/>
        </w:rPr>
        <w:t>) и ряд других), а не пытались найти лазейки в четко прописанных правилах, которые позволили бы обойти какие-либо базовые положения. [1, с.5]</w:t>
      </w:r>
    </w:p>
    <w:p w14:paraId="57267206"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Международные стандарты финансовой отчетности приняты как обязательные в нескольких странах Европы. В большинстве стран Европы отчетность в соответствии с МСФО обязаны подготавливать компании, ценные бумаги которых обращаются на бирже.</w:t>
      </w:r>
    </w:p>
    <w:p w14:paraId="36E7F3C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В США в 2008 году Комиссией по ценным бумагам и биржам (SEC) был представлен план перехода на МСФО и отказа от собственных стандартов бухгалтерского учета US GAAP </w:t>
      </w:r>
      <w:r w:rsidRPr="007E1000">
        <w:rPr>
          <w:rFonts w:ascii="Times New Roman" w:eastAsia="Times New Roman" w:hAnsi="Times New Roman" w:cs="Times New Roman"/>
          <w:sz w:val="24"/>
          <w:szCs w:val="24"/>
        </w:rPr>
        <w:lastRenderedPageBreak/>
        <w:t>(Generally Accepted Accounting Principles), однако в 2011 году Комиссия по ценным бумагам и биржам выпустили документ, с решением не внедрять МСФО в ближайшее время. Многие большие компании, такие как Boeing, Pepsico, McDonalds, против этой системы, потому что переход влечет за собой большие расходы с маленькой выгодой. [1, с.7]</w:t>
      </w:r>
    </w:p>
    <w:p w14:paraId="6472B90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GAAP также распространились по Канаде, Англии, Мексике, Италии и др. GAAP везде обеспечивали определенное единство и стабильность подходов к ведению бухгалтерского учета и составлению финансовой отчетности, хотя и имели свои особенности; гарантировали ее сопоставимость с отчетностью других национальных компаний; достоверность и надежность отчетной информации повысились; возросло доверие к ней со стороны разных пользователей. Европейская комиссия создала Четвертую и Седьмую директивы, которые унифицируют финансовую отчетность стран Европейского союза. GAAP постепенно, но неуклонно и неотвратимо вытесняются Международными стандартами финансовой отчетности. Хотя МСФО впитали в себя многие «общепризнанные принципы бухгалтерского учета», но пошли дальше GAAP в разработке стандартных норм по отражению в финансовой отчетности новых явлений в экономике и финансах. [2]</w:t>
      </w:r>
    </w:p>
    <w:p w14:paraId="3AD47FC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Правительство России осуществляет программу гармонизации российских стандартов бухгалтерского учета (РСБУ) и международных стандартов финансовой отчетности. Одну из первых программ адаптации международных стандартов финансовой отчетности запустили в 1998 году, но несмотря на усилия существенные различия между РСБУ и МСФО все еще остаются. </w:t>
      </w:r>
    </w:p>
    <w:p w14:paraId="091E161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В России составляются такие формы бухгалтерской отчетности, как бухгалтерский баланс, отчет о прибылях и убытках и пояснения к ним, включающие отчет об изменениях капитала, отчет о движении денежных средств. В системе МСФО финансовая отчетность включает отчет о финансовом положении (бухгалтерский баланс), отчет о совокупном доходе, отчет об изменениях в собственном капитале, отчет о движении денежных средств, примечания.</w:t>
      </w:r>
    </w:p>
    <w:p w14:paraId="6377E783"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Также кроме обязательных форм финансовой отчетности компании представляют информацию аналитического характера, раскрывающую финансовое состояние и финансовые результаты работы: </w:t>
      </w:r>
    </w:p>
    <w:p w14:paraId="453164CF"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основные факторы, определяющие результаты деятельности, включая изменение условий хозяйствования, инвестиционную стратегию и дивидендную политику;</w:t>
      </w:r>
    </w:p>
    <w:p w14:paraId="7FBC181A"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 xml:space="preserve">основные источники и стратегию финансирования и управления рисками </w:t>
      </w:r>
    </w:p>
    <w:p w14:paraId="4C7821A7"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преимущества и ресурсы компании, стоимость которых не отражена в финансовой отчетности [3, с. 262]</w:t>
      </w:r>
    </w:p>
    <w:p w14:paraId="19C7CB5D"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Основной причиной длительного перехода на МСФО является частое противоречие требований к составлению отчетной документации: по МСФО отчетность должна отвечать запросам собственников, тогда как требования для национальных стандартов финансовой отчетности устанавливает законодательство. Радикалы среди финансовых директоров крупных компаний России предлагают полную отмену РСБУ. Такое решение, по их мнению, ликвидирует проблему несоответствия целей ведения учета и составления отчетности. Как российским предприятиям вести учет в соответствии с МСФО и одновременно не нарушать государственные установки? По мнению экспертов, необходимо модернизировать налоговый учет. После этого российские компании смогут составлять две отчетности: по МСФО и для налоговой.</w:t>
      </w:r>
    </w:p>
    <w:p w14:paraId="73AA21E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Также для перехода на МСФО бухгалтерам и финансовым специалистам необходимо проходить обучение МСФО и обзавестись новыми знаниями и навыками международных стандартов, так как международные стандарты финансовой отчетности сложнее РСБУ. Многие компании уже прибегают к помощи специалистов по МСФО, но их услуги довольно дорогие.</w:t>
      </w:r>
    </w:p>
    <w:p w14:paraId="45AC7441"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К основным преимуществам перехода на МСФО можно отнести следующие:</w:t>
      </w:r>
    </w:p>
    <w:p w14:paraId="62F84625"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увеличение числа потенциальных иностранных инвесторов, что в свою очередь приведет к улучшению состояния экономики страны в целом;</w:t>
      </w:r>
    </w:p>
    <w:p w14:paraId="74417DBD"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lastRenderedPageBreak/>
        <w:t>повышение конкурентоспособности компании ввиду предоставления внешним пользователям достоверной информации;</w:t>
      </w:r>
    </w:p>
    <w:p w14:paraId="58515EA6"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уменьшение процентной ставки во время привлечения дополнительного финансирования;</w:t>
      </w:r>
    </w:p>
    <w:p w14:paraId="65C11E1A" w14:textId="77777777" w:rsidR="007E1000" w:rsidRPr="007E1000" w:rsidRDefault="007E1000" w:rsidP="00FC64DD">
      <w:pPr>
        <w:numPr>
          <w:ilvl w:val="0"/>
          <w:numId w:val="89"/>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улучшение качества ведения управленческого учета владельцами компании, более точная оценка финансового состояния дел. [4]</w:t>
      </w:r>
    </w:p>
    <w:p w14:paraId="78D048D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Составлению положений по требованиям МСФО предшествовали ряд принятых нормативных актов, среди которых:</w:t>
      </w:r>
    </w:p>
    <w:p w14:paraId="1D8AEB45" w14:textId="77777777" w:rsidR="007E1000" w:rsidRPr="007E1000" w:rsidRDefault="007E1000" w:rsidP="00FC64DD">
      <w:pPr>
        <w:numPr>
          <w:ilvl w:val="0"/>
          <w:numId w:val="87"/>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ФЗ «О консолидированной финансовой отчетности»;</w:t>
      </w:r>
    </w:p>
    <w:p w14:paraId="2E4E8343" w14:textId="77777777" w:rsidR="007E1000" w:rsidRPr="007E1000" w:rsidRDefault="007E1000" w:rsidP="00FC64DD">
      <w:pPr>
        <w:numPr>
          <w:ilvl w:val="0"/>
          <w:numId w:val="87"/>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Постановление Правительства РФ «Об утверждении Положения о признании Международных стандартов финансовой отчетности и Разъяснений Международных стандартов финансовой отчетности для применения на территории Российской Федерации»;</w:t>
      </w:r>
    </w:p>
    <w:p w14:paraId="38300D4E" w14:textId="77777777" w:rsidR="007E1000" w:rsidRPr="007E1000" w:rsidRDefault="007E1000" w:rsidP="00FC64DD">
      <w:pPr>
        <w:numPr>
          <w:ilvl w:val="0"/>
          <w:numId w:val="88"/>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Приказ Минфина об утверждении новых форм бухгалтерской отчетности;</w:t>
      </w:r>
    </w:p>
    <w:p w14:paraId="5940D2E1" w14:textId="77777777" w:rsidR="007E1000" w:rsidRPr="007E1000" w:rsidRDefault="007E1000" w:rsidP="00FC64DD">
      <w:pPr>
        <w:numPr>
          <w:ilvl w:val="0"/>
          <w:numId w:val="88"/>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ФЗ «О бухгалтерском учете»;</w:t>
      </w:r>
    </w:p>
    <w:p w14:paraId="48BA4139" w14:textId="77777777" w:rsidR="007E1000" w:rsidRPr="007E1000" w:rsidRDefault="007E1000" w:rsidP="00FC64DD">
      <w:pPr>
        <w:numPr>
          <w:ilvl w:val="0"/>
          <w:numId w:val="88"/>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Приказ Минфина об утверждении ПБУ 23/2011</w:t>
      </w:r>
    </w:p>
    <w:p w14:paraId="23C830F5" w14:textId="77777777" w:rsidR="007E1000" w:rsidRPr="007E1000" w:rsidRDefault="007E1000" w:rsidP="00FC64DD">
      <w:pPr>
        <w:numPr>
          <w:ilvl w:val="0"/>
          <w:numId w:val="88"/>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Приказ Минфина №160н (введено 37 МСФО и 26 Разъяснений МСФО)</w:t>
      </w:r>
    </w:p>
    <w:p w14:paraId="02287CEF" w14:textId="77777777" w:rsidR="007E1000" w:rsidRPr="007E1000" w:rsidRDefault="007E1000" w:rsidP="00FC64DD">
      <w:pPr>
        <w:numPr>
          <w:ilvl w:val="0"/>
          <w:numId w:val="88"/>
        </w:numPr>
        <w:spacing w:after="0" w:line="240" w:lineRule="auto"/>
        <w:contextualSpacing/>
        <w:jc w:val="both"/>
        <w:rPr>
          <w:rFonts w:ascii="Calibri" w:eastAsia="Times New Roman" w:hAnsi="Calibri" w:cs="Times New Roman"/>
          <w:sz w:val="24"/>
          <w:szCs w:val="24"/>
        </w:rPr>
      </w:pPr>
      <w:r w:rsidRPr="007E1000">
        <w:rPr>
          <w:rFonts w:ascii="Times New Roman" w:eastAsia="Times New Roman" w:hAnsi="Times New Roman" w:cs="Times New Roman"/>
          <w:sz w:val="24"/>
          <w:szCs w:val="24"/>
        </w:rPr>
        <w:t>Приказ Минфина об утверждении ПБУ 1/2008, 3/2006, 18/02, 13/2000, 16/02. [5]</w:t>
      </w:r>
    </w:p>
    <w:p w14:paraId="50F22CC6"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Например, согласно ФЗ от 27.02.2010 № 208-ФЗ «О консолидированной финансовой отчетности» консолидированная финансовая отчетность составляется в соответствии с МСФО. Кредитные и страховые организации, иные организации составляют такую отчетность по необходимости, если их ценные бумаги допущены к обращению на торгах фондовых бирж и (или) иных организаторов торговли на рынке ценных бумаг. Для этих организаций на территории Российской Федерации применяются МСФО и Разъяснения МСФО, применяемые Фондом Комитета по МСФО и признанные в порядке, установленном с учетом требований законодательства Российской Федерации Правительством РФ по согласованию с Центральным банком РФ. [6] </w:t>
      </w:r>
    </w:p>
    <w:p w14:paraId="51869C3E"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Построение системы бухгалтерского учета и отчетности, отвечающей международным стандартам финансовой отчетности и потребностям рыночной экономики, четкой, понятной и общепризнанной, принципы которой можно интерпретировать и применять достаточно жестко и постоянно, будет выгодно всем основным субъектам на рынке: правительству, предприятиям, кредиторам и инвесторам.</w:t>
      </w:r>
    </w:p>
    <w:p w14:paraId="23E6A04C"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Для успешной адаптации системы бухгалтерского учета необходимо, помимо осмысления и внедрения принципов учета МСФО, усовершенствовать систему нормативного регулирования, в которой важная роль отведена стандартам, призванным конкретизировать закон о бухгалтерском учете и отчетности. [7]</w:t>
      </w:r>
    </w:p>
    <w:p w14:paraId="5AB02FD1"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Сейчас многие российские компании стремятся предоставлять свою отчетность в соответствии с МСФО для доступа к международным рынкам, чтобы представлять более достоверную информацию для внешних пользователей, сформировать наиболее существенную и полезную информацию для принятия управленческих решений. Но работа по переходу на МСФО предстоит еще большая.</w:t>
      </w:r>
    </w:p>
    <w:p w14:paraId="52996839"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Таким образом, на современном этапе адаптация российской системы бухгалтерского учет к международным стандартам финансовой отчетности является одной из самых актуальных задача, неотъемлемой частью широкого комплекса экономических преобразований.</w:t>
      </w:r>
    </w:p>
    <w:p w14:paraId="75F80603"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  </w:t>
      </w:r>
    </w:p>
    <w:p w14:paraId="5822CD19" w14:textId="77777777" w:rsidR="007E1000" w:rsidRPr="007E1000" w:rsidRDefault="007014C7" w:rsidP="007E1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4226127">
          <v:rect id="_x0000_i1030" style="width:0;height:1.5pt" o:hralign="center" o:hrstd="t" o:hr="t" fillcolor="gray" stroked="f"/>
        </w:pict>
      </w:r>
    </w:p>
    <w:p w14:paraId="257FF9F1"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1. Бабаев Ю.А., Петров А.М. Международные стандарты финансовой отчетности (МСФО): Учебник. – М.: Вузовский учебник: ИНФРА-М, 2014. – 398 с.</w:t>
      </w:r>
    </w:p>
    <w:p w14:paraId="4685A0A7"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2. Проблемы адаптации бухгалтерского учета и отчетности в России к международным стандартам. [Электронный ресурс]. – Режим доступа: </w:t>
      </w:r>
      <w:hyperlink r:id="rId127" w:anchor="text">
        <w:r w:rsidRPr="007E1000">
          <w:rPr>
            <w:rFonts w:ascii="Times New Roman" w:eastAsia="Times New Roman" w:hAnsi="Times New Roman" w:cs="Times New Roman"/>
            <w:sz w:val="24"/>
            <w:szCs w:val="24"/>
            <w:u w:val="single"/>
          </w:rPr>
          <w:t>https://www.bibliofond.ru/view.aspx?id=516237#text</w:t>
        </w:r>
      </w:hyperlink>
    </w:p>
    <w:p w14:paraId="3ED23840"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lastRenderedPageBreak/>
        <w:t xml:space="preserve">3. Миславская Н.А., Поленова С.Н. Международные стандарты учета и финансовой отчетности: Учебник. – М.: Вузовский учебник: Дашков и К’, 2017. – 498 с. </w:t>
      </w:r>
    </w:p>
    <w:p w14:paraId="6288E745"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4. Переход на МСФО в России 2018. [Электронный ресурс]. – Режим доступа: </w:t>
      </w:r>
      <w:hyperlink r:id="rId128">
        <w:r w:rsidRPr="007E1000">
          <w:rPr>
            <w:rFonts w:ascii="Times New Roman" w:eastAsia="Times New Roman" w:hAnsi="Times New Roman" w:cs="Times New Roman"/>
            <w:sz w:val="24"/>
            <w:szCs w:val="24"/>
            <w:u w:val="single"/>
          </w:rPr>
          <w:t>https://finacademy.net/materials/article/perehod-msfo-rossii-2018</w:t>
        </w:r>
      </w:hyperlink>
    </w:p>
    <w:p w14:paraId="24C45B6F"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5. Переход на МСФО. [Электронный ресурс]. – Режим доступа: </w:t>
      </w:r>
      <w:hyperlink r:id="rId129">
        <w:r w:rsidRPr="007E1000">
          <w:rPr>
            <w:rFonts w:ascii="Times New Roman" w:eastAsia="Times New Roman" w:hAnsi="Times New Roman" w:cs="Times New Roman"/>
            <w:sz w:val="24"/>
            <w:szCs w:val="24"/>
            <w:u w:val="single"/>
          </w:rPr>
          <w:t>https://www.consultant.ru/law/podborki/perehod_na_msfo/</w:t>
        </w:r>
      </w:hyperlink>
    </w:p>
    <w:p w14:paraId="6CC21F5D"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6. Федеральный закон "О консолидированной финансовой отчетности" от 27.07.2010 N 208-ФЗ. [Электронный ресурс]. – Режим доступа: </w:t>
      </w:r>
      <w:hyperlink r:id="rId130">
        <w:r w:rsidRPr="007E1000">
          <w:rPr>
            <w:rFonts w:ascii="Times New Roman" w:eastAsia="Times New Roman" w:hAnsi="Times New Roman" w:cs="Times New Roman"/>
            <w:sz w:val="24"/>
            <w:szCs w:val="24"/>
            <w:u w:val="single"/>
          </w:rPr>
          <w:t>http://www.consultant.ru/document/cons_doc_LAW_103021/</w:t>
        </w:r>
      </w:hyperlink>
    </w:p>
    <w:p w14:paraId="3AAA27FA"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7. Международные стандарты финансовой отчетности: проблемы внедрения. [Электронный ресурс]. – Режим доступа: </w:t>
      </w:r>
      <w:hyperlink r:id="rId131">
        <w:r w:rsidRPr="007E1000">
          <w:rPr>
            <w:rFonts w:ascii="Times New Roman" w:eastAsia="Times New Roman" w:hAnsi="Times New Roman" w:cs="Times New Roman"/>
            <w:sz w:val="24"/>
            <w:szCs w:val="24"/>
            <w:u w:val="single"/>
          </w:rPr>
          <w:t>https://elibrary.ru/item.asp?id=17950259</w:t>
        </w:r>
      </w:hyperlink>
      <w:r w:rsidRPr="007E1000">
        <w:rPr>
          <w:rFonts w:ascii="Times New Roman" w:eastAsia="Times New Roman" w:hAnsi="Times New Roman" w:cs="Times New Roman"/>
          <w:sz w:val="24"/>
          <w:szCs w:val="24"/>
        </w:rPr>
        <w:t xml:space="preserve"> </w:t>
      </w:r>
    </w:p>
    <w:p w14:paraId="100C5B58"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 </w:t>
      </w:r>
    </w:p>
    <w:p w14:paraId="12F40E89" w14:textId="77777777" w:rsidR="007E1000" w:rsidRPr="007E1000" w:rsidRDefault="007E1000" w:rsidP="007E1000">
      <w:pPr>
        <w:spacing w:after="0" w:line="240" w:lineRule="auto"/>
        <w:jc w:val="both"/>
        <w:rPr>
          <w:rFonts w:ascii="Times New Roman" w:eastAsia="Times New Roman" w:hAnsi="Times New Roman" w:cs="Times New Roman"/>
          <w:sz w:val="24"/>
          <w:szCs w:val="24"/>
        </w:rPr>
      </w:pPr>
      <w:r w:rsidRPr="007E1000">
        <w:rPr>
          <w:rFonts w:ascii="Times New Roman" w:eastAsia="Times New Roman" w:hAnsi="Times New Roman" w:cs="Times New Roman"/>
          <w:sz w:val="24"/>
          <w:szCs w:val="24"/>
        </w:rPr>
        <w:t xml:space="preserve"> </w:t>
      </w:r>
    </w:p>
    <w:p w14:paraId="6D47760A" w14:textId="77777777" w:rsidR="007E1000" w:rsidRPr="007E1000" w:rsidRDefault="007E1000" w:rsidP="007E1000">
      <w:pPr>
        <w:spacing w:after="0" w:line="240" w:lineRule="auto"/>
        <w:rPr>
          <w:rFonts w:ascii="Times New Roman" w:eastAsia="Times New Roman" w:hAnsi="Times New Roman" w:cs="Times New Roman"/>
          <w:sz w:val="24"/>
          <w:szCs w:val="24"/>
        </w:rPr>
      </w:pPr>
    </w:p>
    <w:p w14:paraId="46541FEE"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3D0A7634"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480AAAE3"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615D263B"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5FE46C25"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662E2991"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6F6DCEE7"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738F6CFE"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343DE9CF" w14:textId="7494D78B" w:rsidR="630840AF" w:rsidRDefault="630840AF" w:rsidP="630840AF">
      <w:pPr>
        <w:jc w:val="both"/>
      </w:pPr>
      <w:r w:rsidRPr="630840AF">
        <w:rPr>
          <w:rFonts w:ascii="Times New Roman" w:eastAsia="Times New Roman" w:hAnsi="Times New Roman" w:cs="Times New Roman"/>
          <w:color w:val="000000" w:themeColor="text1"/>
          <w:sz w:val="24"/>
          <w:szCs w:val="24"/>
        </w:rPr>
        <w:t xml:space="preserve">Рубрика:  Учёт, анализ, аудит и статистика: исследование тенденций и проблем совершенствования </w:t>
      </w:r>
    </w:p>
    <w:p w14:paraId="167E5409" w14:textId="3598A90E" w:rsidR="630840AF" w:rsidRDefault="630840AF" w:rsidP="630840AF">
      <w:pPr>
        <w:jc w:val="both"/>
      </w:pPr>
      <w:r w:rsidRPr="630840AF">
        <w:rPr>
          <w:rFonts w:ascii="Times New Roman" w:eastAsia="Times New Roman" w:hAnsi="Times New Roman" w:cs="Times New Roman"/>
          <w:color w:val="000000" w:themeColor="text1"/>
          <w:sz w:val="24"/>
          <w:szCs w:val="24"/>
        </w:rPr>
        <w:t>УДК 371.2</w:t>
      </w:r>
    </w:p>
    <w:p w14:paraId="6AB385CD" w14:textId="344179B9" w:rsidR="630840AF" w:rsidRDefault="630840AF" w:rsidP="630840AF">
      <w:pPr>
        <w:jc w:val="both"/>
      </w:pPr>
      <w:r w:rsidRPr="630840AF">
        <w:rPr>
          <w:rFonts w:ascii="Times New Roman" w:eastAsia="Times New Roman" w:hAnsi="Times New Roman" w:cs="Times New Roman"/>
          <w:sz w:val="24"/>
          <w:szCs w:val="24"/>
        </w:rPr>
        <w:t xml:space="preserve"> </w:t>
      </w:r>
    </w:p>
    <w:p w14:paraId="4D205B72" w14:textId="26EB2514" w:rsidR="630840AF" w:rsidRDefault="630840AF" w:rsidP="630840AF">
      <w:pPr>
        <w:ind w:firstLine="709"/>
        <w:jc w:val="center"/>
      </w:pPr>
      <w:r w:rsidRPr="630840AF">
        <w:rPr>
          <w:rFonts w:ascii="Times New Roman" w:eastAsia="Times New Roman" w:hAnsi="Times New Roman" w:cs="Times New Roman"/>
          <w:b/>
          <w:bCs/>
          <w:color w:val="000000" w:themeColor="text1"/>
          <w:sz w:val="24"/>
          <w:szCs w:val="24"/>
        </w:rPr>
        <w:t>Организация учета платных образовательных услуг на примере</w:t>
      </w:r>
    </w:p>
    <w:p w14:paraId="3D25D0AC" w14:textId="5C522071" w:rsidR="630840AF" w:rsidRDefault="630840AF" w:rsidP="630840AF">
      <w:pPr>
        <w:ind w:left="709"/>
        <w:jc w:val="center"/>
      </w:pPr>
      <w:r w:rsidRPr="630840AF">
        <w:rPr>
          <w:rFonts w:ascii="Times New Roman" w:eastAsia="Times New Roman" w:hAnsi="Times New Roman" w:cs="Times New Roman"/>
          <w:color w:val="000000" w:themeColor="text1"/>
          <w:sz w:val="24"/>
          <w:szCs w:val="24"/>
        </w:rPr>
        <w:t>«</w:t>
      </w:r>
      <w:r w:rsidRPr="630840AF">
        <w:rPr>
          <w:rFonts w:ascii="Times New Roman" w:eastAsia="Times New Roman" w:hAnsi="Times New Roman" w:cs="Times New Roman"/>
          <w:b/>
          <w:bCs/>
          <w:color w:val="000000" w:themeColor="text1"/>
          <w:sz w:val="24"/>
          <w:szCs w:val="24"/>
        </w:rPr>
        <w:t>Средней общеобразовательной школы №26 с углубленным изучение иностранных языков г. Владивостока».</w:t>
      </w:r>
    </w:p>
    <w:p w14:paraId="19336C04" w14:textId="30B4662B" w:rsidR="630840AF" w:rsidRDefault="630840AF" w:rsidP="630840AF">
      <w:pPr>
        <w:jc w:val="center"/>
      </w:pPr>
      <w:r w:rsidRPr="630840AF">
        <w:rPr>
          <w:rFonts w:ascii="Times New Roman" w:eastAsia="Times New Roman" w:hAnsi="Times New Roman" w:cs="Times New Roman"/>
          <w:color w:val="212121"/>
          <w:sz w:val="24"/>
          <w:szCs w:val="24"/>
        </w:rPr>
        <w:t>Каптерева Юлия Валерьевна</w:t>
      </w:r>
    </w:p>
    <w:p w14:paraId="6CB9E410" w14:textId="4512120D" w:rsidR="630840AF" w:rsidRDefault="630840AF" w:rsidP="630840AF">
      <w:pPr>
        <w:jc w:val="center"/>
      </w:pPr>
      <w:r w:rsidRPr="630840AF">
        <w:rPr>
          <w:rFonts w:ascii="Times New Roman" w:eastAsia="Times New Roman" w:hAnsi="Times New Roman" w:cs="Times New Roman"/>
          <w:color w:val="212121"/>
          <w:sz w:val="24"/>
          <w:szCs w:val="24"/>
        </w:rPr>
        <w:t xml:space="preserve">Студeнт-магистрант 2 куpсa, гpуппa </w:t>
      </w:r>
      <w:r w:rsidRPr="630840AF">
        <w:rPr>
          <w:rFonts w:ascii="Times New Roman" w:eastAsia="Times New Roman" w:hAnsi="Times New Roman" w:cs="Times New Roman"/>
          <w:color w:val="000000" w:themeColor="text1"/>
          <w:sz w:val="24"/>
          <w:szCs w:val="24"/>
        </w:rPr>
        <w:t>ЗМЭУ-16 УА</w:t>
      </w:r>
      <w:r w:rsidRPr="630840AF">
        <w:rPr>
          <w:rFonts w:ascii="Times New Roman" w:eastAsia="Times New Roman" w:hAnsi="Times New Roman" w:cs="Times New Roman"/>
          <w:color w:val="212121"/>
          <w:sz w:val="24"/>
          <w:szCs w:val="24"/>
        </w:rPr>
        <w:t>,</w:t>
      </w:r>
    </w:p>
    <w:p w14:paraId="58B35BE4" w14:textId="4420AA3C" w:rsidR="630840AF" w:rsidRDefault="630840AF" w:rsidP="630840AF">
      <w:pPr>
        <w:jc w:val="center"/>
      </w:pPr>
      <w:r w:rsidRPr="630840AF">
        <w:rPr>
          <w:rFonts w:ascii="Times New Roman" w:eastAsia="Times New Roman" w:hAnsi="Times New Roman" w:cs="Times New Roman"/>
          <w:color w:val="212121"/>
          <w:sz w:val="24"/>
          <w:szCs w:val="24"/>
        </w:rPr>
        <w:t>кaфeдpa экономики</w:t>
      </w:r>
    </w:p>
    <w:p w14:paraId="7D0C5811" w14:textId="1A8510A1" w:rsidR="630840AF" w:rsidRDefault="630840AF" w:rsidP="630840AF">
      <w:pPr>
        <w:jc w:val="center"/>
      </w:pPr>
      <w:r w:rsidRPr="630840AF">
        <w:rPr>
          <w:rFonts w:ascii="Times New Roman" w:eastAsia="Times New Roman" w:hAnsi="Times New Roman" w:cs="Times New Roman"/>
          <w:color w:val="212121"/>
          <w:sz w:val="24"/>
          <w:szCs w:val="24"/>
        </w:rPr>
        <w:t>Влaдивoстoкский гoсудapствeнный институт экoнoмики и сepвисa</w:t>
      </w:r>
    </w:p>
    <w:p w14:paraId="529C8576" w14:textId="0F6E2829" w:rsidR="630840AF" w:rsidRDefault="630840AF" w:rsidP="630840AF">
      <w:pPr>
        <w:jc w:val="center"/>
      </w:pPr>
      <w:r w:rsidRPr="630840AF">
        <w:rPr>
          <w:rFonts w:ascii="Times New Roman" w:eastAsia="Times New Roman" w:hAnsi="Times New Roman" w:cs="Times New Roman"/>
          <w:color w:val="212121"/>
          <w:sz w:val="24"/>
          <w:szCs w:val="24"/>
        </w:rPr>
        <w:t>Poссия. Влaдивoстoк</w:t>
      </w:r>
    </w:p>
    <w:p w14:paraId="04F5DFA8" w14:textId="0C547288" w:rsidR="630840AF" w:rsidRDefault="630840AF" w:rsidP="630840AF">
      <w:pPr>
        <w:jc w:val="center"/>
      </w:pPr>
      <w:r w:rsidRPr="630840AF">
        <w:rPr>
          <w:rFonts w:ascii="Times New Roman" w:eastAsia="Times New Roman" w:hAnsi="Times New Roman" w:cs="Times New Roman"/>
          <w:color w:val="212121"/>
          <w:sz w:val="24"/>
          <w:szCs w:val="24"/>
        </w:rPr>
        <w:t xml:space="preserve">E-mail: </w:t>
      </w:r>
      <w:hyperlink r:id="rId132">
        <w:r w:rsidRPr="630840AF">
          <w:rPr>
            <w:rStyle w:val="a4"/>
            <w:rFonts w:ascii="Times New Roman" w:eastAsia="Times New Roman" w:hAnsi="Times New Roman" w:cs="Times New Roman"/>
            <w:color w:val="212121"/>
            <w:sz w:val="24"/>
            <w:szCs w:val="24"/>
          </w:rPr>
          <w:t>ykaptereva</w:t>
        </w:r>
        <w:r w:rsidRPr="630840AF">
          <w:rPr>
            <w:rStyle w:val="a4"/>
            <w:rFonts w:ascii="Calibri" w:eastAsia="Calibri" w:hAnsi="Calibri" w:cs="Calibri"/>
            <w:color w:val="000000" w:themeColor="text1"/>
          </w:rPr>
          <w:t>@mail.ru</w:t>
        </w:r>
      </w:hyperlink>
      <w:r w:rsidRPr="630840AF">
        <w:rPr>
          <w:rFonts w:ascii="Times New Roman" w:eastAsia="Times New Roman" w:hAnsi="Times New Roman" w:cs="Times New Roman"/>
          <w:color w:val="000000" w:themeColor="text1"/>
          <w:sz w:val="24"/>
          <w:szCs w:val="24"/>
        </w:rPr>
        <w:t>, +79241256238</w:t>
      </w:r>
    </w:p>
    <w:p w14:paraId="61B1D0AA" w14:textId="5F8E378B" w:rsidR="630840AF" w:rsidRDefault="630840AF" w:rsidP="630840AF">
      <w:pPr>
        <w:jc w:val="center"/>
      </w:pPr>
      <w:r w:rsidRPr="630840AF">
        <w:rPr>
          <w:rFonts w:ascii="Times New Roman" w:eastAsia="Times New Roman" w:hAnsi="Times New Roman" w:cs="Times New Roman"/>
          <w:color w:val="212121"/>
          <w:sz w:val="24"/>
          <w:szCs w:val="24"/>
        </w:rPr>
        <w:t>Ул. Гoгoля, 41, г. Влaдивoстoк, Пpимopский кpaй</w:t>
      </w:r>
      <w:r w:rsidRPr="630840AF">
        <w:rPr>
          <w:rFonts w:ascii="Times New Roman" w:eastAsia="Times New Roman" w:hAnsi="Times New Roman" w:cs="Times New Roman"/>
          <w:color w:val="000000" w:themeColor="text1"/>
          <w:sz w:val="24"/>
          <w:szCs w:val="24"/>
        </w:rPr>
        <w:t>, Poссия, 690014</w:t>
      </w:r>
    </w:p>
    <w:p w14:paraId="13DE0072" w14:textId="405CDE57" w:rsidR="630840AF" w:rsidRDefault="630840AF" w:rsidP="630840AF">
      <w:pPr>
        <w:jc w:val="center"/>
      </w:pPr>
      <w:r w:rsidRPr="630840AF">
        <w:rPr>
          <w:rFonts w:ascii="Times New Roman" w:eastAsia="Times New Roman" w:hAnsi="Times New Roman" w:cs="Times New Roman"/>
          <w:sz w:val="24"/>
          <w:szCs w:val="24"/>
        </w:rPr>
        <w:t xml:space="preserve"> </w:t>
      </w:r>
    </w:p>
    <w:p w14:paraId="1E7DD4F1" w14:textId="476B584D" w:rsidR="630840AF" w:rsidRDefault="630840AF" w:rsidP="630840AF">
      <w:pPr>
        <w:jc w:val="center"/>
      </w:pPr>
      <w:r w:rsidRPr="630840AF">
        <w:rPr>
          <w:rFonts w:ascii="Times New Roman" w:eastAsia="Times New Roman" w:hAnsi="Times New Roman" w:cs="Times New Roman"/>
          <w:sz w:val="24"/>
          <w:szCs w:val="24"/>
        </w:rPr>
        <w:lastRenderedPageBreak/>
        <w:t xml:space="preserve"> </w:t>
      </w:r>
    </w:p>
    <w:p w14:paraId="5A491F7B" w14:textId="51454C92" w:rsidR="630840AF" w:rsidRDefault="630840AF" w:rsidP="630840AF">
      <w:pPr>
        <w:ind w:firstLine="709"/>
        <w:jc w:val="center"/>
      </w:pPr>
      <w:r w:rsidRPr="630840AF">
        <w:rPr>
          <w:rFonts w:ascii="Times New Roman" w:eastAsia="Times New Roman" w:hAnsi="Times New Roman" w:cs="Times New Roman"/>
          <w:sz w:val="24"/>
          <w:szCs w:val="24"/>
        </w:rPr>
        <w:t xml:space="preserve"> </w:t>
      </w:r>
    </w:p>
    <w:p w14:paraId="064275F5" w14:textId="5BA4B3AE" w:rsidR="630840AF" w:rsidRPr="009C350E" w:rsidRDefault="630840AF" w:rsidP="630840AF">
      <w:pPr>
        <w:jc w:val="center"/>
        <w:rPr>
          <w:lang w:val="en-US"/>
        </w:rPr>
      </w:pPr>
      <w:r w:rsidRPr="009C350E">
        <w:rPr>
          <w:rFonts w:ascii="Times New Roman" w:eastAsia="Times New Roman" w:hAnsi="Times New Roman" w:cs="Times New Roman"/>
          <w:b/>
          <w:bCs/>
          <w:color w:val="000000" w:themeColor="text1"/>
          <w:sz w:val="24"/>
          <w:szCs w:val="24"/>
          <w:lang w:val="en-US"/>
        </w:rPr>
        <w:t>Organization of accounting for paid educational services by example</w:t>
      </w:r>
    </w:p>
    <w:p w14:paraId="20F4146D" w14:textId="58404D10" w:rsidR="630840AF" w:rsidRPr="009C350E" w:rsidRDefault="630840AF" w:rsidP="630840AF">
      <w:pPr>
        <w:jc w:val="center"/>
        <w:rPr>
          <w:lang w:val="en-US"/>
        </w:rPr>
      </w:pPr>
      <w:r w:rsidRPr="009C350E">
        <w:rPr>
          <w:rFonts w:ascii="Times New Roman" w:eastAsia="Times New Roman" w:hAnsi="Times New Roman" w:cs="Times New Roman"/>
          <w:b/>
          <w:bCs/>
          <w:color w:val="000000" w:themeColor="text1"/>
          <w:sz w:val="24"/>
          <w:szCs w:val="24"/>
          <w:lang w:val="en-US"/>
        </w:rPr>
        <w:t>"Secondary comprehensive school number 26 with in-depth study of foreign languages of Vladivostok."</w:t>
      </w:r>
    </w:p>
    <w:p w14:paraId="2BFF9949" w14:textId="2E42BE04"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Kaptereva Julia Valerevna</w:t>
      </w:r>
    </w:p>
    <w:p w14:paraId="092055C5" w14:textId="157B1778"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Student-magistrant 2 kupsa, group ZMEU-16 UA,</w:t>
      </w:r>
    </w:p>
    <w:p w14:paraId="3470263D" w14:textId="5C774890"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Department of Economics</w:t>
      </w:r>
    </w:p>
    <w:p w14:paraId="37B26C8F" w14:textId="2BDD824A"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Vladivostok State Institute of Economics and Security</w:t>
      </w:r>
    </w:p>
    <w:p w14:paraId="296BDF06" w14:textId="764B59F5"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Pose. Widow</w:t>
      </w:r>
    </w:p>
    <w:p w14:paraId="4A9A455D" w14:textId="3833B06C"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 xml:space="preserve">E-mail: </w:t>
      </w:r>
      <w:hyperlink r:id="rId133">
        <w:r w:rsidRPr="009C350E">
          <w:rPr>
            <w:rStyle w:val="a4"/>
            <w:rFonts w:ascii="Times New Roman" w:eastAsia="Times New Roman" w:hAnsi="Times New Roman" w:cs="Times New Roman"/>
            <w:color w:val="000000" w:themeColor="text1"/>
            <w:sz w:val="24"/>
            <w:szCs w:val="24"/>
            <w:lang w:val="en-US"/>
          </w:rPr>
          <w:t>ykaptereva@mail.ru</w:t>
        </w:r>
      </w:hyperlink>
      <w:r w:rsidRPr="009C350E">
        <w:rPr>
          <w:rFonts w:ascii="Times New Roman" w:eastAsia="Times New Roman" w:hAnsi="Times New Roman" w:cs="Times New Roman"/>
          <w:color w:val="000000" w:themeColor="text1"/>
          <w:sz w:val="24"/>
          <w:szCs w:val="24"/>
          <w:lang w:val="en-US"/>
        </w:rPr>
        <w:t>, +79241256238</w:t>
      </w:r>
    </w:p>
    <w:p w14:paraId="544E777F" w14:textId="544FDC58" w:rsidR="630840AF" w:rsidRPr="009C350E" w:rsidRDefault="630840AF" w:rsidP="630840AF">
      <w:pPr>
        <w:jc w:val="center"/>
        <w:rPr>
          <w:lang w:val="en-US"/>
        </w:rPr>
      </w:pPr>
      <w:r w:rsidRPr="009C350E">
        <w:rPr>
          <w:rFonts w:ascii="Times New Roman" w:eastAsia="Times New Roman" w:hAnsi="Times New Roman" w:cs="Times New Roman"/>
          <w:color w:val="000000" w:themeColor="text1"/>
          <w:sz w:val="24"/>
          <w:szCs w:val="24"/>
          <w:lang w:val="en-US"/>
        </w:rPr>
        <w:t>Ul. Gogolya, 41, town of Vladivistok, Primorski krai, Russia, 690014</w:t>
      </w:r>
    </w:p>
    <w:p w14:paraId="3E8A03EC" w14:textId="12019BCF" w:rsidR="630840AF" w:rsidRPr="009C350E" w:rsidRDefault="630840AF" w:rsidP="630840AF">
      <w:pPr>
        <w:ind w:firstLine="709"/>
        <w:jc w:val="center"/>
        <w:rPr>
          <w:lang w:val="en-US"/>
        </w:rPr>
      </w:pPr>
      <w:r w:rsidRPr="009C350E">
        <w:rPr>
          <w:rFonts w:ascii="Times New Roman" w:eastAsia="Times New Roman" w:hAnsi="Times New Roman" w:cs="Times New Roman"/>
          <w:sz w:val="24"/>
          <w:szCs w:val="24"/>
          <w:lang w:val="en-US"/>
        </w:rPr>
        <w:t xml:space="preserve"> </w:t>
      </w:r>
    </w:p>
    <w:p w14:paraId="5F937DDC" w14:textId="56A914B1" w:rsidR="630840AF" w:rsidRDefault="630840AF" w:rsidP="630840AF">
      <w:pPr>
        <w:ind w:firstLine="709"/>
        <w:jc w:val="both"/>
      </w:pPr>
      <w:r w:rsidRPr="630840AF">
        <w:rPr>
          <w:rFonts w:ascii="Times New Roman" w:eastAsia="Times New Roman" w:hAnsi="Times New Roman" w:cs="Times New Roman"/>
          <w:b/>
          <w:bCs/>
          <w:i/>
          <w:iCs/>
          <w:color w:val="000000" w:themeColor="text1"/>
          <w:sz w:val="24"/>
          <w:szCs w:val="24"/>
        </w:rPr>
        <w:t>Аннотация</w:t>
      </w:r>
      <w:r w:rsidRPr="630840AF">
        <w:rPr>
          <w:rFonts w:ascii="Times New Roman" w:eastAsia="Times New Roman" w:hAnsi="Times New Roman" w:cs="Times New Roman"/>
          <w:i/>
          <w:iCs/>
          <w:color w:val="000000" w:themeColor="text1"/>
          <w:sz w:val="24"/>
          <w:szCs w:val="24"/>
        </w:rPr>
        <w:t>: В статье рассмотрен вопрос относящийся к  организации учета по платным образовательным услугам в средних школьных и дошкольных учреждениях. Актуальность статьи заключается в практической значимости анализа в области бюджетного финансирования муниципального общеобразовательного учреждения.</w:t>
      </w:r>
    </w:p>
    <w:p w14:paraId="74D03398" w14:textId="61E20406" w:rsidR="630840AF" w:rsidRDefault="630840AF" w:rsidP="630840AF">
      <w:pPr>
        <w:ind w:firstLine="709"/>
        <w:jc w:val="both"/>
      </w:pPr>
      <w:r w:rsidRPr="630840AF">
        <w:rPr>
          <w:rFonts w:ascii="Times New Roman" w:eastAsia="Times New Roman" w:hAnsi="Times New Roman" w:cs="Times New Roman"/>
          <w:b/>
          <w:bCs/>
          <w:i/>
          <w:iCs/>
          <w:color w:val="000000" w:themeColor="text1"/>
          <w:sz w:val="24"/>
          <w:szCs w:val="24"/>
        </w:rPr>
        <w:t xml:space="preserve">Ключевые слова:  </w:t>
      </w:r>
      <w:r w:rsidRPr="630840AF">
        <w:rPr>
          <w:rFonts w:ascii="Times New Roman" w:eastAsia="Times New Roman" w:hAnsi="Times New Roman" w:cs="Times New Roman"/>
          <w:i/>
          <w:iCs/>
          <w:color w:val="000000" w:themeColor="text1"/>
          <w:sz w:val="24"/>
          <w:szCs w:val="24"/>
        </w:rPr>
        <w:t>платные образовательные услуги, школьные и дошкольные учреждения, организация учета, бюджетные расходы, дополнительное образование, бюджетное финансирование, система образования</w:t>
      </w:r>
      <w:r w:rsidRPr="630840AF">
        <w:rPr>
          <w:rFonts w:ascii="Calibri" w:eastAsia="Calibri" w:hAnsi="Calibri" w:cs="Calibri"/>
          <w:i/>
          <w:iCs/>
          <w:color w:val="000000" w:themeColor="text1"/>
          <w:sz w:val="24"/>
          <w:szCs w:val="24"/>
        </w:rPr>
        <w:t>.</w:t>
      </w:r>
    </w:p>
    <w:p w14:paraId="151BEF5F" w14:textId="1CC5213B" w:rsidR="630840AF" w:rsidRDefault="630840AF" w:rsidP="630840AF">
      <w:pPr>
        <w:ind w:firstLine="709"/>
        <w:jc w:val="both"/>
      </w:pPr>
      <w:r w:rsidRPr="630840AF">
        <w:rPr>
          <w:rFonts w:ascii="Times New Roman" w:eastAsia="Times New Roman" w:hAnsi="Times New Roman" w:cs="Times New Roman"/>
          <w:sz w:val="24"/>
          <w:szCs w:val="24"/>
        </w:rPr>
        <w:t xml:space="preserve"> </w:t>
      </w:r>
    </w:p>
    <w:p w14:paraId="20BD7F7F" w14:textId="7839168A" w:rsidR="630840AF" w:rsidRPr="009C350E" w:rsidRDefault="630840AF" w:rsidP="630840AF">
      <w:pPr>
        <w:ind w:firstLine="709"/>
        <w:jc w:val="both"/>
        <w:rPr>
          <w:lang w:val="en-US"/>
        </w:rPr>
      </w:pPr>
      <w:r w:rsidRPr="009C350E">
        <w:rPr>
          <w:rFonts w:ascii="Times New Roman" w:eastAsia="Times New Roman" w:hAnsi="Times New Roman" w:cs="Times New Roman"/>
          <w:b/>
          <w:bCs/>
          <w:i/>
          <w:iCs/>
          <w:color w:val="000000" w:themeColor="text1"/>
          <w:sz w:val="24"/>
          <w:szCs w:val="24"/>
          <w:lang w:val="en-US"/>
        </w:rPr>
        <w:t xml:space="preserve">Annotation: </w:t>
      </w:r>
      <w:r w:rsidRPr="009C350E">
        <w:rPr>
          <w:rFonts w:ascii="Times New Roman" w:eastAsia="Times New Roman" w:hAnsi="Times New Roman" w:cs="Times New Roman"/>
          <w:i/>
          <w:iCs/>
          <w:color w:val="000000" w:themeColor="text1"/>
          <w:sz w:val="24"/>
          <w:szCs w:val="24"/>
          <w:lang w:val="en-US"/>
        </w:rPr>
        <w:t>The article deals with the organization of accounting for paid educational services in secondary school and preschool institutions. The relevance of the article is the practical importance of analysis in the field of budget financing of the municipal general education institution.</w:t>
      </w:r>
    </w:p>
    <w:p w14:paraId="3222A99D" w14:textId="0FA50E7A" w:rsidR="630840AF" w:rsidRPr="009C350E" w:rsidRDefault="630840AF" w:rsidP="630840AF">
      <w:pPr>
        <w:ind w:firstLine="709"/>
        <w:jc w:val="both"/>
        <w:rPr>
          <w:lang w:val="en-US"/>
        </w:rPr>
      </w:pPr>
      <w:r w:rsidRPr="009C350E">
        <w:rPr>
          <w:rFonts w:ascii="Times New Roman" w:eastAsia="Times New Roman" w:hAnsi="Times New Roman" w:cs="Times New Roman"/>
          <w:b/>
          <w:bCs/>
          <w:i/>
          <w:iCs/>
          <w:color w:val="000000" w:themeColor="text1"/>
          <w:sz w:val="24"/>
          <w:szCs w:val="24"/>
          <w:lang w:val="en-US"/>
        </w:rPr>
        <w:t>Keywords</w:t>
      </w:r>
      <w:r w:rsidRPr="009C350E">
        <w:rPr>
          <w:rFonts w:ascii="Times New Roman" w:eastAsia="Times New Roman" w:hAnsi="Times New Roman" w:cs="Times New Roman"/>
          <w:i/>
          <w:iCs/>
          <w:color w:val="000000" w:themeColor="text1"/>
          <w:sz w:val="24"/>
          <w:szCs w:val="24"/>
          <w:lang w:val="en-US"/>
        </w:rPr>
        <w:t>: paid educational services, school and preschool institutions, accounting organization, budgetary expenditures, additional education, budget financing, education system.</w:t>
      </w:r>
    </w:p>
    <w:p w14:paraId="0FB423C2" w14:textId="1949D070" w:rsidR="630840AF" w:rsidRPr="009C350E" w:rsidRDefault="630840AF" w:rsidP="630840AF">
      <w:pPr>
        <w:jc w:val="both"/>
        <w:rPr>
          <w:lang w:val="en-US"/>
        </w:rPr>
      </w:pPr>
      <w:r w:rsidRPr="009C350E">
        <w:rPr>
          <w:rFonts w:ascii="Times New Roman" w:eastAsia="Times New Roman" w:hAnsi="Times New Roman" w:cs="Times New Roman"/>
          <w:sz w:val="24"/>
          <w:szCs w:val="24"/>
          <w:lang w:val="en-US"/>
        </w:rPr>
        <w:t xml:space="preserve"> </w:t>
      </w:r>
    </w:p>
    <w:p w14:paraId="4FF1BFB3" w14:textId="70CB5CB7" w:rsidR="630840AF" w:rsidRDefault="630840AF" w:rsidP="630840AF">
      <w:pPr>
        <w:ind w:firstLine="709"/>
        <w:jc w:val="both"/>
      </w:pPr>
      <w:r w:rsidRPr="630840AF">
        <w:rPr>
          <w:rFonts w:ascii="Times New Roman" w:eastAsia="Times New Roman" w:hAnsi="Times New Roman" w:cs="Times New Roman"/>
          <w:b/>
          <w:bCs/>
          <w:color w:val="000000" w:themeColor="text1"/>
          <w:sz w:val="24"/>
          <w:szCs w:val="24"/>
        </w:rPr>
        <w:t>Введение.</w:t>
      </w:r>
      <w:r w:rsidRPr="630840AF">
        <w:rPr>
          <w:rFonts w:ascii="Times New Roman" w:eastAsia="Times New Roman" w:hAnsi="Times New Roman" w:cs="Times New Roman"/>
          <w:color w:val="000000" w:themeColor="text1"/>
          <w:sz w:val="24"/>
          <w:szCs w:val="24"/>
        </w:rPr>
        <w:t xml:space="preserve"> В последнее время система образования находиться в процессе модернизации, как по направлениям, формирующим содержания, так и по направлениям формирующим «новый» организационно-экономический фундамент развития системы. Происходящие процессы в равной степени касаются всех уровней системы образования –  от высшего профессионального до детского дошкольного. В этих условиях актуализируется роль платных образовательных услуг системы образования. Формальными признаками для </w:t>
      </w:r>
      <w:r w:rsidRPr="630840AF">
        <w:rPr>
          <w:rFonts w:ascii="Times New Roman" w:eastAsia="Times New Roman" w:hAnsi="Times New Roman" w:cs="Times New Roman"/>
          <w:color w:val="000000" w:themeColor="text1"/>
          <w:sz w:val="24"/>
          <w:szCs w:val="24"/>
        </w:rPr>
        <w:lastRenderedPageBreak/>
        <w:t xml:space="preserve">среднего школьного и дошкольного образования являются новые нормативные документы, изменяющие правовые, административные, экономические условия, которые позволяют проводить модернизацию всех звеньев среднего школьного и дошкольного образования. Возрастает интерес к использованию новых образовательных форм, позволяющих средне школьным и дошкольным учреждениям найти собственный формат взаимоотношений с окружающей средой, обрести своё собственное лицо. </w:t>
      </w:r>
    </w:p>
    <w:p w14:paraId="635AA42D" w14:textId="32EFDCA3"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На сегодняшний день чрезвычайно актуальной является проблема выявления связи между платностью образования и его качеством посредством оптимальной организации рынка платных образовательных услуг.</w:t>
      </w:r>
      <w:r w:rsidRPr="630840AF">
        <w:rPr>
          <w:rFonts w:ascii="Times New Roman" w:eastAsia="Times New Roman" w:hAnsi="Times New Roman" w:cs="Times New Roman"/>
          <w:color w:val="000000" w:themeColor="text1"/>
          <w:sz w:val="28"/>
          <w:szCs w:val="28"/>
        </w:rPr>
        <w:t xml:space="preserve"> </w:t>
      </w:r>
      <w:r w:rsidRPr="630840AF">
        <w:rPr>
          <w:rFonts w:ascii="Times New Roman" w:eastAsia="Times New Roman" w:hAnsi="Times New Roman" w:cs="Times New Roman"/>
          <w:color w:val="000000" w:themeColor="text1"/>
          <w:sz w:val="24"/>
          <w:szCs w:val="24"/>
        </w:rPr>
        <w:t>Историческое исследование платного образования помогло определить роль платного образования в развитии общества и системы образования. В переходные периоды платное образование становится не только средством развития системы образования, но и каналом развития общества. Очевидно, что основная ответственность за достижение результатов развития дошкольного и школьного образования ложится на региональные органы управления образованием. Решение поставленных задач требует применения новых способов и технологий управления дошкольным и школьным образованием в регионе. Во многих регионах России разработаны собственные целевые программы развития дошкольного и школьного образования, основными целями которых становится реализация поставленных государством задач в конкретных условиях каждого региона. Платные образовательные услуги являются важнейшей составляющей образовательного пространства, сложившегося в современном российском обществе. Такие услуги не могут оказываться взамен образовательных услуг, предусмотренных обязательной образовательной программой и являются дополнительными. Благодаря внедрению в перечень образовательных услуг платных услуг образовательные учреждения получили дополнительный источник доходов, который может направляться на развитие материально-технической базы, стимулирования труда педагогических работников [3].</w:t>
      </w:r>
    </w:p>
    <w:p w14:paraId="02537801" w14:textId="3025D3CD"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Бюджетные организации являются важными субъектами производственных и финансово-экономических отношений при любой системе хозяйствования и в любой модели государственного устройства. Они призваны обеспечивать удовлетворение целого ряда общественно значимых потребностей, таких как образование, здравоохранение, научные исследования, социальная защита, культура, государственное управление и др. В общеобразовательных учреждениях бюджетное финансирование должно обеспечить возможность получения учащимися знаний, навыков и умений, соответствующих требованиям федеральных и региональных стандартов по различным предметам. Но не всегда случается так, что объем бюджетного финансирования соответствует реальным расходам общеобразовательного учреждения.</w:t>
      </w:r>
      <w:r w:rsidRPr="630840AF">
        <w:rPr>
          <w:rFonts w:ascii="Arial" w:eastAsia="Arial" w:hAnsi="Arial" w:cs="Arial"/>
          <w:color w:val="000000" w:themeColor="text1"/>
          <w:sz w:val="24"/>
          <w:szCs w:val="24"/>
        </w:rPr>
        <w:t xml:space="preserve"> </w:t>
      </w:r>
      <w:r w:rsidRPr="630840AF">
        <w:rPr>
          <w:rFonts w:ascii="Times New Roman" w:eastAsia="Times New Roman" w:hAnsi="Times New Roman" w:cs="Times New Roman"/>
          <w:color w:val="000000" w:themeColor="text1"/>
          <w:sz w:val="24"/>
          <w:szCs w:val="24"/>
        </w:rPr>
        <w:t xml:space="preserve">С проведением экономических реформ у населения страны стали формироваться принципиально новые ценностные ориентиры, изменился весь комплекс условий жизни, появился выбор различных форм обучения, медицинского обслуживания, страхования, отдыха и других услуг, ранее отсутствующих Наряду с традиционным общегосударственным бесплатным обслуживанием стал интенсивно развиваться рынок социальных услуг. При этом доля платных социальных услуг за последние годы существенно возросла. Следует отметить, что для развития новых систем общего и дошкольного образования необходимы и новые принципы их финансирования. Организация платных образовательных услуг в учреждении образования находится в процессе развития. Данная статья является актуальной в связи с тенденцией перехода </w:t>
      </w:r>
      <w:r w:rsidRPr="630840AF">
        <w:rPr>
          <w:rFonts w:ascii="Times New Roman" w:eastAsia="Times New Roman" w:hAnsi="Times New Roman" w:cs="Times New Roman"/>
          <w:color w:val="000000" w:themeColor="text1"/>
          <w:sz w:val="24"/>
          <w:szCs w:val="24"/>
        </w:rPr>
        <w:lastRenderedPageBreak/>
        <w:t>образовательных учреждений на самофинансирование и развитие ими коммерческих услуг [2, с. 46].</w:t>
      </w:r>
    </w:p>
    <w:p w14:paraId="62B8CAA6" w14:textId="397AB88A"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Таким образом, складывается ситуация, когда муниципальные общеобразовательные учреждения нуждаются в дополнительных денежных средствах на финансирование своих расходов, поэтому совершенствование механизма бюджетного финансирования в муниципальном общеобразовательном учреждении является актуальной для нашего времени темой исследования. Организация платных образовательных услуг рассмотрена на примере «Средней общеобразовательной школа № 26 с углубленным изучение иностранных языков г. Владивостока»</w:t>
      </w:r>
    </w:p>
    <w:p w14:paraId="7C6EE501" w14:textId="3C655BDD" w:rsidR="630840AF" w:rsidRDefault="630840AF" w:rsidP="630840AF">
      <w:pPr>
        <w:ind w:firstLine="720"/>
        <w:jc w:val="both"/>
      </w:pPr>
      <w:r w:rsidRPr="630840AF">
        <w:rPr>
          <w:rFonts w:ascii="Times New Roman" w:eastAsia="Times New Roman" w:hAnsi="Times New Roman" w:cs="Times New Roman"/>
          <w:b/>
          <w:bCs/>
          <w:color w:val="000000" w:themeColor="text1"/>
          <w:sz w:val="24"/>
          <w:szCs w:val="24"/>
        </w:rPr>
        <w:t>Основная часть</w:t>
      </w:r>
      <w:r w:rsidRPr="630840AF">
        <w:rPr>
          <w:rFonts w:ascii="Times New Roman" w:eastAsia="Times New Roman" w:hAnsi="Times New Roman" w:cs="Times New Roman"/>
          <w:color w:val="000000" w:themeColor="text1"/>
          <w:sz w:val="24"/>
          <w:szCs w:val="24"/>
        </w:rPr>
        <w:t>. «Средняя общеобразовательная школа № 26 с углубленным изучение иностранных языков г. Владивостока», создана в сентябре 1935 года (основание: историческая справка от 29.10.2007 № 37.</w:t>
      </w:r>
    </w:p>
    <w:p w14:paraId="099E0CB2" w14:textId="4DAD3C65" w:rsidR="630840AF" w:rsidRDefault="630840AF" w:rsidP="630840AF">
      <w:pPr>
        <w:ind w:firstLine="720"/>
        <w:jc w:val="both"/>
      </w:pPr>
      <w:r w:rsidRPr="630840AF">
        <w:rPr>
          <w:rFonts w:ascii="Times New Roman" w:eastAsia="Times New Roman" w:hAnsi="Times New Roman" w:cs="Times New Roman"/>
          <w:color w:val="000000" w:themeColor="text1"/>
          <w:sz w:val="24"/>
          <w:szCs w:val="24"/>
        </w:rPr>
        <w:t xml:space="preserve">Место нахождения школы : 690068, г.Владивосток, ул. Амурская 10. </w:t>
      </w:r>
    </w:p>
    <w:p w14:paraId="4558CEEF" w14:textId="3A7A9CDA" w:rsidR="630840AF" w:rsidRDefault="630840AF" w:rsidP="630840AF">
      <w:pPr>
        <w:ind w:firstLine="720"/>
        <w:jc w:val="both"/>
      </w:pPr>
      <w:r w:rsidRPr="630840AF">
        <w:rPr>
          <w:rFonts w:ascii="Times New Roman" w:eastAsia="Times New Roman" w:hAnsi="Times New Roman" w:cs="Times New Roman"/>
          <w:color w:val="000000" w:themeColor="text1"/>
          <w:sz w:val="24"/>
          <w:szCs w:val="24"/>
        </w:rPr>
        <w:t xml:space="preserve">Тип школы – бюджетное общеобразовательное учреждение. </w:t>
      </w:r>
    </w:p>
    <w:p w14:paraId="1F050B5D" w14:textId="1AA5BB7B" w:rsidR="630840AF" w:rsidRDefault="630840AF" w:rsidP="630840AF">
      <w:pPr>
        <w:ind w:firstLine="720"/>
        <w:jc w:val="both"/>
      </w:pPr>
      <w:r w:rsidRPr="630840AF">
        <w:rPr>
          <w:rFonts w:ascii="Times New Roman" w:eastAsia="Times New Roman" w:hAnsi="Times New Roman" w:cs="Times New Roman"/>
          <w:color w:val="000000" w:themeColor="text1"/>
          <w:sz w:val="24"/>
          <w:szCs w:val="24"/>
        </w:rPr>
        <w:t xml:space="preserve">Вид школы – средняя общеобразовательная школа. Организационно-правовая форма школы – муниципальное бюджетное учреждения. </w:t>
      </w:r>
    </w:p>
    <w:p w14:paraId="11B09DA1" w14:textId="68561943" w:rsidR="630840AF" w:rsidRDefault="630840AF" w:rsidP="630840AF">
      <w:pPr>
        <w:ind w:firstLine="720"/>
        <w:jc w:val="both"/>
      </w:pPr>
      <w:r w:rsidRPr="630840AF">
        <w:rPr>
          <w:rFonts w:ascii="Times New Roman" w:eastAsia="Times New Roman" w:hAnsi="Times New Roman" w:cs="Times New Roman"/>
          <w:color w:val="000000" w:themeColor="text1"/>
          <w:sz w:val="24"/>
          <w:szCs w:val="24"/>
        </w:rPr>
        <w:t>В своей деятельности руководствуется:</w:t>
      </w:r>
    </w:p>
    <w:p w14:paraId="6D539361" w14:textId="14E91B29" w:rsidR="630840AF" w:rsidRDefault="630840AF" w:rsidP="630840AF">
      <w:pPr>
        <w:pStyle w:val="a7"/>
        <w:numPr>
          <w:ilvl w:val="0"/>
          <w:numId w:val="55"/>
        </w:numPr>
        <w:ind w:left="1429" w:hanging="709"/>
        <w:jc w:val="both"/>
        <w:rPr>
          <w:sz w:val="22"/>
          <w:szCs w:val="22"/>
        </w:rPr>
      </w:pPr>
      <w:r w:rsidRPr="630840AF">
        <w:rPr>
          <w:rFonts w:ascii="Times New Roman" w:eastAsia="Times New Roman" w:hAnsi="Times New Roman" w:cs="Times New Roman"/>
          <w:color w:val="000000" w:themeColor="text1"/>
        </w:rPr>
        <w:t>Конституцией Российской Федерации;</w:t>
      </w:r>
    </w:p>
    <w:p w14:paraId="19B75BD0" w14:textId="01877551" w:rsidR="630840AF" w:rsidRDefault="630840AF" w:rsidP="630840AF">
      <w:pPr>
        <w:pStyle w:val="a7"/>
        <w:numPr>
          <w:ilvl w:val="0"/>
          <w:numId w:val="55"/>
        </w:numPr>
        <w:ind w:left="1429" w:hanging="709"/>
        <w:jc w:val="both"/>
        <w:rPr>
          <w:sz w:val="22"/>
          <w:szCs w:val="22"/>
        </w:rPr>
      </w:pPr>
      <w:r w:rsidRPr="630840AF">
        <w:rPr>
          <w:rFonts w:ascii="Times New Roman" w:eastAsia="Times New Roman" w:hAnsi="Times New Roman" w:cs="Times New Roman"/>
          <w:color w:val="000000" w:themeColor="text1"/>
        </w:rPr>
        <w:t>Гражданским кодексом Российской Федерации;</w:t>
      </w:r>
    </w:p>
    <w:p w14:paraId="2F3A03B6" w14:textId="25510C4B" w:rsidR="630840AF" w:rsidRDefault="630840AF" w:rsidP="630840AF">
      <w:pPr>
        <w:pStyle w:val="a7"/>
        <w:numPr>
          <w:ilvl w:val="0"/>
          <w:numId w:val="55"/>
        </w:numPr>
        <w:ind w:left="1429" w:hanging="709"/>
        <w:jc w:val="both"/>
        <w:rPr>
          <w:sz w:val="22"/>
          <w:szCs w:val="22"/>
        </w:rPr>
      </w:pPr>
      <w:r w:rsidRPr="630840AF">
        <w:rPr>
          <w:rFonts w:ascii="Times New Roman" w:eastAsia="Times New Roman" w:hAnsi="Times New Roman" w:cs="Times New Roman"/>
          <w:color w:val="000000" w:themeColor="text1"/>
        </w:rPr>
        <w:t>Бюджетным кодексом Российской Федерации, Федеральным законом от 08.05.2010 № 83-Ф3</w:t>
      </w:r>
      <w:r w:rsidRPr="630840AF">
        <w:rPr>
          <w:rFonts w:ascii="Arial" w:eastAsia="Arial" w:hAnsi="Arial" w:cs="Arial"/>
          <w:color w:val="000000" w:themeColor="text1"/>
        </w:rPr>
        <w:t xml:space="preserve"> </w:t>
      </w:r>
      <w:r w:rsidRPr="630840AF">
        <w:rPr>
          <w:rFonts w:ascii="Times New Roman" w:eastAsia="Times New Roman" w:hAnsi="Times New Roman" w:cs="Times New Roman"/>
          <w:color w:val="000000" w:themeColor="text1"/>
        </w:rPr>
        <w:t>«О внесении изменений в отдельные законодательные акты Российской Федерации в связи с совершенствованием правового положения государственных</w:t>
      </w:r>
      <w:r w:rsidRPr="630840AF">
        <w:rPr>
          <w:rFonts w:ascii="Arial" w:eastAsia="Arial" w:hAnsi="Arial" w:cs="Arial"/>
          <w:color w:val="000000" w:themeColor="text1"/>
        </w:rPr>
        <w:t xml:space="preserve"> </w:t>
      </w:r>
      <w:r w:rsidRPr="630840AF">
        <w:rPr>
          <w:rFonts w:ascii="Times New Roman" w:eastAsia="Times New Roman" w:hAnsi="Times New Roman" w:cs="Times New Roman"/>
          <w:color w:val="000000" w:themeColor="text1"/>
        </w:rPr>
        <w:t>(муниципальных) учреждений»;</w:t>
      </w:r>
    </w:p>
    <w:p w14:paraId="2B95C14C" w14:textId="0B0B6381" w:rsidR="630840AF" w:rsidRDefault="630840AF" w:rsidP="630840AF">
      <w:pPr>
        <w:pStyle w:val="a7"/>
        <w:numPr>
          <w:ilvl w:val="0"/>
          <w:numId w:val="55"/>
        </w:numPr>
        <w:ind w:left="1429" w:hanging="709"/>
        <w:jc w:val="both"/>
        <w:rPr>
          <w:sz w:val="22"/>
          <w:szCs w:val="22"/>
        </w:rPr>
      </w:pPr>
      <w:r w:rsidRPr="630840AF">
        <w:rPr>
          <w:rFonts w:ascii="Times New Roman" w:eastAsia="Times New Roman" w:hAnsi="Times New Roman" w:cs="Times New Roman"/>
          <w:color w:val="000000" w:themeColor="text1"/>
        </w:rPr>
        <w:t>Законом Российской Федерации от 10.07.1992 № 3266-1</w:t>
      </w:r>
      <w:r w:rsidRPr="630840AF">
        <w:rPr>
          <w:rFonts w:ascii="Arial" w:eastAsia="Arial" w:hAnsi="Arial" w:cs="Arial"/>
          <w:color w:val="000000" w:themeColor="text1"/>
        </w:rPr>
        <w:t xml:space="preserve"> </w:t>
      </w:r>
      <w:r w:rsidRPr="630840AF">
        <w:rPr>
          <w:rFonts w:ascii="Times New Roman" w:eastAsia="Times New Roman" w:hAnsi="Times New Roman" w:cs="Times New Roman"/>
          <w:color w:val="000000" w:themeColor="text1"/>
        </w:rPr>
        <w:t>«Об образовании» и другими федеральными законами, указами и распоряжениями Президента Российской Федерации;</w:t>
      </w:r>
    </w:p>
    <w:p w14:paraId="5D444FB9" w14:textId="3B35A06E" w:rsidR="630840AF" w:rsidRDefault="630840AF" w:rsidP="630840AF">
      <w:pPr>
        <w:pStyle w:val="a7"/>
        <w:numPr>
          <w:ilvl w:val="0"/>
          <w:numId w:val="55"/>
        </w:numPr>
        <w:ind w:left="1429" w:hanging="709"/>
        <w:jc w:val="both"/>
        <w:rPr>
          <w:sz w:val="22"/>
          <w:szCs w:val="22"/>
        </w:rPr>
      </w:pPr>
      <w:r w:rsidRPr="630840AF">
        <w:rPr>
          <w:rFonts w:ascii="Times New Roman" w:eastAsia="Times New Roman" w:hAnsi="Times New Roman" w:cs="Times New Roman"/>
          <w:color w:val="000000" w:themeColor="text1"/>
        </w:rPr>
        <w:t>Постановлением Правительства Российской Федерации от 19.03.2001 № 196</w:t>
      </w:r>
      <w:r w:rsidRPr="630840AF">
        <w:rPr>
          <w:rFonts w:ascii="Arial" w:eastAsia="Arial" w:hAnsi="Arial" w:cs="Arial"/>
          <w:color w:val="000000" w:themeColor="text1"/>
        </w:rPr>
        <w:t xml:space="preserve"> </w:t>
      </w:r>
      <w:r w:rsidRPr="630840AF">
        <w:rPr>
          <w:rFonts w:ascii="Times New Roman" w:eastAsia="Times New Roman" w:hAnsi="Times New Roman" w:cs="Times New Roman"/>
          <w:color w:val="000000" w:themeColor="text1"/>
        </w:rPr>
        <w:t>«Об утверждении Типового положения об общеобразовательном учреждении»;</w:t>
      </w:r>
    </w:p>
    <w:p w14:paraId="0F73881E" w14:textId="783F0256" w:rsidR="630840AF" w:rsidRDefault="630840AF" w:rsidP="630840AF">
      <w:pPr>
        <w:pStyle w:val="a7"/>
        <w:numPr>
          <w:ilvl w:val="0"/>
          <w:numId w:val="55"/>
        </w:numPr>
        <w:ind w:left="1429" w:hanging="709"/>
        <w:jc w:val="both"/>
        <w:rPr>
          <w:sz w:val="22"/>
          <w:szCs w:val="22"/>
        </w:rPr>
      </w:pPr>
      <w:r w:rsidRPr="630840AF">
        <w:rPr>
          <w:rFonts w:ascii="Times New Roman" w:eastAsia="Times New Roman" w:hAnsi="Times New Roman" w:cs="Times New Roman"/>
          <w:color w:val="000000" w:themeColor="text1"/>
        </w:rPr>
        <w:t>другими нормативными правовыми актами, решениями уполномоченных органов, осуществляющих управление в сфере образования, иными правовыми актами, настоящим Уставом, локальными актами Школы. [5].</w:t>
      </w:r>
    </w:p>
    <w:p w14:paraId="03467CC7" w14:textId="372EA6F0"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 xml:space="preserve">Школа реализует основные и дополнительные общеобразовательные программы следующих видов: начального общего, основного общего, среднего (полного) общего образования и дополнительного образования детей. Финансовое обеспечение выполнения муниципального задания Школой осуществляется в виде субсидий из бюджета Владивостокского городского округа. Школа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ее основным видам деятельности, предусмотренным Уставом, для граждан и юридических лиц за плату и на одинаковых при оказании одних и тех же услуг условиях. Порядок определения указанной платы устанавливается Учредителем, если иное не предусмотрено федеральным законом. Вправе осуществлять приносящую доход деятельность, предусмотренную настоящим Уставом Школы постольку, поскольку это служит </w:t>
      </w:r>
      <w:r w:rsidRPr="630840AF">
        <w:rPr>
          <w:rFonts w:ascii="Times New Roman" w:eastAsia="Times New Roman" w:hAnsi="Times New Roman" w:cs="Times New Roman"/>
          <w:color w:val="000000" w:themeColor="text1"/>
          <w:sz w:val="24"/>
          <w:szCs w:val="24"/>
        </w:rPr>
        <w:lastRenderedPageBreak/>
        <w:t>достижению целей, ради которых она создана, и соответствует указанным целям.       Доходы, полученные от такой деятельности, и приобретенное за счет этих доходов имущество поступают в самостоятельное распоряжение Школы и принадлежат ей на праве оперативного управления. Школа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 Специфичность товара «образовательная услуга» определяется следующими его характеристиками: невещественна; неотделима; про- изводится и потребляется одновременно; потребитель участвует сам в производстве услуги; стоимость постоянно; покупая образовательную услугу, потребитель повышает стоимость товара "рабочая сила" на рынке труда [4, с. 160].</w:t>
      </w:r>
    </w:p>
    <w:p w14:paraId="2F9E4BD5" w14:textId="3C400F1B"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В условиях недостаточного бюджетного финансирования возникает объективная необходимость изменения направлений практической деятельности образовательных организаций адекватно меняющимся потребностям населения. Решением данной проблемы является развитие предпринимательской деятельности в сфере образования, которая становится необходимым элементом системы образования и представляет собой различные формы оказания платных образовательных услуг.</w:t>
      </w:r>
    </w:p>
    <w:p w14:paraId="6C42CABF" w14:textId="0C07BDC6" w:rsidR="630840AF" w:rsidRDefault="630840AF" w:rsidP="630840AF">
      <w:pPr>
        <w:jc w:val="both"/>
      </w:pPr>
      <w:r w:rsidRPr="630840AF">
        <w:rPr>
          <w:rFonts w:ascii="Times New Roman" w:eastAsia="Times New Roman" w:hAnsi="Times New Roman" w:cs="Times New Roman"/>
          <w:color w:val="000000" w:themeColor="text1"/>
          <w:sz w:val="24"/>
          <w:szCs w:val="24"/>
        </w:rPr>
        <w:t xml:space="preserve">    Таблица 1 - Информация бюджета и внебюджета на лицевых счетах бюджетных учреждений МБОУ СОШ № 26 г.Владивостока.</w:t>
      </w:r>
    </w:p>
    <w:p w14:paraId="130511C8" w14:textId="35EEA83B" w:rsidR="630840AF" w:rsidRDefault="630840AF" w:rsidP="630840AF">
      <w:pPr>
        <w:jc w:val="both"/>
      </w:pPr>
      <w:r w:rsidRPr="630840AF">
        <w:rPr>
          <w:rFonts w:ascii="Times New Roman" w:eastAsia="Times New Roman" w:hAnsi="Times New Roman" w:cs="Times New Roman"/>
          <w:color w:val="000000" w:themeColor="text1"/>
          <w:sz w:val="24"/>
          <w:szCs w:val="24"/>
        </w:rPr>
        <w:t xml:space="preserve"> </w:t>
      </w:r>
    </w:p>
    <w:tbl>
      <w:tblPr>
        <w:tblStyle w:val="a3"/>
        <w:tblW w:w="0" w:type="auto"/>
        <w:tblLayout w:type="fixed"/>
        <w:tblLook w:val="06A0" w:firstRow="1" w:lastRow="0" w:firstColumn="1" w:lastColumn="0" w:noHBand="1" w:noVBand="1"/>
      </w:tblPr>
      <w:tblGrid>
        <w:gridCol w:w="1377"/>
        <w:gridCol w:w="1377"/>
        <w:gridCol w:w="1377"/>
        <w:gridCol w:w="1377"/>
        <w:gridCol w:w="1377"/>
        <w:gridCol w:w="1377"/>
        <w:gridCol w:w="1377"/>
      </w:tblGrid>
      <w:tr w:rsidR="630840AF" w14:paraId="0A03BD22" w14:textId="77777777" w:rsidTr="630840AF">
        <w:tc>
          <w:tcPr>
            <w:tcW w:w="1377" w:type="dxa"/>
          </w:tcPr>
          <w:p w14:paraId="7C7BA831" w14:textId="39F97391" w:rsidR="630840AF" w:rsidRDefault="630840AF" w:rsidP="630840AF">
            <w:pPr>
              <w:ind w:left="192" w:hanging="192"/>
              <w:jc w:val="both"/>
            </w:pPr>
            <w:r>
              <w:t xml:space="preserve"> </w:t>
            </w:r>
          </w:p>
          <w:p w14:paraId="327E0D33" w14:textId="0EE34431" w:rsidR="630840AF" w:rsidRDefault="630840AF" w:rsidP="630840AF">
            <w:pPr>
              <w:ind w:left="192"/>
              <w:jc w:val="both"/>
            </w:pPr>
            <w:r w:rsidRPr="630840AF">
              <w:rPr>
                <w:color w:val="000000" w:themeColor="text1"/>
                <w:sz w:val="24"/>
                <w:szCs w:val="24"/>
              </w:rPr>
              <w:t>№</w:t>
            </w:r>
          </w:p>
        </w:tc>
        <w:tc>
          <w:tcPr>
            <w:tcW w:w="1377" w:type="dxa"/>
          </w:tcPr>
          <w:p w14:paraId="40E22331" w14:textId="3BB586E6" w:rsidR="630840AF" w:rsidRDefault="630840AF" w:rsidP="630840AF">
            <w:pPr>
              <w:ind w:left="192"/>
            </w:pPr>
            <w:r>
              <w:t xml:space="preserve"> </w:t>
            </w:r>
          </w:p>
          <w:p w14:paraId="02A2179E" w14:textId="798DC649" w:rsidR="630840AF" w:rsidRDefault="630840AF" w:rsidP="630840AF">
            <w:pPr>
              <w:ind w:left="192"/>
            </w:pPr>
            <w:r w:rsidRPr="630840AF">
              <w:rPr>
                <w:color w:val="000000" w:themeColor="text1"/>
                <w:sz w:val="24"/>
                <w:szCs w:val="24"/>
              </w:rPr>
              <w:t>Учрежд-е</w:t>
            </w:r>
          </w:p>
        </w:tc>
        <w:tc>
          <w:tcPr>
            <w:tcW w:w="1377" w:type="dxa"/>
          </w:tcPr>
          <w:p w14:paraId="060C9332" w14:textId="115B5492" w:rsidR="630840AF" w:rsidRDefault="630840AF" w:rsidP="630840AF">
            <w:pPr>
              <w:ind w:left="192"/>
              <w:jc w:val="center"/>
            </w:pPr>
            <w:r>
              <w:t xml:space="preserve"> </w:t>
            </w:r>
          </w:p>
          <w:p w14:paraId="1BBFB4D2" w14:textId="0EC62D16" w:rsidR="630840AF" w:rsidRDefault="630840AF" w:rsidP="630840AF">
            <w:pPr>
              <w:ind w:left="192"/>
              <w:jc w:val="center"/>
            </w:pPr>
            <w:r w:rsidRPr="630840AF">
              <w:rPr>
                <w:color w:val="000000" w:themeColor="text1"/>
                <w:sz w:val="24"/>
                <w:szCs w:val="24"/>
              </w:rPr>
              <w:t>Год</w:t>
            </w:r>
          </w:p>
        </w:tc>
        <w:tc>
          <w:tcPr>
            <w:tcW w:w="1377" w:type="dxa"/>
          </w:tcPr>
          <w:p w14:paraId="18E5DC12" w14:textId="1AEBD040" w:rsidR="630840AF" w:rsidRDefault="630840AF" w:rsidP="630840AF">
            <w:pPr>
              <w:ind w:left="192" w:firstLine="709"/>
              <w:jc w:val="both"/>
            </w:pPr>
            <w:r w:rsidRPr="630840AF">
              <w:rPr>
                <w:color w:val="000000" w:themeColor="text1"/>
                <w:sz w:val="24"/>
                <w:szCs w:val="24"/>
              </w:rPr>
              <w:t>Бюджет</w:t>
            </w:r>
          </w:p>
        </w:tc>
        <w:tc>
          <w:tcPr>
            <w:tcW w:w="1377" w:type="dxa"/>
          </w:tcPr>
          <w:p w14:paraId="4256B27A" w14:textId="75A24889" w:rsidR="630840AF" w:rsidRDefault="630840AF"/>
        </w:tc>
        <w:tc>
          <w:tcPr>
            <w:tcW w:w="1377" w:type="dxa"/>
          </w:tcPr>
          <w:p w14:paraId="7D4DBC44" w14:textId="7FC34F62" w:rsidR="630840AF" w:rsidRDefault="630840AF" w:rsidP="630840AF">
            <w:pPr>
              <w:ind w:left="192" w:firstLine="709"/>
              <w:jc w:val="both"/>
            </w:pPr>
            <w:r w:rsidRPr="630840AF">
              <w:rPr>
                <w:color w:val="000000" w:themeColor="text1"/>
                <w:sz w:val="24"/>
                <w:szCs w:val="24"/>
              </w:rPr>
              <w:t>Внебюджет</w:t>
            </w:r>
          </w:p>
        </w:tc>
        <w:tc>
          <w:tcPr>
            <w:tcW w:w="1377" w:type="dxa"/>
          </w:tcPr>
          <w:p w14:paraId="798BA2A8" w14:textId="7B2A228E" w:rsidR="630840AF" w:rsidRDefault="630840AF"/>
        </w:tc>
      </w:tr>
      <w:tr w:rsidR="630840AF" w14:paraId="452CBE4B" w14:textId="77777777" w:rsidTr="630840AF">
        <w:tc>
          <w:tcPr>
            <w:tcW w:w="1377" w:type="dxa"/>
          </w:tcPr>
          <w:p w14:paraId="4896D577" w14:textId="2EE47730" w:rsidR="630840AF" w:rsidRDefault="630840AF"/>
        </w:tc>
        <w:tc>
          <w:tcPr>
            <w:tcW w:w="1377" w:type="dxa"/>
          </w:tcPr>
          <w:p w14:paraId="106093BB" w14:textId="68C29B1E" w:rsidR="630840AF" w:rsidRDefault="630840AF"/>
        </w:tc>
        <w:tc>
          <w:tcPr>
            <w:tcW w:w="1377" w:type="dxa"/>
          </w:tcPr>
          <w:p w14:paraId="41A36A54" w14:textId="094CDE4B" w:rsidR="630840AF" w:rsidRDefault="630840AF"/>
        </w:tc>
        <w:tc>
          <w:tcPr>
            <w:tcW w:w="1377" w:type="dxa"/>
          </w:tcPr>
          <w:p w14:paraId="7B783B82" w14:textId="36CC5DB2" w:rsidR="630840AF" w:rsidRDefault="630840AF" w:rsidP="630840AF">
            <w:pPr>
              <w:ind w:left="192"/>
              <w:jc w:val="center"/>
            </w:pPr>
            <w:r w:rsidRPr="630840AF">
              <w:rPr>
                <w:color w:val="000000" w:themeColor="text1"/>
                <w:sz w:val="24"/>
                <w:szCs w:val="24"/>
              </w:rPr>
              <w:t>план</w:t>
            </w:r>
          </w:p>
        </w:tc>
        <w:tc>
          <w:tcPr>
            <w:tcW w:w="1377" w:type="dxa"/>
          </w:tcPr>
          <w:p w14:paraId="5401660D" w14:textId="49722439" w:rsidR="630840AF" w:rsidRDefault="630840AF" w:rsidP="630840AF">
            <w:pPr>
              <w:ind w:left="192"/>
              <w:jc w:val="center"/>
            </w:pPr>
            <w:r w:rsidRPr="630840AF">
              <w:rPr>
                <w:color w:val="000000" w:themeColor="text1"/>
                <w:sz w:val="24"/>
                <w:szCs w:val="24"/>
              </w:rPr>
              <w:t>факт</w:t>
            </w:r>
          </w:p>
        </w:tc>
        <w:tc>
          <w:tcPr>
            <w:tcW w:w="1377" w:type="dxa"/>
          </w:tcPr>
          <w:p w14:paraId="22A39897" w14:textId="6EA55C24" w:rsidR="630840AF" w:rsidRDefault="630840AF" w:rsidP="630840AF">
            <w:pPr>
              <w:ind w:left="192"/>
              <w:jc w:val="center"/>
            </w:pPr>
            <w:r w:rsidRPr="630840AF">
              <w:rPr>
                <w:color w:val="000000" w:themeColor="text1"/>
                <w:sz w:val="24"/>
                <w:szCs w:val="24"/>
              </w:rPr>
              <w:t>план</w:t>
            </w:r>
          </w:p>
        </w:tc>
        <w:tc>
          <w:tcPr>
            <w:tcW w:w="1377" w:type="dxa"/>
          </w:tcPr>
          <w:p w14:paraId="32E04856" w14:textId="73690001" w:rsidR="630840AF" w:rsidRDefault="630840AF" w:rsidP="630840AF">
            <w:pPr>
              <w:ind w:left="192"/>
              <w:jc w:val="center"/>
            </w:pPr>
            <w:r w:rsidRPr="630840AF">
              <w:rPr>
                <w:color w:val="000000" w:themeColor="text1"/>
                <w:sz w:val="24"/>
                <w:szCs w:val="24"/>
              </w:rPr>
              <w:t>факт</w:t>
            </w:r>
          </w:p>
        </w:tc>
      </w:tr>
      <w:tr w:rsidR="630840AF" w14:paraId="27FEDD8D" w14:textId="77777777" w:rsidTr="630840AF">
        <w:tc>
          <w:tcPr>
            <w:tcW w:w="1377" w:type="dxa"/>
          </w:tcPr>
          <w:p w14:paraId="48392F8C" w14:textId="1718FAE2" w:rsidR="630840AF" w:rsidRDefault="630840AF" w:rsidP="630840AF">
            <w:pPr>
              <w:ind w:left="192"/>
            </w:pPr>
            <w:r w:rsidRPr="630840AF">
              <w:rPr>
                <w:rFonts w:ascii="Times New Roman" w:eastAsia="Times New Roman" w:hAnsi="Times New Roman" w:cs="Times New Roman"/>
                <w:color w:val="000000" w:themeColor="text1"/>
                <w:sz w:val="24"/>
                <w:szCs w:val="24"/>
              </w:rPr>
              <w:t>1</w:t>
            </w:r>
          </w:p>
        </w:tc>
        <w:tc>
          <w:tcPr>
            <w:tcW w:w="1377" w:type="dxa"/>
          </w:tcPr>
          <w:p w14:paraId="72DCED3C" w14:textId="7C789A73" w:rsidR="630840AF" w:rsidRDefault="630840AF" w:rsidP="630840AF">
            <w:pPr>
              <w:ind w:left="192"/>
              <w:jc w:val="both"/>
            </w:pPr>
            <w:r w:rsidRPr="630840AF">
              <w:rPr>
                <w:color w:val="000000" w:themeColor="text1"/>
                <w:sz w:val="24"/>
                <w:szCs w:val="24"/>
              </w:rPr>
              <w:t xml:space="preserve">СОШ № </w:t>
            </w:r>
            <w:r w:rsidRPr="630840AF">
              <w:rPr>
                <w:rFonts w:ascii="Times New Roman" w:eastAsia="Times New Roman" w:hAnsi="Times New Roman" w:cs="Times New Roman"/>
                <w:color w:val="000000" w:themeColor="text1"/>
                <w:sz w:val="24"/>
                <w:szCs w:val="24"/>
              </w:rPr>
              <w:t>26</w:t>
            </w:r>
          </w:p>
        </w:tc>
        <w:tc>
          <w:tcPr>
            <w:tcW w:w="1377" w:type="dxa"/>
          </w:tcPr>
          <w:p w14:paraId="4C8C9796" w14:textId="5A58EFE4" w:rsidR="630840AF" w:rsidRDefault="630840AF" w:rsidP="630840AF">
            <w:pPr>
              <w:ind w:left="192"/>
              <w:jc w:val="both"/>
            </w:pPr>
            <w:r w:rsidRPr="630840AF">
              <w:rPr>
                <w:rFonts w:ascii="Times New Roman" w:eastAsia="Times New Roman" w:hAnsi="Times New Roman" w:cs="Times New Roman"/>
                <w:color w:val="000000" w:themeColor="text1"/>
                <w:sz w:val="24"/>
                <w:szCs w:val="24"/>
              </w:rPr>
              <w:t>2015</w:t>
            </w:r>
          </w:p>
        </w:tc>
        <w:tc>
          <w:tcPr>
            <w:tcW w:w="1377" w:type="dxa"/>
          </w:tcPr>
          <w:p w14:paraId="56AB4A26" w14:textId="55DBC26F" w:rsidR="630840AF" w:rsidRDefault="630840AF" w:rsidP="630840AF">
            <w:pPr>
              <w:ind w:left="192"/>
              <w:jc w:val="center"/>
            </w:pPr>
            <w:r w:rsidRPr="630840AF">
              <w:rPr>
                <w:rFonts w:ascii="Times New Roman" w:eastAsia="Times New Roman" w:hAnsi="Times New Roman" w:cs="Times New Roman"/>
                <w:color w:val="000000" w:themeColor="text1"/>
                <w:sz w:val="24"/>
                <w:szCs w:val="24"/>
              </w:rPr>
              <w:t>22412161,23</w:t>
            </w:r>
          </w:p>
        </w:tc>
        <w:tc>
          <w:tcPr>
            <w:tcW w:w="1377" w:type="dxa"/>
          </w:tcPr>
          <w:p w14:paraId="47914A88" w14:textId="6EEE17F9" w:rsidR="630840AF" w:rsidRDefault="630840AF" w:rsidP="630840AF">
            <w:pPr>
              <w:ind w:left="192"/>
              <w:jc w:val="center"/>
            </w:pPr>
            <w:r w:rsidRPr="630840AF">
              <w:rPr>
                <w:rFonts w:ascii="Times New Roman" w:eastAsia="Times New Roman" w:hAnsi="Times New Roman" w:cs="Times New Roman"/>
                <w:color w:val="000000" w:themeColor="text1"/>
                <w:sz w:val="24"/>
                <w:szCs w:val="24"/>
              </w:rPr>
              <w:t>22270420,42</w:t>
            </w:r>
          </w:p>
        </w:tc>
        <w:tc>
          <w:tcPr>
            <w:tcW w:w="1377" w:type="dxa"/>
          </w:tcPr>
          <w:p w14:paraId="25812041" w14:textId="26C3EBB1" w:rsidR="630840AF" w:rsidRDefault="630840AF" w:rsidP="630840AF">
            <w:pPr>
              <w:ind w:left="192"/>
              <w:jc w:val="center"/>
            </w:pPr>
            <w:r w:rsidRPr="630840AF">
              <w:rPr>
                <w:rFonts w:ascii="Times New Roman" w:eastAsia="Times New Roman" w:hAnsi="Times New Roman" w:cs="Times New Roman"/>
                <w:color w:val="000000" w:themeColor="text1"/>
                <w:sz w:val="24"/>
                <w:szCs w:val="24"/>
              </w:rPr>
              <w:t>0</w:t>
            </w:r>
          </w:p>
        </w:tc>
        <w:tc>
          <w:tcPr>
            <w:tcW w:w="1377" w:type="dxa"/>
          </w:tcPr>
          <w:p w14:paraId="7FBB158E" w14:textId="1686462E" w:rsidR="630840AF" w:rsidRDefault="630840AF" w:rsidP="630840AF">
            <w:pPr>
              <w:ind w:left="192"/>
              <w:jc w:val="center"/>
            </w:pPr>
            <w:r w:rsidRPr="630840AF">
              <w:rPr>
                <w:rFonts w:ascii="Times New Roman" w:eastAsia="Times New Roman" w:hAnsi="Times New Roman" w:cs="Times New Roman"/>
                <w:color w:val="000000" w:themeColor="text1"/>
                <w:sz w:val="24"/>
                <w:szCs w:val="24"/>
              </w:rPr>
              <w:t>0</w:t>
            </w:r>
          </w:p>
        </w:tc>
      </w:tr>
      <w:tr w:rsidR="630840AF" w14:paraId="2A6E0569" w14:textId="77777777" w:rsidTr="630840AF">
        <w:tc>
          <w:tcPr>
            <w:tcW w:w="1377" w:type="dxa"/>
          </w:tcPr>
          <w:p w14:paraId="4AB6A521" w14:textId="314920F2" w:rsidR="630840AF" w:rsidRDefault="630840AF" w:rsidP="630840AF">
            <w:pPr>
              <w:ind w:left="192"/>
            </w:pPr>
            <w:r w:rsidRPr="630840AF">
              <w:rPr>
                <w:rFonts w:ascii="Times New Roman" w:eastAsia="Times New Roman" w:hAnsi="Times New Roman" w:cs="Times New Roman"/>
                <w:color w:val="000000" w:themeColor="text1"/>
                <w:sz w:val="24"/>
                <w:szCs w:val="24"/>
              </w:rPr>
              <w:t>2</w:t>
            </w:r>
          </w:p>
        </w:tc>
        <w:tc>
          <w:tcPr>
            <w:tcW w:w="1377" w:type="dxa"/>
          </w:tcPr>
          <w:p w14:paraId="79B64A2A" w14:textId="4691CCB5" w:rsidR="630840AF" w:rsidRDefault="630840AF" w:rsidP="630840AF">
            <w:pPr>
              <w:ind w:left="192"/>
              <w:jc w:val="both"/>
            </w:pPr>
            <w:r>
              <w:t xml:space="preserve"> </w:t>
            </w:r>
          </w:p>
        </w:tc>
        <w:tc>
          <w:tcPr>
            <w:tcW w:w="1377" w:type="dxa"/>
          </w:tcPr>
          <w:p w14:paraId="676A3DE5" w14:textId="6496EAD0" w:rsidR="630840AF" w:rsidRDefault="630840AF" w:rsidP="630840AF">
            <w:pPr>
              <w:ind w:left="192"/>
              <w:jc w:val="both"/>
            </w:pPr>
            <w:r w:rsidRPr="630840AF">
              <w:rPr>
                <w:rFonts w:ascii="Times New Roman" w:eastAsia="Times New Roman" w:hAnsi="Times New Roman" w:cs="Times New Roman"/>
                <w:color w:val="000000" w:themeColor="text1"/>
                <w:sz w:val="24"/>
                <w:szCs w:val="24"/>
              </w:rPr>
              <w:t>2016</w:t>
            </w:r>
          </w:p>
        </w:tc>
        <w:tc>
          <w:tcPr>
            <w:tcW w:w="1377" w:type="dxa"/>
          </w:tcPr>
          <w:p w14:paraId="47B703EE" w14:textId="0ACD8619" w:rsidR="630840AF" w:rsidRDefault="630840AF" w:rsidP="630840AF">
            <w:pPr>
              <w:ind w:left="192"/>
              <w:jc w:val="center"/>
            </w:pPr>
            <w:r w:rsidRPr="630840AF">
              <w:rPr>
                <w:rFonts w:ascii="Times New Roman" w:eastAsia="Times New Roman" w:hAnsi="Times New Roman" w:cs="Times New Roman"/>
                <w:color w:val="000000" w:themeColor="text1"/>
                <w:sz w:val="24"/>
                <w:szCs w:val="24"/>
              </w:rPr>
              <w:t>27701268,78</w:t>
            </w:r>
          </w:p>
        </w:tc>
        <w:tc>
          <w:tcPr>
            <w:tcW w:w="1377" w:type="dxa"/>
          </w:tcPr>
          <w:p w14:paraId="235FCBD8" w14:textId="71B93B38" w:rsidR="630840AF" w:rsidRDefault="630840AF" w:rsidP="630840AF">
            <w:pPr>
              <w:ind w:left="192"/>
              <w:jc w:val="center"/>
            </w:pPr>
            <w:r w:rsidRPr="630840AF">
              <w:rPr>
                <w:rFonts w:ascii="Times New Roman" w:eastAsia="Times New Roman" w:hAnsi="Times New Roman" w:cs="Times New Roman"/>
                <w:color w:val="000000" w:themeColor="text1"/>
                <w:sz w:val="24"/>
                <w:szCs w:val="24"/>
              </w:rPr>
              <w:t>27468114,07</w:t>
            </w:r>
          </w:p>
        </w:tc>
        <w:tc>
          <w:tcPr>
            <w:tcW w:w="1377" w:type="dxa"/>
          </w:tcPr>
          <w:p w14:paraId="1416C026" w14:textId="79DDD6ED" w:rsidR="630840AF" w:rsidRDefault="630840AF" w:rsidP="630840AF">
            <w:pPr>
              <w:ind w:left="192"/>
              <w:jc w:val="center"/>
            </w:pPr>
            <w:r w:rsidRPr="630840AF">
              <w:rPr>
                <w:rFonts w:ascii="Times New Roman" w:eastAsia="Times New Roman" w:hAnsi="Times New Roman" w:cs="Times New Roman"/>
                <w:color w:val="000000" w:themeColor="text1"/>
                <w:sz w:val="24"/>
                <w:szCs w:val="24"/>
              </w:rPr>
              <w:t>65916,00</w:t>
            </w:r>
          </w:p>
        </w:tc>
        <w:tc>
          <w:tcPr>
            <w:tcW w:w="1377" w:type="dxa"/>
          </w:tcPr>
          <w:p w14:paraId="5C55FC34" w14:textId="7B6C9648" w:rsidR="630840AF" w:rsidRDefault="630840AF" w:rsidP="630840AF">
            <w:pPr>
              <w:ind w:left="192"/>
              <w:jc w:val="center"/>
            </w:pPr>
            <w:r w:rsidRPr="630840AF">
              <w:rPr>
                <w:rFonts w:ascii="Times New Roman" w:eastAsia="Times New Roman" w:hAnsi="Times New Roman" w:cs="Times New Roman"/>
                <w:color w:val="000000" w:themeColor="text1"/>
                <w:sz w:val="24"/>
                <w:szCs w:val="24"/>
              </w:rPr>
              <w:t>15546,70</w:t>
            </w:r>
          </w:p>
        </w:tc>
      </w:tr>
      <w:tr w:rsidR="630840AF" w14:paraId="5BDF08E9" w14:textId="77777777" w:rsidTr="630840AF">
        <w:tc>
          <w:tcPr>
            <w:tcW w:w="1377" w:type="dxa"/>
          </w:tcPr>
          <w:p w14:paraId="4283C97F" w14:textId="0F956B80" w:rsidR="630840AF" w:rsidRDefault="630840AF" w:rsidP="630840AF">
            <w:pPr>
              <w:ind w:left="192"/>
            </w:pPr>
            <w:r w:rsidRPr="630840AF">
              <w:rPr>
                <w:rFonts w:ascii="Times New Roman" w:eastAsia="Times New Roman" w:hAnsi="Times New Roman" w:cs="Times New Roman"/>
                <w:color w:val="000000" w:themeColor="text1"/>
                <w:sz w:val="24"/>
                <w:szCs w:val="24"/>
              </w:rPr>
              <w:t>3</w:t>
            </w:r>
          </w:p>
        </w:tc>
        <w:tc>
          <w:tcPr>
            <w:tcW w:w="1377" w:type="dxa"/>
          </w:tcPr>
          <w:p w14:paraId="6C9D3EA5" w14:textId="41E20C37" w:rsidR="630840AF" w:rsidRDefault="630840AF" w:rsidP="630840AF">
            <w:pPr>
              <w:ind w:left="192"/>
              <w:jc w:val="both"/>
            </w:pPr>
            <w:r>
              <w:t xml:space="preserve"> </w:t>
            </w:r>
          </w:p>
        </w:tc>
        <w:tc>
          <w:tcPr>
            <w:tcW w:w="1377" w:type="dxa"/>
          </w:tcPr>
          <w:p w14:paraId="2A349627" w14:textId="7D059151" w:rsidR="630840AF" w:rsidRDefault="630840AF" w:rsidP="630840AF">
            <w:pPr>
              <w:ind w:left="192"/>
              <w:jc w:val="both"/>
            </w:pPr>
            <w:r w:rsidRPr="630840AF">
              <w:rPr>
                <w:rFonts w:ascii="Times New Roman" w:eastAsia="Times New Roman" w:hAnsi="Times New Roman" w:cs="Times New Roman"/>
                <w:color w:val="000000" w:themeColor="text1"/>
                <w:sz w:val="24"/>
                <w:szCs w:val="24"/>
              </w:rPr>
              <w:t>2017</w:t>
            </w:r>
          </w:p>
        </w:tc>
        <w:tc>
          <w:tcPr>
            <w:tcW w:w="1377" w:type="dxa"/>
          </w:tcPr>
          <w:p w14:paraId="7104B8F5" w14:textId="40308372" w:rsidR="630840AF" w:rsidRDefault="630840AF" w:rsidP="630840AF">
            <w:pPr>
              <w:ind w:left="192"/>
              <w:jc w:val="center"/>
            </w:pPr>
            <w:r w:rsidRPr="630840AF">
              <w:rPr>
                <w:rFonts w:ascii="Times New Roman" w:eastAsia="Times New Roman" w:hAnsi="Times New Roman" w:cs="Times New Roman"/>
                <w:color w:val="000000" w:themeColor="text1"/>
                <w:sz w:val="24"/>
                <w:szCs w:val="24"/>
              </w:rPr>
              <w:t>22260248,92</w:t>
            </w:r>
          </w:p>
        </w:tc>
        <w:tc>
          <w:tcPr>
            <w:tcW w:w="1377" w:type="dxa"/>
          </w:tcPr>
          <w:p w14:paraId="432FC92E" w14:textId="311404C0" w:rsidR="630840AF" w:rsidRDefault="630840AF" w:rsidP="630840AF">
            <w:pPr>
              <w:ind w:left="192"/>
              <w:jc w:val="center"/>
            </w:pPr>
            <w:r w:rsidRPr="630840AF">
              <w:rPr>
                <w:rFonts w:ascii="Times New Roman" w:eastAsia="Times New Roman" w:hAnsi="Times New Roman" w:cs="Times New Roman"/>
                <w:color w:val="000000" w:themeColor="text1"/>
                <w:sz w:val="24"/>
                <w:szCs w:val="24"/>
              </w:rPr>
              <w:t>21802266,02</w:t>
            </w:r>
          </w:p>
        </w:tc>
        <w:tc>
          <w:tcPr>
            <w:tcW w:w="1377" w:type="dxa"/>
          </w:tcPr>
          <w:p w14:paraId="25B47D0E" w14:textId="6A367FA4" w:rsidR="630840AF" w:rsidRDefault="630840AF" w:rsidP="630840AF">
            <w:pPr>
              <w:ind w:left="192"/>
              <w:jc w:val="center"/>
            </w:pPr>
            <w:r w:rsidRPr="630840AF">
              <w:rPr>
                <w:rFonts w:ascii="Times New Roman" w:eastAsia="Times New Roman" w:hAnsi="Times New Roman" w:cs="Times New Roman"/>
                <w:color w:val="000000" w:themeColor="text1"/>
                <w:sz w:val="24"/>
                <w:szCs w:val="24"/>
              </w:rPr>
              <w:t>440915,38</w:t>
            </w:r>
          </w:p>
        </w:tc>
        <w:tc>
          <w:tcPr>
            <w:tcW w:w="1377" w:type="dxa"/>
          </w:tcPr>
          <w:p w14:paraId="4F963D4F" w14:textId="04DBFA5A" w:rsidR="630840AF" w:rsidRDefault="630840AF" w:rsidP="630840AF">
            <w:pPr>
              <w:ind w:left="192"/>
              <w:jc w:val="center"/>
            </w:pPr>
            <w:r w:rsidRPr="630840AF">
              <w:rPr>
                <w:rFonts w:ascii="Times New Roman" w:eastAsia="Times New Roman" w:hAnsi="Times New Roman" w:cs="Times New Roman"/>
                <w:color w:val="000000" w:themeColor="text1"/>
                <w:sz w:val="24"/>
                <w:szCs w:val="24"/>
              </w:rPr>
              <w:t>338323,78</w:t>
            </w:r>
          </w:p>
        </w:tc>
      </w:tr>
    </w:tbl>
    <w:p w14:paraId="0E5289FB" w14:textId="37A7D319"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 xml:space="preserve"> </w:t>
      </w:r>
    </w:p>
    <w:p w14:paraId="34E8AB4A" w14:textId="1D420F40"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 xml:space="preserve">Проанализировав  период с 2015 по 2017г дает наглядное представление об бюджетного финансировании, в 2016 г был увеличен бюджет для школы так как средства выделились на капитальный ремонт школы, при этом внебюджет  набирает свои обороты и улучшается с каждым годом. Доход от предоставления школой платных услуг достигает за 2017 г. 338323,78 тыс. руб. в год, данный показатель увеличивается, так как внедрение платных дополнительных образовательных услуг произошло совсем недавно. Само понятие «образовательное учреждение» вытесняется новым понятием «образовательная организация». </w:t>
      </w:r>
    </w:p>
    <w:p w14:paraId="66E4AAAD" w14:textId="019323CF" w:rsidR="630840AF" w:rsidRDefault="630840AF" w:rsidP="630840AF">
      <w:pPr>
        <w:jc w:val="both"/>
      </w:pPr>
      <w:r w:rsidRPr="630840AF">
        <w:rPr>
          <w:rFonts w:ascii="Times New Roman" w:eastAsia="Times New Roman" w:hAnsi="Times New Roman" w:cs="Times New Roman"/>
          <w:b/>
          <w:bCs/>
          <w:color w:val="000000" w:themeColor="text1"/>
          <w:sz w:val="24"/>
          <w:szCs w:val="24"/>
        </w:rPr>
        <w:t>Заключение.</w:t>
      </w:r>
      <w:r w:rsidRPr="630840AF">
        <w:rPr>
          <w:rFonts w:ascii="Times New Roman" w:eastAsia="Times New Roman" w:hAnsi="Times New Roman" w:cs="Times New Roman"/>
          <w:color w:val="000000" w:themeColor="text1"/>
          <w:sz w:val="24"/>
          <w:szCs w:val="24"/>
        </w:rPr>
        <w:t xml:space="preserve"> Организация и развитие платных образовательных услуг поможет муниципальному образованию создать внутрихозяйственный резерв, средства которого должны быть использованы на покрытие расходов, связанных с общеобразовательным процессом и на цели, указанные в Уставе общеобразовательного учреждения. Привычная до недавнего времени унификация средних школьных и дошкольных учреждений сменилась их </w:t>
      </w:r>
      <w:r w:rsidRPr="630840AF">
        <w:rPr>
          <w:rFonts w:ascii="Times New Roman" w:eastAsia="Times New Roman" w:hAnsi="Times New Roman" w:cs="Times New Roman"/>
          <w:color w:val="000000" w:themeColor="text1"/>
          <w:sz w:val="24"/>
          <w:szCs w:val="24"/>
        </w:rPr>
        <w:lastRenderedPageBreak/>
        <w:t>разнообразием, вариативностью учебных планов и программ, внедрение новых технологий. В условиях недостаточного бюджетного финансирования возникает объективная необходимость изменения направлений практической деятельности образовательных организаций адекватно меняющимся потребностям населения. При разработке платных образовательных услуг задействуют технологию документального сопровождения образовательного процесса [4, с. 159].</w:t>
      </w:r>
    </w:p>
    <w:p w14:paraId="739550CC" w14:textId="674B11E4" w:rsidR="630840AF" w:rsidRDefault="630840AF" w:rsidP="630840AF">
      <w:pPr>
        <w:ind w:firstLine="709"/>
        <w:jc w:val="both"/>
      </w:pPr>
      <w:r w:rsidRPr="630840AF">
        <w:rPr>
          <w:rFonts w:ascii="Times New Roman" w:eastAsia="Times New Roman" w:hAnsi="Times New Roman" w:cs="Times New Roman"/>
          <w:color w:val="000000" w:themeColor="text1"/>
          <w:sz w:val="24"/>
          <w:szCs w:val="24"/>
        </w:rPr>
        <w:t>Решением данной проблемы является развитие предпринимательской деятельности в сфере образования, которая становится необходимым элементом системы образования и представляет собой различные формы оказания платных образовательных услуг. В общеобразовательных учреждениях бюджетное финансирование должно обеспечить возможность получения учащимися знаний, навыков и умений, соответствующих требованиям федеральных и региональных стандартов по различным предметам.</w:t>
      </w:r>
    </w:p>
    <w:p w14:paraId="625765F8" w14:textId="7A0430F1" w:rsidR="630840AF" w:rsidRDefault="630840AF" w:rsidP="630840AF">
      <w:pPr>
        <w:ind w:firstLine="709"/>
        <w:jc w:val="both"/>
      </w:pPr>
      <w:r w:rsidRPr="630840AF">
        <w:rPr>
          <w:rFonts w:ascii="Times New Roman" w:eastAsia="Times New Roman" w:hAnsi="Times New Roman" w:cs="Times New Roman"/>
          <w:sz w:val="24"/>
          <w:szCs w:val="24"/>
        </w:rPr>
        <w:t xml:space="preserve"> </w:t>
      </w:r>
    </w:p>
    <w:p w14:paraId="4F50FB4D" w14:textId="72F5CD3D" w:rsidR="630840AF" w:rsidRDefault="630840AF" w:rsidP="630840AF">
      <w:pPr>
        <w:ind w:firstLine="709"/>
        <w:jc w:val="both"/>
      </w:pPr>
      <w:r w:rsidRPr="630840AF">
        <w:rPr>
          <w:rFonts w:ascii="Times New Roman" w:eastAsia="Times New Roman" w:hAnsi="Times New Roman" w:cs="Times New Roman"/>
          <w:b/>
          <w:bCs/>
          <w:color w:val="000000" w:themeColor="text1"/>
          <w:sz w:val="24"/>
          <w:szCs w:val="24"/>
        </w:rPr>
        <w:t>Список использованных источников:</w:t>
      </w:r>
    </w:p>
    <w:p w14:paraId="454BB9FF" w14:textId="379E3DBB" w:rsidR="630840AF" w:rsidRDefault="630840AF" w:rsidP="630840AF">
      <w:pPr>
        <w:pStyle w:val="a7"/>
        <w:numPr>
          <w:ilvl w:val="0"/>
          <w:numId w:val="56"/>
        </w:numPr>
        <w:jc w:val="both"/>
        <w:rPr>
          <w:sz w:val="22"/>
          <w:szCs w:val="22"/>
        </w:rPr>
      </w:pPr>
      <w:r w:rsidRPr="630840AF">
        <w:rPr>
          <w:rFonts w:ascii="Times New Roman" w:eastAsia="Times New Roman" w:hAnsi="Times New Roman" w:cs="Times New Roman"/>
          <w:color w:val="000000" w:themeColor="text1"/>
        </w:rPr>
        <w:t>Бюджетный кодекс РФ Статья 69.2. Государственное  (муниципальное задание) [Статья 69.2]</w:t>
      </w:r>
    </w:p>
    <w:p w14:paraId="02869EFB" w14:textId="2073121B" w:rsidR="630840AF" w:rsidRDefault="630840AF" w:rsidP="630840AF">
      <w:pPr>
        <w:pStyle w:val="a7"/>
        <w:numPr>
          <w:ilvl w:val="0"/>
          <w:numId w:val="56"/>
        </w:numPr>
        <w:jc w:val="both"/>
        <w:rPr>
          <w:sz w:val="22"/>
          <w:szCs w:val="22"/>
        </w:rPr>
      </w:pPr>
      <w:r w:rsidRPr="630840AF">
        <w:rPr>
          <w:rFonts w:ascii="Times New Roman" w:eastAsia="Times New Roman" w:hAnsi="Times New Roman" w:cs="Times New Roman"/>
          <w:color w:val="000000" w:themeColor="text1"/>
        </w:rPr>
        <w:t>Губанова Е.В. Оказание платных дополнительных услуг // Экономика образования. – 2015. – № 4. – С. 45–52.</w:t>
      </w:r>
    </w:p>
    <w:p w14:paraId="05534A85" w14:textId="23B3B1A3" w:rsidR="630840AF" w:rsidRDefault="630840AF" w:rsidP="630840AF">
      <w:pPr>
        <w:pStyle w:val="a7"/>
        <w:numPr>
          <w:ilvl w:val="0"/>
          <w:numId w:val="56"/>
        </w:numPr>
        <w:jc w:val="both"/>
        <w:rPr>
          <w:sz w:val="22"/>
          <w:szCs w:val="22"/>
        </w:rPr>
      </w:pPr>
      <w:r w:rsidRPr="630840AF">
        <w:rPr>
          <w:rFonts w:ascii="Times New Roman" w:eastAsia="Times New Roman" w:hAnsi="Times New Roman" w:cs="Times New Roman"/>
          <w:color w:val="000000" w:themeColor="text1"/>
        </w:rPr>
        <w:t>Постановление Правительства РФ от 15.08.2013 № 706 «Об утверждении Правил оказания платных образовательных услуг».</w:t>
      </w:r>
    </w:p>
    <w:p w14:paraId="1A727D11" w14:textId="54582139" w:rsidR="630840AF" w:rsidRDefault="630840AF" w:rsidP="630840AF">
      <w:pPr>
        <w:pStyle w:val="a7"/>
        <w:numPr>
          <w:ilvl w:val="0"/>
          <w:numId w:val="56"/>
        </w:numPr>
        <w:jc w:val="both"/>
        <w:rPr>
          <w:sz w:val="22"/>
          <w:szCs w:val="22"/>
        </w:rPr>
      </w:pPr>
      <w:r w:rsidRPr="630840AF">
        <w:rPr>
          <w:rFonts w:ascii="Times New Roman" w:eastAsia="Times New Roman" w:hAnsi="Times New Roman" w:cs="Times New Roman"/>
          <w:color w:val="000000" w:themeColor="text1"/>
        </w:rPr>
        <w:t xml:space="preserve">Стецюнич Ю.Н. Знание особенностей финансирования образовательных учреждений в современных условиях как необходимость эффективного управления // XIX Царскосельские чтения: материалы междунар. науч. конф. / под общ. ред. В. Н. Скворцова; отв. ред. Л. М. Кобрина. – 2015. – С. 159–163. </w:t>
      </w:r>
    </w:p>
    <w:p w14:paraId="24D8DF45" w14:textId="5ADD1E1C" w:rsidR="630840AF" w:rsidRDefault="630840AF" w:rsidP="630840AF">
      <w:pPr>
        <w:pStyle w:val="a7"/>
        <w:numPr>
          <w:ilvl w:val="0"/>
          <w:numId w:val="56"/>
        </w:numPr>
        <w:jc w:val="both"/>
        <w:rPr>
          <w:sz w:val="22"/>
          <w:szCs w:val="22"/>
        </w:rPr>
      </w:pPr>
      <w:r w:rsidRPr="630840AF">
        <w:rPr>
          <w:rFonts w:ascii="Times New Roman" w:eastAsia="Times New Roman" w:hAnsi="Times New Roman" w:cs="Times New Roman"/>
          <w:color w:val="000000" w:themeColor="text1"/>
        </w:rPr>
        <w:t xml:space="preserve">ШКОЛА  № 26 г. Владивостока – Официальный сайт школы [Электронный ресурс] /НОЦ « Империя школ»// сайт МБОУ «СОШ № 26» г. Владивостока – Режим доступа: </w:t>
      </w:r>
      <w:hyperlink>
        <w:r w:rsidRPr="630840AF">
          <w:rPr>
            <w:rStyle w:val="a4"/>
            <w:rFonts w:ascii="Times New Roman" w:eastAsia="Times New Roman" w:hAnsi="Times New Roman" w:cs="Times New Roman"/>
            <w:color w:val="000000" w:themeColor="text1"/>
          </w:rPr>
          <w:t>http://</w:t>
        </w:r>
      </w:hyperlink>
      <w:r w:rsidRPr="630840AF">
        <w:rPr>
          <w:rFonts w:ascii="Times New Roman" w:eastAsia="Times New Roman" w:hAnsi="Times New Roman" w:cs="Times New Roman"/>
          <w:color w:val="000000" w:themeColor="text1"/>
        </w:rPr>
        <w:t xml:space="preserve"> www. </w:t>
      </w:r>
      <w:hyperlink r:id="rId134">
        <w:r w:rsidRPr="630840AF">
          <w:rPr>
            <w:rStyle w:val="a4"/>
            <w:rFonts w:ascii="Times New Roman" w:eastAsia="Times New Roman" w:hAnsi="Times New Roman" w:cs="Times New Roman"/>
            <w:color w:val="000000" w:themeColor="text1"/>
          </w:rPr>
          <w:t>http://school26.pupils.ru</w:t>
        </w:r>
      </w:hyperlink>
    </w:p>
    <w:p w14:paraId="04E7B398" w14:textId="15AA2AD7" w:rsidR="630840AF" w:rsidRDefault="630840AF" w:rsidP="630840AF">
      <w:pPr>
        <w:ind w:left="360" w:hanging="360"/>
        <w:jc w:val="both"/>
        <w:rPr>
          <w:rFonts w:ascii="Times New Roman" w:eastAsia="Times New Roman" w:hAnsi="Times New Roman" w:cs="Times New Roman"/>
          <w:color w:val="000000" w:themeColor="text1"/>
          <w:sz w:val="24"/>
          <w:szCs w:val="24"/>
        </w:rPr>
      </w:pPr>
    </w:p>
    <w:p w14:paraId="6A22A52B" w14:textId="77777777" w:rsidR="007E1000" w:rsidRPr="007E1000" w:rsidRDefault="007E1000" w:rsidP="007E1000">
      <w:pPr>
        <w:shd w:val="clear" w:color="auto" w:fill="FFFFFF"/>
        <w:spacing w:after="0" w:line="360" w:lineRule="auto"/>
        <w:contextualSpacing/>
        <w:jc w:val="both"/>
        <w:rPr>
          <w:rFonts w:ascii="Times New Roman" w:eastAsia="Times New Roman" w:hAnsi="Times New Roman" w:cs="Times New Roman"/>
          <w:color w:val="000000" w:themeColor="text1"/>
          <w:spacing w:val="2"/>
          <w:sz w:val="24"/>
          <w:szCs w:val="24"/>
          <w:lang w:eastAsia="ru-RU"/>
        </w:rPr>
      </w:pPr>
    </w:p>
    <w:p w14:paraId="0E3AD896" w14:textId="5579527E" w:rsidR="007E1000" w:rsidRPr="007E1000" w:rsidRDefault="007E1000" w:rsidP="630840AF">
      <w:pPr>
        <w:widowControl w:val="0"/>
        <w:shd w:val="clear" w:color="auto" w:fill="FFFFFF" w:themeFill="background1"/>
        <w:autoSpaceDE w:val="0"/>
        <w:autoSpaceDN w:val="0"/>
        <w:adjustRightInd w:val="0"/>
        <w:spacing w:after="0" w:line="360" w:lineRule="auto"/>
        <w:contextualSpacing/>
        <w:jc w:val="both"/>
        <w:rPr>
          <w:rFonts w:ascii="Times New Roman" w:eastAsia="Times New Roman" w:hAnsi="Times New Roman" w:cs="Times New Roman"/>
          <w:color w:val="000000" w:themeColor="text1"/>
          <w:sz w:val="24"/>
          <w:szCs w:val="24"/>
          <w:lang w:eastAsia="ru-RU"/>
        </w:rPr>
      </w:pPr>
    </w:p>
    <w:p w14:paraId="58AA3F9E" w14:textId="4D30716A" w:rsidR="630840AF" w:rsidRDefault="630840AF" w:rsidP="630840AF">
      <w:pPr>
        <w:shd w:val="clear" w:color="auto" w:fill="FFFFFF" w:themeFill="background1"/>
        <w:spacing w:after="0" w:line="360" w:lineRule="auto"/>
        <w:jc w:val="both"/>
        <w:rPr>
          <w:rFonts w:ascii="Times New Roman" w:eastAsia="Times New Roman" w:hAnsi="Times New Roman" w:cs="Times New Roman"/>
          <w:color w:val="000000" w:themeColor="text1"/>
          <w:sz w:val="24"/>
          <w:szCs w:val="24"/>
          <w:lang w:eastAsia="ru-RU"/>
        </w:rPr>
      </w:pPr>
    </w:p>
    <w:p w14:paraId="61BD2CEA" w14:textId="05451EB0" w:rsidR="630840AF" w:rsidRDefault="630840AF" w:rsidP="630840AF">
      <w:pPr>
        <w:shd w:val="clear" w:color="auto" w:fill="FFFFFF" w:themeFill="background1"/>
        <w:spacing w:after="0" w:line="360" w:lineRule="auto"/>
        <w:jc w:val="both"/>
        <w:rPr>
          <w:rFonts w:ascii="Times New Roman" w:eastAsia="Times New Roman" w:hAnsi="Times New Roman" w:cs="Times New Roman"/>
          <w:color w:val="000000" w:themeColor="text1"/>
          <w:sz w:val="24"/>
          <w:szCs w:val="24"/>
          <w:lang w:eastAsia="ru-RU"/>
        </w:rPr>
      </w:pPr>
    </w:p>
    <w:p w14:paraId="6680F1C0" w14:textId="465A075F" w:rsidR="630840AF" w:rsidRDefault="630840AF" w:rsidP="630840AF">
      <w:pPr>
        <w:spacing w:line="240" w:lineRule="exact"/>
      </w:pPr>
      <w:r w:rsidRPr="630840AF">
        <w:rPr>
          <w:rFonts w:ascii="Times New Roman" w:eastAsia="Times New Roman" w:hAnsi="Times New Roman" w:cs="Times New Roman"/>
          <w:color w:val="000000" w:themeColor="text1"/>
          <w:sz w:val="24"/>
          <w:szCs w:val="24"/>
        </w:rPr>
        <w:t>Рубрика: 08.00.12 Бухгалтерский учёт, статистика</w:t>
      </w:r>
    </w:p>
    <w:p w14:paraId="332EB7C3" w14:textId="582514E5" w:rsidR="630840AF" w:rsidRDefault="630840AF" w:rsidP="630840AF">
      <w:pPr>
        <w:spacing w:line="240" w:lineRule="exact"/>
      </w:pPr>
      <w:r w:rsidRPr="630840AF">
        <w:rPr>
          <w:rFonts w:ascii="Times New Roman" w:eastAsia="Times New Roman" w:hAnsi="Times New Roman" w:cs="Times New Roman"/>
          <w:color w:val="000000" w:themeColor="text1"/>
          <w:sz w:val="24"/>
          <w:szCs w:val="24"/>
        </w:rPr>
        <w:t>УДК 314.02</w:t>
      </w:r>
    </w:p>
    <w:p w14:paraId="29A948E6" w14:textId="444940AE" w:rsidR="630840AF" w:rsidRDefault="630840AF" w:rsidP="630840AF">
      <w:pPr>
        <w:spacing w:line="240" w:lineRule="exact"/>
        <w:jc w:val="center"/>
      </w:pPr>
      <w:r w:rsidRPr="630840AF">
        <w:rPr>
          <w:rFonts w:ascii="Times New Roman" w:eastAsia="Times New Roman" w:hAnsi="Times New Roman" w:cs="Times New Roman"/>
          <w:b/>
          <w:bCs/>
          <w:color w:val="000000" w:themeColor="text1"/>
          <w:sz w:val="27"/>
          <w:szCs w:val="27"/>
        </w:rPr>
        <w:t>Пенсионное обеспечение населения России и Приморского края</w:t>
      </w:r>
    </w:p>
    <w:p w14:paraId="79258F09" w14:textId="7A1C90D8" w:rsidR="630840AF" w:rsidRDefault="630840AF" w:rsidP="630840AF">
      <w:pPr>
        <w:spacing w:line="340" w:lineRule="exact"/>
        <w:ind w:firstLine="709"/>
        <w:jc w:val="center"/>
      </w:pPr>
      <w:r w:rsidRPr="630840AF">
        <w:rPr>
          <w:rFonts w:ascii="Times New Roman" w:eastAsia="Times New Roman" w:hAnsi="Times New Roman" w:cs="Times New Roman"/>
          <w:color w:val="000000" w:themeColor="text1"/>
          <w:sz w:val="24"/>
          <w:szCs w:val="24"/>
        </w:rPr>
        <w:t>Шевчук Кристина Олеговна,</w:t>
      </w:r>
    </w:p>
    <w:p w14:paraId="1C60ABA9" w14:textId="257E83EE" w:rsidR="630840AF" w:rsidRDefault="630840AF" w:rsidP="630840AF">
      <w:pPr>
        <w:spacing w:line="340" w:lineRule="exact"/>
        <w:ind w:firstLine="709"/>
        <w:jc w:val="center"/>
      </w:pPr>
      <w:r w:rsidRPr="630840AF">
        <w:rPr>
          <w:rFonts w:ascii="Times New Roman" w:eastAsia="Times New Roman" w:hAnsi="Times New Roman" w:cs="Times New Roman"/>
          <w:color w:val="000000" w:themeColor="text1"/>
          <w:sz w:val="24"/>
          <w:szCs w:val="24"/>
        </w:rPr>
        <w:t>бакалавр</w:t>
      </w:r>
    </w:p>
    <w:p w14:paraId="5CC982BC" w14:textId="1C6D0870" w:rsidR="630840AF" w:rsidRDefault="630840AF" w:rsidP="630840AF">
      <w:pPr>
        <w:spacing w:line="340" w:lineRule="exact"/>
        <w:ind w:firstLine="709"/>
        <w:jc w:val="center"/>
      </w:pPr>
      <w:r w:rsidRPr="630840AF">
        <w:rPr>
          <w:rFonts w:ascii="Times New Roman" w:eastAsia="Times New Roman" w:hAnsi="Times New Roman" w:cs="Times New Roman"/>
          <w:i/>
          <w:iCs/>
          <w:color w:val="000000" w:themeColor="text1"/>
          <w:sz w:val="24"/>
          <w:szCs w:val="24"/>
        </w:rPr>
        <w:t>Владивостокский государственный университет экономики и сервиса</w:t>
      </w:r>
    </w:p>
    <w:p w14:paraId="0BD17E49" w14:textId="3B9BD796" w:rsidR="630840AF" w:rsidRDefault="630840AF" w:rsidP="630840AF">
      <w:pPr>
        <w:spacing w:line="340" w:lineRule="exact"/>
        <w:ind w:firstLine="709"/>
        <w:jc w:val="center"/>
      </w:pPr>
      <w:r w:rsidRPr="630840AF">
        <w:rPr>
          <w:rFonts w:ascii="Times New Roman" w:eastAsia="Times New Roman" w:hAnsi="Times New Roman" w:cs="Times New Roman"/>
          <w:i/>
          <w:iCs/>
          <w:color w:val="000000" w:themeColor="text1"/>
          <w:sz w:val="24"/>
          <w:szCs w:val="24"/>
        </w:rPr>
        <w:t>Россия. Владивосток</w:t>
      </w:r>
    </w:p>
    <w:p w14:paraId="35B69CA7" w14:textId="1000E161" w:rsidR="630840AF" w:rsidRDefault="630840AF" w:rsidP="630840AF">
      <w:pPr>
        <w:spacing w:line="340" w:lineRule="exact"/>
        <w:ind w:firstLine="709"/>
        <w:jc w:val="center"/>
      </w:pPr>
      <w:r w:rsidRPr="630840AF">
        <w:rPr>
          <w:rFonts w:ascii="Times New Roman" w:eastAsia="Times New Roman" w:hAnsi="Times New Roman" w:cs="Times New Roman"/>
          <w:color w:val="000000" w:themeColor="text1"/>
          <w:sz w:val="24"/>
          <w:szCs w:val="24"/>
        </w:rPr>
        <w:lastRenderedPageBreak/>
        <w:t xml:space="preserve">E-mail: </w:t>
      </w:r>
      <w:hyperlink r:id="rId135">
        <w:r w:rsidRPr="630840AF">
          <w:rPr>
            <w:rStyle w:val="a4"/>
            <w:rFonts w:ascii="Times New Roman" w:eastAsia="Times New Roman" w:hAnsi="Times New Roman" w:cs="Times New Roman"/>
            <w:color w:val="0563C1"/>
            <w:sz w:val="24"/>
            <w:szCs w:val="24"/>
          </w:rPr>
          <w:t>KristinaOlegovna98@mail.ru</w:t>
        </w:r>
      </w:hyperlink>
      <w:r w:rsidRPr="630840AF">
        <w:rPr>
          <w:rFonts w:ascii="Times New Roman" w:eastAsia="Times New Roman" w:hAnsi="Times New Roman" w:cs="Times New Roman"/>
          <w:color w:val="000000" w:themeColor="text1"/>
          <w:sz w:val="24"/>
          <w:szCs w:val="24"/>
        </w:rPr>
        <w:t>; тел.: 89242452560</w:t>
      </w:r>
    </w:p>
    <w:p w14:paraId="60905515" w14:textId="73F3D88C" w:rsidR="630840AF" w:rsidRDefault="630840AF" w:rsidP="630840AF">
      <w:pPr>
        <w:spacing w:line="340" w:lineRule="exact"/>
        <w:ind w:firstLine="709"/>
        <w:jc w:val="center"/>
      </w:pPr>
      <w:r w:rsidRPr="630840AF">
        <w:rPr>
          <w:rFonts w:ascii="Times New Roman" w:eastAsia="Times New Roman" w:hAnsi="Times New Roman" w:cs="Times New Roman"/>
          <w:color w:val="000000" w:themeColor="text1"/>
          <w:sz w:val="24"/>
          <w:szCs w:val="24"/>
        </w:rPr>
        <w:t>ул. Гоголя, 41, г. Владивосток, Приморский край, Россия, 690014</w:t>
      </w:r>
    </w:p>
    <w:p w14:paraId="614A07D5" w14:textId="12B0680D" w:rsidR="630840AF" w:rsidRDefault="630840AF" w:rsidP="630840AF">
      <w:pPr>
        <w:spacing w:line="240" w:lineRule="exact"/>
        <w:ind w:firstLine="708"/>
        <w:jc w:val="both"/>
      </w:pPr>
      <w:r w:rsidRPr="630840AF">
        <w:rPr>
          <w:rFonts w:ascii="Times New Roman" w:eastAsia="Times New Roman" w:hAnsi="Times New Roman" w:cs="Times New Roman"/>
          <w:b/>
          <w:bCs/>
          <w:i/>
          <w:iCs/>
          <w:color w:val="000000" w:themeColor="text1"/>
          <w:sz w:val="24"/>
          <w:szCs w:val="24"/>
        </w:rPr>
        <w:t>Аннотация:</w:t>
      </w:r>
      <w:r w:rsidRPr="630840AF">
        <w:rPr>
          <w:rFonts w:ascii="Times New Roman" w:eastAsia="Times New Roman" w:hAnsi="Times New Roman" w:cs="Times New Roman"/>
          <w:i/>
          <w:iCs/>
          <w:color w:val="000000" w:themeColor="text1"/>
          <w:sz w:val="24"/>
          <w:szCs w:val="24"/>
        </w:rPr>
        <w:t xml:space="preserve"> в статье рассматриваются вопросы связанные с ростом количества пенсионеров в Приморском крае и по России в целом, проводится анализ численности занятых, приходящихся на одного пенсионера, назначенных пенсий в соотношении к фактической стоимости потребительской корзины.</w:t>
      </w:r>
    </w:p>
    <w:p w14:paraId="688EBF41" w14:textId="78AB1C3F" w:rsidR="630840AF" w:rsidRDefault="630840AF" w:rsidP="630840AF">
      <w:pPr>
        <w:spacing w:line="240" w:lineRule="exact"/>
        <w:ind w:firstLine="708"/>
        <w:jc w:val="both"/>
      </w:pPr>
      <w:r w:rsidRPr="630840AF">
        <w:rPr>
          <w:rFonts w:ascii="Times New Roman" w:eastAsia="Times New Roman" w:hAnsi="Times New Roman" w:cs="Times New Roman"/>
          <w:b/>
          <w:bCs/>
          <w:i/>
          <w:iCs/>
          <w:color w:val="000000" w:themeColor="text1"/>
          <w:sz w:val="24"/>
          <w:szCs w:val="24"/>
        </w:rPr>
        <w:t xml:space="preserve">Ключевые слова и словосочетания: </w:t>
      </w:r>
      <w:r w:rsidRPr="630840AF">
        <w:rPr>
          <w:rFonts w:ascii="Times New Roman" w:eastAsia="Times New Roman" w:hAnsi="Times New Roman" w:cs="Times New Roman"/>
          <w:i/>
          <w:iCs/>
          <w:color w:val="000000" w:themeColor="text1"/>
          <w:sz w:val="24"/>
          <w:szCs w:val="24"/>
        </w:rPr>
        <w:t>пенсионное обеспечение, пенсии, пенсионная система, численность пенсионеров, работоспособное население.</w:t>
      </w:r>
    </w:p>
    <w:p w14:paraId="27D6C6EA" w14:textId="7497815F" w:rsidR="630840AF" w:rsidRPr="009C350E" w:rsidRDefault="630840AF" w:rsidP="630840AF">
      <w:pPr>
        <w:spacing w:line="240" w:lineRule="exact"/>
        <w:ind w:firstLine="708"/>
        <w:jc w:val="center"/>
        <w:rPr>
          <w:lang w:val="en-US"/>
        </w:rPr>
      </w:pPr>
      <w:r w:rsidRPr="009C350E">
        <w:rPr>
          <w:rFonts w:ascii="Times New Roman" w:eastAsia="Times New Roman" w:hAnsi="Times New Roman" w:cs="Times New Roman"/>
          <w:b/>
          <w:bCs/>
          <w:color w:val="000000" w:themeColor="text1"/>
          <w:sz w:val="27"/>
          <w:szCs w:val="27"/>
          <w:lang w:val="en-US"/>
        </w:rPr>
        <w:t>Pension provision of the Russian population and Primorsky Krai.</w:t>
      </w:r>
    </w:p>
    <w:p w14:paraId="47ED3E34" w14:textId="43C80E18" w:rsidR="630840AF" w:rsidRPr="009C350E" w:rsidRDefault="630840AF" w:rsidP="630840AF">
      <w:pPr>
        <w:spacing w:line="240" w:lineRule="exact"/>
        <w:ind w:firstLine="708"/>
        <w:jc w:val="both"/>
        <w:rPr>
          <w:lang w:val="en-US"/>
        </w:rPr>
      </w:pPr>
      <w:r w:rsidRPr="009C350E">
        <w:rPr>
          <w:rFonts w:ascii="Times New Roman" w:eastAsia="Times New Roman" w:hAnsi="Times New Roman" w:cs="Times New Roman"/>
          <w:b/>
          <w:bCs/>
          <w:i/>
          <w:iCs/>
          <w:color w:val="000000" w:themeColor="text1"/>
          <w:sz w:val="24"/>
          <w:szCs w:val="24"/>
          <w:lang w:val="en-US"/>
        </w:rPr>
        <w:t>Annotation:</w:t>
      </w:r>
      <w:r w:rsidRPr="009C350E">
        <w:rPr>
          <w:rFonts w:ascii="Times New Roman" w:eastAsia="Times New Roman" w:hAnsi="Times New Roman" w:cs="Times New Roman"/>
          <w:i/>
          <w:iCs/>
          <w:color w:val="000000" w:themeColor="text1"/>
          <w:sz w:val="24"/>
          <w:szCs w:val="24"/>
          <w:lang w:val="en-US"/>
        </w:rPr>
        <w:t xml:space="preserve"> this article discusses the issues associated with the growing number of retirees in the Primorsky region and Russia as a whole, the analysis of number of employees per pensioner, pensions in proportion to the actual cost of basket.</w:t>
      </w:r>
    </w:p>
    <w:p w14:paraId="434808D6" w14:textId="58979345" w:rsidR="630840AF" w:rsidRPr="009C350E" w:rsidRDefault="630840AF" w:rsidP="630840AF">
      <w:pPr>
        <w:spacing w:line="240" w:lineRule="exact"/>
        <w:ind w:firstLine="708"/>
        <w:jc w:val="both"/>
        <w:rPr>
          <w:lang w:val="en-US"/>
        </w:rPr>
      </w:pPr>
      <w:r w:rsidRPr="009C350E">
        <w:rPr>
          <w:rFonts w:ascii="Times New Roman" w:eastAsia="Times New Roman" w:hAnsi="Times New Roman" w:cs="Times New Roman"/>
          <w:b/>
          <w:bCs/>
          <w:i/>
          <w:iCs/>
          <w:color w:val="000000" w:themeColor="text1"/>
          <w:sz w:val="24"/>
          <w:szCs w:val="24"/>
          <w:lang w:val="en-US"/>
        </w:rPr>
        <w:t>Keywords:</w:t>
      </w:r>
      <w:r w:rsidRPr="009C350E">
        <w:rPr>
          <w:rFonts w:ascii="Times New Roman" w:eastAsia="Times New Roman" w:hAnsi="Times New Roman" w:cs="Times New Roman"/>
          <w:i/>
          <w:iCs/>
          <w:color w:val="000000" w:themeColor="text1"/>
          <w:sz w:val="24"/>
          <w:szCs w:val="24"/>
          <w:lang w:val="en-US"/>
        </w:rPr>
        <w:t xml:space="preserve"> pensions, pensions, the pension system, the number of pensioners, healthy population.</w:t>
      </w:r>
    </w:p>
    <w:p w14:paraId="273F11D2" w14:textId="61C62619"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 xml:space="preserve">Пенсионеры в Российской Федерации на сегодняшний день сталкиваются со многими проблемами, которые не позволяют сказать об их социальном и финансовом положении, что оно благоприятное. Проанализировав всю ситуацию страны в целом, можно сделать вывод о том, что у государства нет той самой политики, которая направлена была бы на обеспечение высокого качества жизни людей пенсионного возраста. Принимаются отдельные меры по обеспечение небольших материальных потребностей пенсионеров, когда необходимо учитывать и другие потребности. В настоящее время российская демографическая ситуация характеризуется низким уровнем рождаемости и старением населения, что к тому же сопровождается смещением соотношения лиц трудоспособного возраста и пенсионеров в сторону последних. Пенсионное обеспечение населения в России в настоящее время имеет значительное число проблем: не адаптирована к финансовым кризисам, при высоких тарифах страховых взносов размеры пенсий находятся на низком уровне, не стимулирует сокращение рабочих мест с вредными условиями производства, не построена оптимальная модель пенсионной защиты населения. </w:t>
      </w:r>
    </w:p>
    <w:p w14:paraId="61AD23C2" w14:textId="6243031E"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 xml:space="preserve">Заметно, что с 2012 г. по 2014 г. численность увеличивается равномерно как в Приморском крае, так и по России. В 2015 году наблюдаем рост больше обычного. Таким образом общая численность пенсионеров в России к 2016 году – 43177 млн. человек, то есть 29,4% от всего населения РФ (на 2012 год – 28,3%), а в Приморском крае – 545 тыс. человек, что составляет 28,3% от всей численности населения края (рис.1). </w:t>
      </w:r>
    </w:p>
    <w:p w14:paraId="7071C740" w14:textId="7FD7D8D0" w:rsidR="630840AF" w:rsidRDefault="630840AF" w:rsidP="630840AF">
      <w:pPr>
        <w:spacing w:line="240" w:lineRule="exact"/>
        <w:jc w:val="right"/>
      </w:pPr>
      <w:r>
        <w:rPr>
          <w:noProof/>
          <w:lang w:eastAsia="ru-RU"/>
        </w:rPr>
        <w:drawing>
          <wp:inline distT="0" distB="0" distL="0" distR="0" wp14:anchorId="5A3B5D21" wp14:editId="33B28520">
            <wp:extent cx="6115050" cy="2952750"/>
            <wp:effectExtent l="0" t="0" r="0" b="0"/>
            <wp:docPr id="150566170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6">
                      <a:extLst>
                        <a:ext uri="{28A0092B-C50C-407E-A947-70E740481C1C}">
                          <a14:useLocalDpi xmlns:a14="http://schemas.microsoft.com/office/drawing/2010/main" val="0"/>
                        </a:ext>
                      </a:extLst>
                    </a:blip>
                    <a:stretch>
                      <a:fillRect/>
                    </a:stretch>
                  </pic:blipFill>
                  <pic:spPr>
                    <a:xfrm>
                      <a:off x="0" y="0"/>
                      <a:ext cx="6115050" cy="2952750"/>
                    </a:xfrm>
                    <a:prstGeom prst="rect">
                      <a:avLst/>
                    </a:prstGeom>
                  </pic:spPr>
                </pic:pic>
              </a:graphicData>
            </a:graphic>
          </wp:inline>
        </w:drawing>
      </w:r>
    </w:p>
    <w:p w14:paraId="1668971A" w14:textId="4FFF171B" w:rsidR="630840AF" w:rsidRDefault="630840AF" w:rsidP="630840AF">
      <w:pPr>
        <w:spacing w:line="240" w:lineRule="exact"/>
        <w:jc w:val="center"/>
      </w:pPr>
      <w:r w:rsidRPr="630840AF">
        <w:rPr>
          <w:rFonts w:ascii="Times New Roman" w:eastAsia="Times New Roman" w:hAnsi="Times New Roman" w:cs="Times New Roman"/>
          <w:color w:val="000000" w:themeColor="text1"/>
          <w:sz w:val="24"/>
          <w:szCs w:val="24"/>
        </w:rPr>
        <w:t>Рис.1. Численность пенсионеров, тыс. человек</w:t>
      </w:r>
    </w:p>
    <w:p w14:paraId="6EAB1216" w14:textId="1E7210C2"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На 1 января 2018 г. численность пенсионеров, состоящих на учете в отделении Пенсионного фонда Российской Федерации по Приморскому краю, составила 545 тыс. человек. Число пенсионеров за 2017 г. увеличилось на 480 человек, а за последние пять лет – на 10.8 тыс. человек. Доля пенсионеров в общей численности населения края также постоянно увеличивается, и на начало 2018 г. составила 28,5% (пять лет назад – 27,6%) [1]. Вопрос пенсионного обеспечения с каждым годом будет становиться острее, в следствии того, что количество пенсионеров будет только увеличиваться.</w:t>
      </w:r>
    </w:p>
    <w:p w14:paraId="14FA7458" w14:textId="3DEF9B73"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 xml:space="preserve">Численность занятых, приходящихся на одного пенсионера (в среднем за год), с 2012 г. ежегодно снижается на 0,02 в Приморском крае до 2015 г., а по России до 2014 г. (рис.2). </w:t>
      </w:r>
    </w:p>
    <w:p w14:paraId="7BE3886B" w14:textId="302C35C0" w:rsidR="630840AF" w:rsidRDefault="630840AF" w:rsidP="630840AF">
      <w:pPr>
        <w:spacing w:line="240" w:lineRule="exact"/>
        <w:jc w:val="both"/>
      </w:pPr>
      <w:r>
        <w:rPr>
          <w:noProof/>
          <w:lang w:eastAsia="ru-RU"/>
        </w:rPr>
        <w:drawing>
          <wp:inline distT="0" distB="0" distL="0" distR="0" wp14:anchorId="2AC5C00D" wp14:editId="28C6F530">
            <wp:extent cx="6095998" cy="2495550"/>
            <wp:effectExtent l="0" t="0" r="0" b="0"/>
            <wp:docPr id="94766285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7">
                      <a:extLst>
                        <a:ext uri="{28A0092B-C50C-407E-A947-70E740481C1C}">
                          <a14:useLocalDpi xmlns:a14="http://schemas.microsoft.com/office/drawing/2010/main" val="0"/>
                        </a:ext>
                      </a:extLst>
                    </a:blip>
                    <a:stretch>
                      <a:fillRect/>
                    </a:stretch>
                  </pic:blipFill>
                  <pic:spPr>
                    <a:xfrm>
                      <a:off x="0" y="0"/>
                      <a:ext cx="6095998" cy="2495550"/>
                    </a:xfrm>
                    <a:prstGeom prst="rect">
                      <a:avLst/>
                    </a:prstGeom>
                  </pic:spPr>
                </pic:pic>
              </a:graphicData>
            </a:graphic>
          </wp:inline>
        </w:drawing>
      </w:r>
    </w:p>
    <w:p w14:paraId="024D9818" w14:textId="6F8EEB68" w:rsidR="630840AF" w:rsidRDefault="630840AF" w:rsidP="630840AF">
      <w:pPr>
        <w:spacing w:line="240" w:lineRule="exact"/>
        <w:jc w:val="center"/>
      </w:pPr>
      <w:r w:rsidRPr="630840AF">
        <w:rPr>
          <w:rFonts w:ascii="Times New Roman" w:eastAsia="Times New Roman" w:hAnsi="Times New Roman" w:cs="Times New Roman"/>
          <w:color w:val="000000" w:themeColor="text1"/>
          <w:sz w:val="24"/>
          <w:szCs w:val="24"/>
        </w:rPr>
        <w:t>Рис. 2. Численность занятых, приходящихся на одного пенсионера, в среднем за год</w:t>
      </w:r>
    </w:p>
    <w:p w14:paraId="4EBD037D" w14:textId="2731C4E8"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lastRenderedPageBreak/>
        <w:t>В 2016 г. в Приморском крае наблюдается рост на 0,02, но он незначителен, так как сам показатель составляет 1,81, это все-таки меньше, чем за предыдущие годы. В РФ в 2015 г. численность занятых выросла на 0,07, но к 2016 г. снизилась на 0,03. Низкий уровень занятости свидетельствует о кризисе в экономике страны, тесно связан с высоким уровнем социальной напряженности, может свидетельствовать о том, что проблема дефицита Пенсионного фонда России по-прежнему решается.</w:t>
      </w:r>
    </w:p>
    <w:p w14:paraId="78E147A9" w14:textId="5FD7B539"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Средний размер пенсий в Приморском крае больше, чем по России в целом, это зависит от уровня потребительских цен в данном регионе. В целом за 2014 г. средняя пенсия в РФ составила 10,8 тыс. рублей. В номинальном выражении это на 8,8% выше, чем в 2013 г., но в реальном выражении рост в среднем за год составил 0,9%. По данным за 2015 г. средний размер назначенной пенсии в России увеличился в номинальном выражении на 11,1% по сравнению с 2014 г. и составил 12000. К 2016 г. средний размер пенсии в Приморском крае составил 17715 руб., в России – 17426 руб. (рис. 3). Хоть и были приняты меры по повышению пенсий, и исследуемый показатель имеет положительную тенденцию, но численность пенсионеров, вынужденных работать, чтобы поддерживать уровень своего благополучия, с каждым годом растет.</w:t>
      </w:r>
    </w:p>
    <w:p w14:paraId="1E0A1F2F" w14:textId="6B5F30AF" w:rsidR="630840AF" w:rsidRDefault="630840AF" w:rsidP="630840AF">
      <w:pPr>
        <w:spacing w:line="240" w:lineRule="exact"/>
        <w:jc w:val="both"/>
      </w:pPr>
      <w:r>
        <w:rPr>
          <w:noProof/>
          <w:lang w:eastAsia="ru-RU"/>
        </w:rPr>
        <w:drawing>
          <wp:inline distT="0" distB="0" distL="0" distR="0" wp14:anchorId="05FFF886" wp14:editId="7AA2CCF2">
            <wp:extent cx="6115050" cy="1905000"/>
            <wp:effectExtent l="0" t="0" r="0" b="0"/>
            <wp:docPr id="39058005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8">
                      <a:extLst>
                        <a:ext uri="{28A0092B-C50C-407E-A947-70E740481C1C}">
                          <a14:useLocalDpi xmlns:a14="http://schemas.microsoft.com/office/drawing/2010/main" val="0"/>
                        </a:ext>
                      </a:extLst>
                    </a:blip>
                    <a:stretch>
                      <a:fillRect/>
                    </a:stretch>
                  </pic:blipFill>
                  <pic:spPr>
                    <a:xfrm>
                      <a:off x="0" y="0"/>
                      <a:ext cx="6115050" cy="1905000"/>
                    </a:xfrm>
                    <a:prstGeom prst="rect">
                      <a:avLst/>
                    </a:prstGeom>
                  </pic:spPr>
                </pic:pic>
              </a:graphicData>
            </a:graphic>
          </wp:inline>
        </w:drawing>
      </w:r>
    </w:p>
    <w:p w14:paraId="279AAD4B" w14:textId="66E8054A" w:rsidR="630840AF" w:rsidRDefault="630840AF" w:rsidP="630840AF">
      <w:pPr>
        <w:spacing w:line="240" w:lineRule="exact"/>
        <w:jc w:val="center"/>
      </w:pPr>
      <w:r w:rsidRPr="630840AF">
        <w:rPr>
          <w:rFonts w:ascii="Times New Roman" w:eastAsia="Times New Roman" w:hAnsi="Times New Roman" w:cs="Times New Roman"/>
          <w:color w:val="000000" w:themeColor="text1"/>
          <w:sz w:val="24"/>
          <w:szCs w:val="24"/>
        </w:rPr>
        <w:t>Рис. 3. Средний размер назначенных пенсий, руб.</w:t>
      </w:r>
    </w:p>
    <w:p w14:paraId="1878FFAB" w14:textId="2C0221F3"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 xml:space="preserve">Чтобы говорить о том, достойные ли размеры пенсий в России и Приморском крае, необходимо проанализировать стоимость потребительской корзины граждан. По линиям на графике четко виден рост стоимости фиксированного набора потребительских товаров и услуг. В Приморском крае за 4 года возросла на 3914 руб. и составила к 2016 г. – 16926 руб. В России – на 3475 руб. и составила к 2016 г. – 14212 руб. (рис. 4).  </w:t>
      </w:r>
    </w:p>
    <w:p w14:paraId="5F4C50CA" w14:textId="55553E51" w:rsidR="630840AF" w:rsidRDefault="630840AF" w:rsidP="630840AF">
      <w:pPr>
        <w:spacing w:line="240" w:lineRule="exact"/>
        <w:jc w:val="both"/>
      </w:pPr>
      <w:r>
        <w:rPr>
          <w:noProof/>
          <w:lang w:eastAsia="ru-RU"/>
        </w:rPr>
        <w:drawing>
          <wp:inline distT="0" distB="0" distL="0" distR="0" wp14:anchorId="223CB877" wp14:editId="73276B8C">
            <wp:extent cx="6115050" cy="1838325"/>
            <wp:effectExtent l="0" t="0" r="0" b="0"/>
            <wp:docPr id="19001384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9">
                      <a:extLst>
                        <a:ext uri="{28A0092B-C50C-407E-A947-70E740481C1C}">
                          <a14:useLocalDpi xmlns:a14="http://schemas.microsoft.com/office/drawing/2010/main" val="0"/>
                        </a:ext>
                      </a:extLst>
                    </a:blip>
                    <a:stretch>
                      <a:fillRect/>
                    </a:stretch>
                  </pic:blipFill>
                  <pic:spPr>
                    <a:xfrm>
                      <a:off x="0" y="0"/>
                      <a:ext cx="6115050" cy="1838325"/>
                    </a:xfrm>
                    <a:prstGeom prst="rect">
                      <a:avLst/>
                    </a:prstGeom>
                  </pic:spPr>
                </pic:pic>
              </a:graphicData>
            </a:graphic>
          </wp:inline>
        </w:drawing>
      </w:r>
    </w:p>
    <w:p w14:paraId="70AFA0D2" w14:textId="0334FC33" w:rsidR="630840AF" w:rsidRDefault="630840AF" w:rsidP="630840AF">
      <w:pPr>
        <w:spacing w:line="240" w:lineRule="exact"/>
        <w:jc w:val="center"/>
      </w:pPr>
      <w:r w:rsidRPr="630840AF">
        <w:rPr>
          <w:rFonts w:ascii="Times New Roman" w:eastAsia="Times New Roman" w:hAnsi="Times New Roman" w:cs="Times New Roman"/>
          <w:color w:val="000000" w:themeColor="text1"/>
          <w:sz w:val="24"/>
          <w:szCs w:val="24"/>
        </w:rPr>
        <w:t>Рис. 4. Стоимость фиксированного набора потребительских товаров и услуг, руб.</w:t>
      </w:r>
    </w:p>
    <w:p w14:paraId="60A6A1A4" w14:textId="28990152"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Следует учитывать тот факт, что мы рассмотрели фактическую стоимость потребительской корзины и средний размер пенсий, а это значит, что не каждый пенсионер получает в России пенсию 17426 руб. Около 50% пенсионеров получают минимальную пенсию и находятся за чертой бедности. Всего лишь 2-4% неработающих пенсионеров получают максимальную пенсию, превышающую минимальный потребительский бюджет, рассчитанный на полное удовлетворение разумных потребностей человека, и бюджет прожиточного минимума, обеспечивающий элементарные условия жизни [2]. Затраты государственного бюджета должны эффективнее направляться на социальные нужды и пенсионное обеспечение населения России.</w:t>
      </w:r>
    </w:p>
    <w:p w14:paraId="0E7D6045" w14:textId="1B2D323B"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Требуется восполнять дефицит Пенсионного фонда РФ, то есть постоянно создается весомая нагрузка на федеральный бюджет. Поэтому с 1 января 2009 года действует государственная программа софинансирования пенсионных накоплений, суть которой заключается в предоставлении любому гражданину возможности осуществить дополнительные добровольные взносы на накопительную часть трудовой пенсии, - получая при этом аналогичную сумму взносов по итогам года от государства [3]. Эта программа помогает выработать привычку у населения не полагаться всегда на государство, а начать уже сейчас откладывать на пенсию. Однако в этом граждане участвуют не активно, так как просто нет гарантий, что средства пенсионных накоплений сохранятся, и все-таки считают, что это прерогатива государства.</w:t>
      </w:r>
    </w:p>
    <w:p w14:paraId="027F7AEC" w14:textId="5432EA82" w:rsidR="630840AF" w:rsidRDefault="630840AF" w:rsidP="630840AF">
      <w:pPr>
        <w:spacing w:line="240" w:lineRule="exact"/>
        <w:ind w:firstLine="708"/>
        <w:jc w:val="both"/>
      </w:pPr>
      <w:r w:rsidRPr="630840AF">
        <w:rPr>
          <w:rFonts w:ascii="Times New Roman" w:eastAsia="Times New Roman" w:hAnsi="Times New Roman" w:cs="Times New Roman"/>
          <w:color w:val="000000" w:themeColor="text1"/>
          <w:sz w:val="24"/>
          <w:szCs w:val="24"/>
        </w:rPr>
        <w:t xml:space="preserve">В заключении хотелось бы отметить, что для решения проблемы необходима общественная устойчивость. Очень важно достичь стабильной пенсионной организации. Одним из решений вопроса низких пенсий многие эксперты полагают повышение пенсионного возраста и соответственно повышение размера пенсионных отчислений за счет наиболее длительной трудовой деятельности. Тем не менее следует принимать во внимание как сокращающуюся среднюю продолжительность жизни, так и степень медицинского обслуживания. В этом случае достаточно усовершенствовать страховую составляющую пенсионную систему с учетом потребностей разных возрастных групп пенсионеров и стимулировать добровольный наиболее поздний выход на пенсию. Пожилые люди являются </w:t>
      </w:r>
      <w:r w:rsidRPr="630840AF">
        <w:rPr>
          <w:rFonts w:ascii="Times New Roman" w:eastAsia="Times New Roman" w:hAnsi="Times New Roman" w:cs="Times New Roman"/>
          <w:color w:val="000000" w:themeColor="text1"/>
          <w:sz w:val="24"/>
          <w:szCs w:val="24"/>
        </w:rPr>
        <w:lastRenderedPageBreak/>
        <w:t>значимым и продуктивным ресурсом для экономики каждого государства. Следовательно, поменяв собственную политику на рынке труда, направленную предельно на молодых специалистов, страна не только уменьшит нагрузку на бюджет, но и сможет целиком открыть их потенциальные возможности. С целью ликвидации трудностей дефицита Пенсионного фонда Российской федерации справедливым будет распространить концепцию обязательного страхования и для государственных служащих, проходящих военную и правоохранительную службу в определенных силовых ведомствах, соответственно по аналогии с государственными гражданскими служащими, получающими пенсию на общих основаниях. Помимо прочего решению пенсионного вопроса является содействие страны в повышении рождаемости, а также необходимы меры, которые способны повысить мотивацию самих работников формировать себе пенсионные накопления. Ключевыми условиями реализации предлагаемых мер является преодоление скрытой заработной платы и теневой занятости. Воплощение в реальность взаимосвязанного комплекса мероприятий создаст крепкую систему пенсионного обеспечения Российской Федерации.</w:t>
      </w:r>
    </w:p>
    <w:p w14:paraId="7F7896B1" w14:textId="73469BA0" w:rsidR="630840AF" w:rsidRDefault="630840AF" w:rsidP="630840AF">
      <w:pPr>
        <w:spacing w:line="240" w:lineRule="exact"/>
        <w:ind w:firstLine="360"/>
        <w:jc w:val="both"/>
      </w:pPr>
      <w:r w:rsidRPr="630840AF">
        <w:rPr>
          <w:rFonts w:ascii="Times New Roman" w:eastAsia="Times New Roman" w:hAnsi="Times New Roman" w:cs="Times New Roman"/>
          <w:color w:val="000000" w:themeColor="text1"/>
          <w:sz w:val="24"/>
          <w:szCs w:val="24"/>
        </w:rPr>
        <w:t>Пенсионное обеспечение – это базовая и одна из важных социальных гарантий стабильного развития общества, потому что касается не только интересов нетрудоспособного населения, но и работающего. Считаю, что этот вопрос очень важен и отнестись нужно серьезно, так как на данный момент в России свыше 40 млн человек, которые нуждаются в этой финансовой поддержке.</w:t>
      </w:r>
    </w:p>
    <w:p w14:paraId="2152B276" w14:textId="704674DC" w:rsidR="630840AF" w:rsidRDefault="630840AF" w:rsidP="630840AF">
      <w:pPr>
        <w:spacing w:line="240" w:lineRule="exact"/>
        <w:ind w:firstLine="360"/>
        <w:jc w:val="both"/>
      </w:pPr>
      <w:r w:rsidRPr="630840AF">
        <w:rPr>
          <w:rFonts w:ascii="Times New Roman" w:eastAsia="Times New Roman" w:hAnsi="Times New Roman" w:cs="Times New Roman"/>
          <w:color w:val="000000" w:themeColor="text1"/>
          <w:sz w:val="21"/>
          <w:szCs w:val="21"/>
        </w:rPr>
        <w:t xml:space="preserve"> </w:t>
      </w:r>
    </w:p>
    <w:p w14:paraId="4089F03E" w14:textId="546D8948" w:rsidR="630840AF" w:rsidRDefault="630840AF" w:rsidP="630840AF">
      <w:pPr>
        <w:spacing w:line="240" w:lineRule="exact"/>
        <w:ind w:firstLine="360"/>
        <w:jc w:val="both"/>
      </w:pPr>
      <w:r w:rsidRPr="630840AF">
        <w:rPr>
          <w:rFonts w:ascii="Times New Roman" w:eastAsia="Times New Roman" w:hAnsi="Times New Roman" w:cs="Times New Roman"/>
          <w:color w:val="000000" w:themeColor="text1"/>
          <w:sz w:val="21"/>
          <w:szCs w:val="21"/>
        </w:rPr>
        <w:t xml:space="preserve"> </w:t>
      </w:r>
    </w:p>
    <w:p w14:paraId="51D8F9B2" w14:textId="3DC393EE" w:rsidR="630840AF" w:rsidRDefault="630840AF" w:rsidP="630840AF">
      <w:pPr>
        <w:pStyle w:val="a7"/>
        <w:numPr>
          <w:ilvl w:val="0"/>
          <w:numId w:val="56"/>
        </w:numPr>
        <w:spacing w:line="240" w:lineRule="exact"/>
        <w:jc w:val="both"/>
        <w:rPr>
          <w:sz w:val="22"/>
          <w:szCs w:val="22"/>
        </w:rPr>
      </w:pPr>
      <w:r w:rsidRPr="630840AF">
        <w:rPr>
          <w:rFonts w:ascii="Times New Roman" w:eastAsia="Times New Roman" w:hAnsi="Times New Roman" w:cs="Times New Roman"/>
          <w:color w:val="000000" w:themeColor="text1"/>
          <w:sz w:val="21"/>
          <w:szCs w:val="21"/>
        </w:rPr>
        <w:t xml:space="preserve">Количество пенсионеров в Приморье растет - Общество - Сетевое периодическое издание Ежедневные Новости Владивостока [Электронный ресурс] // Novostivl.ru. – Режим доступа: </w:t>
      </w:r>
      <w:hyperlink r:id="rId140">
        <w:r w:rsidRPr="630840AF">
          <w:rPr>
            <w:rStyle w:val="a4"/>
            <w:rFonts w:ascii="Times New Roman" w:eastAsia="Times New Roman" w:hAnsi="Times New Roman" w:cs="Times New Roman"/>
            <w:color w:val="0563C1"/>
            <w:sz w:val="21"/>
            <w:szCs w:val="21"/>
          </w:rPr>
          <w:t>https://novostivl.ru/msg/26721.htm</w:t>
        </w:r>
      </w:hyperlink>
      <w:r w:rsidRPr="630840AF">
        <w:rPr>
          <w:rFonts w:ascii="Times New Roman" w:eastAsia="Times New Roman" w:hAnsi="Times New Roman" w:cs="Times New Roman"/>
          <w:color w:val="0563C1"/>
          <w:sz w:val="21"/>
          <w:szCs w:val="21"/>
          <w:u w:val="single"/>
        </w:rPr>
        <w:t>.</w:t>
      </w:r>
    </w:p>
    <w:p w14:paraId="097F78DA" w14:textId="32C2CA54" w:rsidR="630840AF" w:rsidRDefault="630840AF" w:rsidP="630840AF">
      <w:pPr>
        <w:pStyle w:val="a7"/>
        <w:numPr>
          <w:ilvl w:val="0"/>
          <w:numId w:val="56"/>
        </w:numPr>
        <w:spacing w:line="240" w:lineRule="exact"/>
        <w:jc w:val="both"/>
        <w:rPr>
          <w:sz w:val="22"/>
          <w:szCs w:val="22"/>
        </w:rPr>
      </w:pPr>
      <w:r w:rsidRPr="630840AF">
        <w:rPr>
          <w:rFonts w:ascii="Times New Roman" w:eastAsia="Times New Roman" w:hAnsi="Times New Roman" w:cs="Times New Roman"/>
          <w:color w:val="000000" w:themeColor="text1"/>
          <w:sz w:val="21"/>
          <w:szCs w:val="21"/>
        </w:rPr>
        <w:t xml:space="preserve">Социально-экономические проблемы пенсионеров в Российской Федерации в переходный период [Электронный ресурс] // Социальная работа: информационно аналитический портал. – Режим доступа: </w:t>
      </w:r>
      <w:hyperlink r:id="rId141">
        <w:r w:rsidRPr="630840AF">
          <w:rPr>
            <w:rStyle w:val="a4"/>
            <w:rFonts w:ascii="Times New Roman" w:eastAsia="Times New Roman" w:hAnsi="Times New Roman" w:cs="Times New Roman"/>
            <w:color w:val="0563C1"/>
            <w:sz w:val="21"/>
            <w:szCs w:val="21"/>
          </w:rPr>
          <w:t>http://soc-work.ru/article/707</w:t>
        </w:r>
      </w:hyperlink>
      <w:r w:rsidRPr="630840AF">
        <w:rPr>
          <w:rFonts w:ascii="Times New Roman" w:eastAsia="Times New Roman" w:hAnsi="Times New Roman" w:cs="Times New Roman"/>
          <w:color w:val="0563C1"/>
          <w:sz w:val="21"/>
          <w:szCs w:val="21"/>
          <w:u w:val="single"/>
        </w:rPr>
        <w:t xml:space="preserve">. </w:t>
      </w:r>
    </w:p>
    <w:p w14:paraId="64CA83D6" w14:textId="1F0148E2" w:rsidR="630840AF" w:rsidRDefault="630840AF" w:rsidP="630840AF">
      <w:pPr>
        <w:pStyle w:val="a7"/>
        <w:numPr>
          <w:ilvl w:val="0"/>
          <w:numId w:val="56"/>
        </w:numPr>
        <w:spacing w:line="240" w:lineRule="exact"/>
        <w:jc w:val="both"/>
        <w:rPr>
          <w:sz w:val="22"/>
          <w:szCs w:val="22"/>
        </w:rPr>
      </w:pPr>
      <w:r w:rsidRPr="630840AF">
        <w:rPr>
          <w:rFonts w:ascii="Times New Roman" w:eastAsia="Times New Roman" w:hAnsi="Times New Roman" w:cs="Times New Roman"/>
          <w:color w:val="000000" w:themeColor="text1"/>
          <w:sz w:val="21"/>
          <w:szCs w:val="21"/>
        </w:rPr>
        <w:t xml:space="preserve">Трунова Н. Н. Проблемы формирования эффективной пенсионной системы России [Электронный ресурс] / Н. Н. Трунова, Б. М. Бакуменко // Социально-экономические явления и процессы. – 2013. - №5. – Режим доступа: </w:t>
      </w:r>
      <w:hyperlink r:id="rId142">
        <w:r w:rsidRPr="630840AF">
          <w:rPr>
            <w:rStyle w:val="a4"/>
            <w:rFonts w:ascii="Times New Roman" w:eastAsia="Times New Roman" w:hAnsi="Times New Roman" w:cs="Times New Roman"/>
            <w:color w:val="0563C1"/>
            <w:sz w:val="21"/>
            <w:szCs w:val="21"/>
          </w:rPr>
          <w:t>https://cyberleninka.ru/article/n/problemy-formirovaniya-effektivnoy-pensionnoy-sistemy-rossii</w:t>
        </w:r>
      </w:hyperlink>
      <w:r w:rsidRPr="630840AF">
        <w:rPr>
          <w:rFonts w:ascii="Times New Roman" w:eastAsia="Times New Roman" w:hAnsi="Times New Roman" w:cs="Times New Roman"/>
          <w:color w:val="0563C1"/>
          <w:sz w:val="21"/>
          <w:szCs w:val="21"/>
          <w:u w:val="single"/>
        </w:rPr>
        <w:t>.</w:t>
      </w:r>
    </w:p>
    <w:p w14:paraId="47E81E81" w14:textId="3E5027C7" w:rsidR="630840AF" w:rsidRDefault="630840AF" w:rsidP="630840AF">
      <w:pPr>
        <w:pStyle w:val="a7"/>
        <w:numPr>
          <w:ilvl w:val="0"/>
          <w:numId w:val="56"/>
        </w:numPr>
        <w:spacing w:line="240" w:lineRule="exact"/>
        <w:jc w:val="both"/>
        <w:rPr>
          <w:sz w:val="22"/>
          <w:szCs w:val="22"/>
        </w:rPr>
      </w:pPr>
      <w:r w:rsidRPr="630840AF">
        <w:rPr>
          <w:rFonts w:ascii="Times New Roman" w:eastAsia="Times New Roman" w:hAnsi="Times New Roman" w:cs="Times New Roman"/>
          <w:color w:val="000000" w:themeColor="text1"/>
          <w:sz w:val="21"/>
          <w:szCs w:val="21"/>
        </w:rPr>
        <w:t>Регионы России. Социально-экономические показатели: стат. сб. / Росстат, 2017. - 1402 с.</w:t>
      </w:r>
    </w:p>
    <w:p w14:paraId="27544C7A" w14:textId="61AA357D" w:rsidR="630840AF" w:rsidRDefault="630840AF" w:rsidP="630840AF">
      <w:pPr>
        <w:shd w:val="clear" w:color="auto" w:fill="FFFFFF" w:themeFill="background1"/>
        <w:spacing w:after="0" w:line="360" w:lineRule="auto"/>
        <w:jc w:val="both"/>
        <w:rPr>
          <w:rFonts w:ascii="Times New Roman" w:eastAsia="Times New Roman" w:hAnsi="Times New Roman" w:cs="Times New Roman"/>
          <w:color w:val="000000" w:themeColor="text1"/>
          <w:sz w:val="24"/>
          <w:szCs w:val="24"/>
          <w:lang w:eastAsia="ru-RU"/>
        </w:rPr>
      </w:pPr>
    </w:p>
    <w:p w14:paraId="472CC082" w14:textId="77777777" w:rsidR="007E1000" w:rsidRDefault="007E1000" w:rsidP="002245D5">
      <w:pPr>
        <w:jc w:val="both"/>
        <w:rPr>
          <w:rFonts w:ascii="Times New Roman" w:hAnsi="Times New Roman" w:cs="Times New Roman"/>
          <w:b/>
          <w:sz w:val="24"/>
          <w:szCs w:val="24"/>
        </w:rPr>
      </w:pPr>
    </w:p>
    <w:p w14:paraId="1C9B1F2D" w14:textId="77777777" w:rsidR="009C350E" w:rsidRDefault="009C350E" w:rsidP="002245D5">
      <w:pPr>
        <w:jc w:val="both"/>
        <w:rPr>
          <w:rFonts w:ascii="Times New Roman" w:hAnsi="Times New Roman" w:cs="Times New Roman"/>
          <w:b/>
          <w:sz w:val="24"/>
          <w:szCs w:val="24"/>
        </w:rPr>
      </w:pPr>
    </w:p>
    <w:p w14:paraId="0607BFEB" w14:textId="77777777" w:rsidR="009C350E" w:rsidRDefault="009C350E" w:rsidP="002245D5">
      <w:pPr>
        <w:jc w:val="both"/>
        <w:rPr>
          <w:rFonts w:ascii="Times New Roman" w:hAnsi="Times New Roman" w:cs="Times New Roman"/>
          <w:b/>
          <w:sz w:val="24"/>
          <w:szCs w:val="24"/>
        </w:rPr>
      </w:pPr>
    </w:p>
    <w:p w14:paraId="725A412E" w14:textId="77777777" w:rsidR="009C350E" w:rsidRDefault="009C350E" w:rsidP="002245D5">
      <w:pPr>
        <w:jc w:val="both"/>
        <w:rPr>
          <w:rFonts w:ascii="Times New Roman" w:hAnsi="Times New Roman" w:cs="Times New Roman"/>
          <w:b/>
          <w:sz w:val="24"/>
          <w:szCs w:val="24"/>
        </w:rPr>
      </w:pPr>
    </w:p>
    <w:p w14:paraId="0B83855D" w14:textId="77777777" w:rsidR="009C350E" w:rsidRDefault="009C350E" w:rsidP="002245D5">
      <w:pPr>
        <w:jc w:val="both"/>
        <w:rPr>
          <w:rFonts w:ascii="Times New Roman" w:hAnsi="Times New Roman" w:cs="Times New Roman"/>
          <w:b/>
          <w:sz w:val="24"/>
          <w:szCs w:val="24"/>
        </w:rPr>
      </w:pPr>
    </w:p>
    <w:p w14:paraId="4F9FF9CE" w14:textId="77777777" w:rsidR="009C350E" w:rsidRDefault="009C350E" w:rsidP="002245D5">
      <w:pPr>
        <w:jc w:val="both"/>
        <w:rPr>
          <w:rFonts w:ascii="Times New Roman" w:hAnsi="Times New Roman" w:cs="Times New Roman"/>
          <w:b/>
          <w:sz w:val="24"/>
          <w:szCs w:val="24"/>
        </w:rPr>
      </w:pPr>
    </w:p>
    <w:p w14:paraId="473F3671" w14:textId="77777777" w:rsidR="009C350E" w:rsidRDefault="009C350E" w:rsidP="002245D5">
      <w:pPr>
        <w:jc w:val="both"/>
        <w:rPr>
          <w:rFonts w:ascii="Times New Roman" w:hAnsi="Times New Roman" w:cs="Times New Roman"/>
          <w:b/>
          <w:sz w:val="24"/>
          <w:szCs w:val="24"/>
        </w:rPr>
      </w:pPr>
    </w:p>
    <w:p w14:paraId="5F186863" w14:textId="77777777" w:rsidR="009C350E" w:rsidRDefault="009C350E" w:rsidP="002245D5">
      <w:pPr>
        <w:jc w:val="both"/>
        <w:rPr>
          <w:rFonts w:ascii="Times New Roman" w:hAnsi="Times New Roman" w:cs="Times New Roman"/>
          <w:b/>
          <w:sz w:val="24"/>
          <w:szCs w:val="24"/>
        </w:rPr>
      </w:pPr>
    </w:p>
    <w:p w14:paraId="466987EA" w14:textId="77777777" w:rsidR="009C350E" w:rsidRDefault="009C350E" w:rsidP="002245D5">
      <w:pPr>
        <w:jc w:val="both"/>
        <w:rPr>
          <w:rFonts w:ascii="Times New Roman" w:hAnsi="Times New Roman" w:cs="Times New Roman"/>
          <w:b/>
          <w:sz w:val="24"/>
          <w:szCs w:val="24"/>
        </w:rPr>
      </w:pPr>
    </w:p>
    <w:p w14:paraId="598FEFB4" w14:textId="77777777" w:rsidR="009C350E" w:rsidRDefault="009C350E" w:rsidP="002245D5">
      <w:pPr>
        <w:jc w:val="both"/>
        <w:rPr>
          <w:rFonts w:ascii="Times New Roman" w:hAnsi="Times New Roman" w:cs="Times New Roman"/>
          <w:b/>
          <w:sz w:val="24"/>
          <w:szCs w:val="24"/>
        </w:rPr>
      </w:pPr>
    </w:p>
    <w:p w14:paraId="01EBA21D" w14:textId="77777777" w:rsidR="009C350E" w:rsidRDefault="009C350E" w:rsidP="002245D5">
      <w:pPr>
        <w:jc w:val="both"/>
        <w:rPr>
          <w:rFonts w:ascii="Times New Roman" w:hAnsi="Times New Roman" w:cs="Times New Roman"/>
          <w:b/>
          <w:sz w:val="24"/>
          <w:szCs w:val="24"/>
        </w:rPr>
      </w:pPr>
    </w:p>
    <w:p w14:paraId="2594D51A" w14:textId="77777777" w:rsidR="009C350E" w:rsidRDefault="009C350E" w:rsidP="009C350E">
      <w:pPr>
        <w:spacing w:line="240" w:lineRule="auto"/>
        <w:ind w:left="709"/>
        <w:rPr>
          <w:rFonts w:ascii="Times New Roman" w:hAnsi="Times New Roman"/>
          <w:sz w:val="24"/>
        </w:rPr>
      </w:pPr>
      <w:r>
        <w:rPr>
          <w:rFonts w:ascii="Times New Roman" w:hAnsi="Times New Roman"/>
          <w:sz w:val="24"/>
        </w:rPr>
        <w:lastRenderedPageBreak/>
        <w:t>Рубрика: Учёт, анализ, аудит и статистика: исследования тенденций и проблем с</w:t>
      </w:r>
      <w:r>
        <w:rPr>
          <w:rFonts w:ascii="Times New Roman" w:hAnsi="Times New Roman"/>
          <w:sz w:val="24"/>
        </w:rPr>
        <w:t>о</w:t>
      </w:r>
      <w:r>
        <w:rPr>
          <w:rFonts w:ascii="Times New Roman" w:hAnsi="Times New Roman"/>
          <w:sz w:val="24"/>
        </w:rPr>
        <w:t>вершенствования</w:t>
      </w:r>
    </w:p>
    <w:p w14:paraId="59BFFBCB" w14:textId="77777777" w:rsidR="009C350E" w:rsidRPr="00AC142E" w:rsidRDefault="009C350E" w:rsidP="009C350E">
      <w:pPr>
        <w:pStyle w:val="a9"/>
        <w:shd w:val="clear" w:color="auto" w:fill="FFFFFF"/>
        <w:spacing w:before="0" w:beforeAutospacing="0" w:after="0" w:afterAutospacing="0" w:line="360" w:lineRule="auto"/>
        <w:ind w:firstLine="708"/>
        <w:contextualSpacing/>
        <w:rPr>
          <w:color w:val="000000" w:themeColor="text1"/>
        </w:rPr>
      </w:pPr>
      <w:r>
        <w:rPr>
          <w:color w:val="000000" w:themeColor="text1"/>
        </w:rPr>
        <w:t>УДК 338.2</w:t>
      </w:r>
    </w:p>
    <w:p w14:paraId="352B812D" w14:textId="77777777" w:rsidR="009C350E" w:rsidRDefault="009C350E" w:rsidP="009C350E">
      <w:pPr>
        <w:spacing w:line="360" w:lineRule="auto"/>
        <w:jc w:val="center"/>
        <w:rPr>
          <w:rFonts w:ascii="Times New Roman" w:hAnsi="Times New Roman"/>
          <w:b/>
          <w:sz w:val="24"/>
        </w:rPr>
      </w:pPr>
      <w:r w:rsidRPr="001B016D">
        <w:rPr>
          <w:rFonts w:ascii="Times New Roman" w:hAnsi="Times New Roman"/>
          <w:b/>
          <w:sz w:val="24"/>
        </w:rPr>
        <w:t>Состав заработной платы, документальное оформление и порядок расчета в Росси</w:t>
      </w:r>
      <w:r w:rsidRPr="001B016D">
        <w:rPr>
          <w:rFonts w:ascii="Times New Roman" w:hAnsi="Times New Roman"/>
          <w:b/>
          <w:sz w:val="24"/>
        </w:rPr>
        <w:t>й</w:t>
      </w:r>
      <w:r w:rsidRPr="001B016D">
        <w:rPr>
          <w:rFonts w:ascii="Times New Roman" w:hAnsi="Times New Roman"/>
          <w:b/>
          <w:sz w:val="24"/>
        </w:rPr>
        <w:t>ской Федерации</w:t>
      </w:r>
    </w:p>
    <w:p w14:paraId="61075A70" w14:textId="77777777" w:rsidR="009C350E" w:rsidRDefault="009C350E" w:rsidP="009C350E">
      <w:pPr>
        <w:spacing w:after="0" w:line="240" w:lineRule="auto"/>
        <w:jc w:val="center"/>
        <w:rPr>
          <w:rFonts w:ascii="Times New Roman" w:hAnsi="Times New Roman"/>
          <w:sz w:val="24"/>
        </w:rPr>
      </w:pPr>
      <w:r>
        <w:rPr>
          <w:rFonts w:ascii="Times New Roman" w:hAnsi="Times New Roman"/>
          <w:sz w:val="24"/>
        </w:rPr>
        <w:t>Козулин Никита Андреевич</w:t>
      </w:r>
    </w:p>
    <w:p w14:paraId="72255247" w14:textId="77777777" w:rsidR="009C350E" w:rsidRDefault="009C350E" w:rsidP="009C350E">
      <w:pPr>
        <w:spacing w:after="0" w:line="240" w:lineRule="auto"/>
        <w:contextualSpacing/>
        <w:jc w:val="center"/>
        <w:rPr>
          <w:rFonts w:ascii="Times New Roman" w:hAnsi="Times New Roman"/>
          <w:sz w:val="24"/>
        </w:rPr>
      </w:pPr>
      <w:r>
        <w:rPr>
          <w:rFonts w:ascii="Times New Roman" w:hAnsi="Times New Roman"/>
          <w:sz w:val="24"/>
        </w:rPr>
        <w:t>Бакалавр</w:t>
      </w:r>
    </w:p>
    <w:p w14:paraId="1CD25499" w14:textId="77777777" w:rsidR="009C350E" w:rsidRPr="008E2C8B" w:rsidRDefault="009C350E" w:rsidP="009C350E">
      <w:pPr>
        <w:spacing w:after="0" w:line="240" w:lineRule="auto"/>
        <w:jc w:val="center"/>
        <w:rPr>
          <w:rFonts w:ascii="Times New Roman" w:hAnsi="Times New Roman"/>
          <w:i/>
          <w:sz w:val="24"/>
        </w:rPr>
      </w:pPr>
      <w:r w:rsidRPr="008E2C8B">
        <w:rPr>
          <w:rFonts w:ascii="Times New Roman" w:hAnsi="Times New Roman"/>
          <w:i/>
          <w:sz w:val="24"/>
        </w:rPr>
        <w:t>Владивостокский государственный университет экономики и сервиса</w:t>
      </w:r>
    </w:p>
    <w:p w14:paraId="4C042D26" w14:textId="77777777" w:rsidR="009C350E" w:rsidRPr="008E2C8B" w:rsidRDefault="009C350E" w:rsidP="009C350E">
      <w:pPr>
        <w:spacing w:after="0" w:line="240" w:lineRule="auto"/>
        <w:jc w:val="center"/>
        <w:rPr>
          <w:rFonts w:ascii="Times New Roman" w:hAnsi="Times New Roman"/>
          <w:i/>
          <w:sz w:val="24"/>
        </w:rPr>
      </w:pPr>
      <w:r w:rsidRPr="008E2C8B">
        <w:rPr>
          <w:rFonts w:ascii="Times New Roman" w:hAnsi="Times New Roman"/>
          <w:i/>
          <w:sz w:val="24"/>
        </w:rPr>
        <w:t>Россия. Владивосток</w:t>
      </w:r>
    </w:p>
    <w:p w14:paraId="5744F427" w14:textId="77777777" w:rsidR="009C350E" w:rsidRPr="001B016D" w:rsidRDefault="009C350E" w:rsidP="009C350E">
      <w:pPr>
        <w:spacing w:after="0" w:line="240" w:lineRule="auto"/>
        <w:jc w:val="center"/>
        <w:rPr>
          <w:rFonts w:ascii="Times New Roman" w:hAnsi="Times New Roman"/>
          <w:sz w:val="24"/>
        </w:rPr>
      </w:pPr>
      <w:r>
        <w:rPr>
          <w:rFonts w:ascii="Times New Roman" w:hAnsi="Times New Roman"/>
          <w:sz w:val="24"/>
          <w:lang w:val="en-US"/>
        </w:rPr>
        <w:t>E</w:t>
      </w:r>
      <w:r w:rsidRPr="001B016D">
        <w:rPr>
          <w:rFonts w:ascii="Times New Roman" w:hAnsi="Times New Roman"/>
          <w:sz w:val="24"/>
        </w:rPr>
        <w:t>-</w:t>
      </w:r>
      <w:r>
        <w:rPr>
          <w:rFonts w:ascii="Times New Roman" w:hAnsi="Times New Roman"/>
          <w:sz w:val="24"/>
          <w:lang w:val="en-US"/>
        </w:rPr>
        <w:t>mail</w:t>
      </w:r>
      <w:r>
        <w:rPr>
          <w:rFonts w:ascii="Times New Roman" w:hAnsi="Times New Roman"/>
          <w:sz w:val="24"/>
        </w:rPr>
        <w:t xml:space="preserve">: </w:t>
      </w:r>
      <w:r>
        <w:rPr>
          <w:rFonts w:ascii="Times New Roman" w:hAnsi="Times New Roman"/>
          <w:sz w:val="24"/>
          <w:lang w:val="en-US"/>
        </w:rPr>
        <w:t>kozulinnikita</w:t>
      </w:r>
      <w:r w:rsidRPr="001B016D">
        <w:rPr>
          <w:rFonts w:ascii="Times New Roman" w:hAnsi="Times New Roman"/>
          <w:sz w:val="24"/>
        </w:rPr>
        <w:t>@</w:t>
      </w:r>
      <w:r>
        <w:rPr>
          <w:rFonts w:ascii="Times New Roman" w:hAnsi="Times New Roman"/>
          <w:sz w:val="24"/>
          <w:lang w:val="en-US"/>
        </w:rPr>
        <w:t>mail</w:t>
      </w:r>
      <w:r w:rsidRPr="001B016D">
        <w:rPr>
          <w:rFonts w:ascii="Times New Roman" w:hAnsi="Times New Roman"/>
          <w:sz w:val="24"/>
        </w:rPr>
        <w:t>.</w:t>
      </w:r>
      <w:r>
        <w:rPr>
          <w:rFonts w:ascii="Times New Roman" w:hAnsi="Times New Roman"/>
          <w:sz w:val="24"/>
          <w:lang w:val="en-US"/>
        </w:rPr>
        <w:t>ru</w:t>
      </w:r>
      <w:r w:rsidRPr="001B016D">
        <w:rPr>
          <w:rFonts w:ascii="Times New Roman" w:hAnsi="Times New Roman"/>
          <w:sz w:val="24"/>
        </w:rPr>
        <w:t xml:space="preserve">; </w:t>
      </w:r>
      <w:r>
        <w:rPr>
          <w:rFonts w:ascii="Times New Roman" w:hAnsi="Times New Roman"/>
          <w:sz w:val="24"/>
        </w:rPr>
        <w:t>Тел: +79149709265</w:t>
      </w:r>
    </w:p>
    <w:p w14:paraId="0B5764D9" w14:textId="77777777" w:rsidR="009C350E" w:rsidRDefault="009C350E" w:rsidP="009C350E">
      <w:pPr>
        <w:spacing w:after="0" w:line="240" w:lineRule="auto"/>
        <w:jc w:val="center"/>
        <w:rPr>
          <w:rFonts w:ascii="Times New Roman" w:hAnsi="Times New Roman"/>
          <w:sz w:val="24"/>
        </w:rPr>
      </w:pPr>
      <w:r>
        <w:rPr>
          <w:rFonts w:ascii="Times New Roman" w:hAnsi="Times New Roman"/>
          <w:sz w:val="24"/>
        </w:rPr>
        <w:t>Ул. Гоголя,41, г. Владивосток, Приморский край, Россия, 690014</w:t>
      </w:r>
    </w:p>
    <w:p w14:paraId="32C482CB" w14:textId="77777777" w:rsidR="009C350E" w:rsidRPr="00944592" w:rsidRDefault="009C350E" w:rsidP="009C350E">
      <w:pPr>
        <w:spacing w:after="0" w:line="240" w:lineRule="auto"/>
        <w:jc w:val="center"/>
        <w:rPr>
          <w:rFonts w:ascii="Times New Roman" w:hAnsi="Times New Roman"/>
          <w:sz w:val="24"/>
        </w:rPr>
      </w:pPr>
    </w:p>
    <w:p w14:paraId="37DA74CC" w14:textId="77777777" w:rsidR="009C350E" w:rsidRPr="00944592" w:rsidRDefault="009C350E" w:rsidP="009C350E">
      <w:pPr>
        <w:ind w:firstLine="708"/>
        <w:jc w:val="both"/>
        <w:rPr>
          <w:rFonts w:ascii="Times New Roman" w:hAnsi="Times New Roman"/>
          <w:i/>
          <w:sz w:val="24"/>
        </w:rPr>
      </w:pPr>
      <w:r w:rsidRPr="00944592">
        <w:rPr>
          <w:rFonts w:ascii="Times New Roman" w:hAnsi="Times New Roman"/>
          <w:i/>
          <w:sz w:val="24"/>
        </w:rPr>
        <w:t>Заработная плата является важным социально-экономическим показателем. Ст</w:t>
      </w:r>
      <w:r w:rsidRPr="00944592">
        <w:rPr>
          <w:rFonts w:ascii="Times New Roman" w:hAnsi="Times New Roman"/>
          <w:i/>
          <w:sz w:val="24"/>
        </w:rPr>
        <w:t>а</w:t>
      </w:r>
      <w:r w:rsidRPr="00944592">
        <w:rPr>
          <w:rFonts w:ascii="Times New Roman" w:hAnsi="Times New Roman"/>
          <w:i/>
          <w:sz w:val="24"/>
        </w:rPr>
        <w:t>тья посвящена анализу воспроизводства рабочей силы посредством зависимости от форм, видов оплаты труда, что подтверждает актуальность рассматриваемой темы. В статье рассмотрены и изуч</w:t>
      </w:r>
      <w:r>
        <w:rPr>
          <w:rFonts w:ascii="Times New Roman" w:hAnsi="Times New Roman"/>
          <w:i/>
          <w:sz w:val="24"/>
        </w:rPr>
        <w:t xml:space="preserve">ены существующие нормы законодательства, классифицированы виды и формы, и </w:t>
      </w:r>
      <w:r w:rsidRPr="00944592">
        <w:rPr>
          <w:rFonts w:ascii="Times New Roman" w:hAnsi="Times New Roman"/>
          <w:i/>
          <w:sz w:val="24"/>
        </w:rPr>
        <w:t>систематизированы подходы</w:t>
      </w:r>
      <w:r>
        <w:rPr>
          <w:rFonts w:ascii="Times New Roman" w:hAnsi="Times New Roman"/>
          <w:i/>
          <w:sz w:val="24"/>
        </w:rPr>
        <w:t xml:space="preserve"> к исчислению зарплаты в разных регионах страны.</w:t>
      </w:r>
    </w:p>
    <w:p w14:paraId="52BF81C9" w14:textId="77777777" w:rsidR="009C350E" w:rsidRPr="00492B50" w:rsidRDefault="009C350E" w:rsidP="009C350E">
      <w:pPr>
        <w:spacing w:line="240" w:lineRule="auto"/>
        <w:ind w:firstLine="709"/>
        <w:jc w:val="both"/>
        <w:rPr>
          <w:rFonts w:ascii="Times New Roman" w:hAnsi="Times New Roman"/>
          <w:i/>
          <w:sz w:val="24"/>
        </w:rPr>
      </w:pPr>
      <w:r w:rsidRPr="008E2C8B">
        <w:rPr>
          <w:rFonts w:ascii="Times New Roman" w:hAnsi="Times New Roman"/>
          <w:b/>
          <w:i/>
          <w:sz w:val="24"/>
        </w:rPr>
        <w:t>Ключевые слова и словосочетания</w:t>
      </w:r>
      <w:r>
        <w:rPr>
          <w:rFonts w:ascii="Times New Roman" w:hAnsi="Times New Roman"/>
          <w:b/>
          <w:i/>
          <w:sz w:val="24"/>
        </w:rPr>
        <w:t xml:space="preserve">: </w:t>
      </w:r>
      <w:r>
        <w:rPr>
          <w:rFonts w:ascii="Times New Roman" w:hAnsi="Times New Roman"/>
          <w:i/>
          <w:sz w:val="24"/>
        </w:rPr>
        <w:t>Россия, заработная плата, минимальный размер оплаты труда, состав, оформление и порядок расчета</w:t>
      </w:r>
      <w:r w:rsidRPr="00492B50">
        <w:rPr>
          <w:rFonts w:ascii="Times New Roman" w:hAnsi="Times New Roman"/>
          <w:i/>
          <w:sz w:val="24"/>
        </w:rPr>
        <w:t>.</w:t>
      </w:r>
    </w:p>
    <w:p w14:paraId="17E2E765" w14:textId="77777777" w:rsidR="009C350E" w:rsidRDefault="009C350E" w:rsidP="009C350E">
      <w:pPr>
        <w:spacing w:line="240" w:lineRule="auto"/>
        <w:ind w:firstLine="709"/>
        <w:jc w:val="both"/>
        <w:rPr>
          <w:rFonts w:ascii="Times New Roman" w:hAnsi="Times New Roman"/>
          <w:b/>
          <w:i/>
          <w:sz w:val="24"/>
          <w:lang w:val="en-US"/>
        </w:rPr>
      </w:pPr>
      <w:r w:rsidRPr="00AC142E">
        <w:rPr>
          <w:rFonts w:ascii="Times New Roman" w:hAnsi="Times New Roman"/>
          <w:b/>
          <w:i/>
          <w:sz w:val="24"/>
          <w:lang w:val="en-US"/>
        </w:rPr>
        <w:t>Wage composition, documentation and calculation procedure in Russian Federation</w:t>
      </w:r>
    </w:p>
    <w:p w14:paraId="76D3CC54" w14:textId="77777777" w:rsidR="009C350E" w:rsidRDefault="009C350E" w:rsidP="009C350E">
      <w:pPr>
        <w:spacing w:line="240" w:lineRule="auto"/>
        <w:ind w:firstLine="708"/>
        <w:jc w:val="both"/>
        <w:rPr>
          <w:rFonts w:ascii="Times New Roman" w:hAnsi="Times New Roman"/>
          <w:i/>
          <w:sz w:val="24"/>
          <w:lang w:val="en-US"/>
        </w:rPr>
      </w:pPr>
      <w:r w:rsidRPr="00492B50">
        <w:rPr>
          <w:rFonts w:ascii="Times New Roman" w:hAnsi="Times New Roman"/>
          <w:i/>
          <w:sz w:val="24"/>
          <w:lang w:val="en-US"/>
        </w:rPr>
        <w:t>Wages are important socio-economic indicators. The article is devoted to the analysis of r</w:t>
      </w:r>
      <w:r w:rsidRPr="00492B50">
        <w:rPr>
          <w:rFonts w:ascii="Times New Roman" w:hAnsi="Times New Roman"/>
          <w:i/>
          <w:sz w:val="24"/>
          <w:lang w:val="en-US"/>
        </w:rPr>
        <w:t>e</w:t>
      </w:r>
      <w:r w:rsidRPr="00492B50">
        <w:rPr>
          <w:rFonts w:ascii="Times New Roman" w:hAnsi="Times New Roman"/>
          <w:i/>
          <w:sz w:val="24"/>
          <w:lang w:val="en-US"/>
        </w:rPr>
        <w:t>production of labor force by means of dependence on forms, types of remuneration, confirming the relevance of t</w:t>
      </w:r>
      <w:r>
        <w:rPr>
          <w:rFonts w:ascii="Times New Roman" w:hAnsi="Times New Roman"/>
          <w:i/>
          <w:sz w:val="24"/>
          <w:lang w:val="en-US"/>
        </w:rPr>
        <w:t>he topic. The article considers,</w:t>
      </w:r>
      <w:r w:rsidRPr="00492B50">
        <w:rPr>
          <w:rFonts w:ascii="Times New Roman" w:hAnsi="Times New Roman"/>
          <w:i/>
          <w:sz w:val="24"/>
          <w:lang w:val="en-US"/>
        </w:rPr>
        <w:t xml:space="preserve"> studies existing norms of legislation, classifies types and forms, and systematizes approaches to the calculation of wages in different regions of the cou</w:t>
      </w:r>
      <w:r w:rsidRPr="00492B50">
        <w:rPr>
          <w:rFonts w:ascii="Times New Roman" w:hAnsi="Times New Roman"/>
          <w:i/>
          <w:sz w:val="24"/>
          <w:lang w:val="en-US"/>
        </w:rPr>
        <w:t>n</w:t>
      </w:r>
      <w:r w:rsidRPr="00492B50">
        <w:rPr>
          <w:rFonts w:ascii="Times New Roman" w:hAnsi="Times New Roman"/>
          <w:i/>
          <w:sz w:val="24"/>
          <w:lang w:val="en-US"/>
        </w:rPr>
        <w:t>try.</w:t>
      </w:r>
    </w:p>
    <w:p w14:paraId="3652AD06" w14:textId="77777777" w:rsidR="009C350E" w:rsidRDefault="009C350E" w:rsidP="009C350E">
      <w:pPr>
        <w:spacing w:line="240" w:lineRule="auto"/>
        <w:ind w:firstLine="709"/>
        <w:jc w:val="both"/>
        <w:rPr>
          <w:rFonts w:ascii="Times New Roman" w:hAnsi="Times New Roman"/>
          <w:i/>
          <w:sz w:val="24"/>
          <w:lang w:val="en-US"/>
        </w:rPr>
      </w:pPr>
      <w:r w:rsidRPr="00C941F3">
        <w:rPr>
          <w:rFonts w:ascii="Times New Roman" w:hAnsi="Times New Roman"/>
          <w:b/>
          <w:i/>
          <w:sz w:val="24"/>
          <w:lang w:val="en-US"/>
        </w:rPr>
        <w:t>Key words</w:t>
      </w:r>
      <w:r w:rsidRPr="00C941F3">
        <w:rPr>
          <w:rFonts w:ascii="Times New Roman" w:hAnsi="Times New Roman"/>
          <w:i/>
          <w:sz w:val="24"/>
          <w:lang w:val="en-US"/>
        </w:rPr>
        <w:t>: Russia, wages, minimum wage, composition, design and calculation procedure</w:t>
      </w:r>
      <w:r>
        <w:rPr>
          <w:rFonts w:ascii="Times New Roman" w:hAnsi="Times New Roman"/>
          <w:i/>
          <w:sz w:val="24"/>
          <w:lang w:val="en-US"/>
        </w:rPr>
        <w:t>.</w:t>
      </w:r>
    </w:p>
    <w:p w14:paraId="1CC4986C" w14:textId="77777777" w:rsidR="009C350E" w:rsidRDefault="009C350E" w:rsidP="009C350E">
      <w:pPr>
        <w:spacing w:after="0" w:line="240" w:lineRule="auto"/>
        <w:jc w:val="both"/>
        <w:rPr>
          <w:rFonts w:ascii="Times New Roman" w:hAnsi="Times New Roman"/>
          <w:sz w:val="24"/>
        </w:rPr>
      </w:pPr>
      <w:r w:rsidRPr="00FD2854">
        <w:rPr>
          <w:rFonts w:ascii="Times New Roman" w:hAnsi="Times New Roman"/>
          <w:sz w:val="24"/>
          <w:lang w:val="en-US"/>
        </w:rPr>
        <w:tab/>
      </w:r>
      <w:r>
        <w:rPr>
          <w:rFonts w:ascii="Times New Roman" w:hAnsi="Times New Roman"/>
          <w:sz w:val="24"/>
        </w:rPr>
        <w:t>В результате экономической деятельности человек получает свою денежную награду, и она выражается в заработной плате. В получении дохода основного большинства людей эта мера вознаграждения, которая играет главную роль, заработная плата имеет очень большой вес. Раздел о заработной плате, а так же его положения и сущности принципиально важный вопрос в экономической теории, который разбирали многие ученые, мыслители в свое время. Это были Адам Смит, Давид Рикардо, Альфред Маршалл, Карл Маркс и многие другие. Но они по своему понимали определение такого понятия как заработная плата. Так Адам Смит определял это слово как цена продаваемого работником покупателю труда, которая сводится к стоимости минимума средств существования, необходимых для работника и его семьи. Это понятие не выбивалось из эпохи Просвещения, революций, которая тогда складывалась в Англии на тот период времени. Есть и иные подходы к понятию заработной платы. Так идеи мыслителей теорий о нерыночной экономики считали, что это доля работника в доходе общества, пропорциональном количеству и качеству его труда. В основном эта мысль базир</w:t>
      </w:r>
      <w:r>
        <w:rPr>
          <w:rFonts w:ascii="Times New Roman" w:hAnsi="Times New Roman"/>
          <w:sz w:val="24"/>
        </w:rPr>
        <w:t>у</w:t>
      </w:r>
      <w:r>
        <w:rPr>
          <w:rFonts w:ascii="Times New Roman" w:hAnsi="Times New Roman"/>
          <w:sz w:val="24"/>
        </w:rPr>
        <w:t xml:space="preserve">ется на положении, высказанным Карлом Марксом в своей работе </w:t>
      </w:r>
      <w:r w:rsidRPr="00D63108">
        <w:rPr>
          <w:rFonts w:ascii="Times New Roman" w:hAnsi="Times New Roman"/>
          <w:sz w:val="24"/>
        </w:rPr>
        <w:t>“</w:t>
      </w:r>
      <w:r>
        <w:rPr>
          <w:rFonts w:ascii="Times New Roman" w:hAnsi="Times New Roman"/>
          <w:sz w:val="24"/>
        </w:rPr>
        <w:t>Критике Готской программы</w:t>
      </w:r>
      <w:r w:rsidRPr="00D63108">
        <w:rPr>
          <w:rFonts w:ascii="Times New Roman" w:hAnsi="Times New Roman"/>
          <w:sz w:val="24"/>
        </w:rPr>
        <w:t>”</w:t>
      </w:r>
      <w:r w:rsidRPr="00457DA7">
        <w:rPr>
          <w:rFonts w:ascii="Times New Roman" w:hAnsi="Times New Roman"/>
          <w:sz w:val="24"/>
        </w:rPr>
        <w:t xml:space="preserve"> [</w:t>
      </w:r>
      <w:r>
        <w:rPr>
          <w:rFonts w:ascii="Times New Roman" w:hAnsi="Times New Roman"/>
          <w:sz w:val="24"/>
        </w:rPr>
        <w:t>1, с. 16]. Нельзя считать данные определения ошибочными, они сами по себе верные, они создавались учеными, которые были преданны своему делу и ставшими известн</w:t>
      </w:r>
      <w:r>
        <w:rPr>
          <w:rFonts w:ascii="Times New Roman" w:hAnsi="Times New Roman"/>
          <w:sz w:val="24"/>
        </w:rPr>
        <w:t>ы</w:t>
      </w:r>
      <w:r>
        <w:rPr>
          <w:rFonts w:ascii="Times New Roman" w:hAnsi="Times New Roman"/>
          <w:sz w:val="24"/>
        </w:rPr>
        <w:t xml:space="preserve">ми на весь мир, своими мыслями и идеями в разных областях знаний, но возможно </w:t>
      </w:r>
      <w:r>
        <w:rPr>
          <w:rFonts w:ascii="Times New Roman" w:hAnsi="Times New Roman"/>
          <w:sz w:val="24"/>
        </w:rPr>
        <w:lastRenderedPageBreak/>
        <w:t>устаре</w:t>
      </w:r>
      <w:r>
        <w:rPr>
          <w:rFonts w:ascii="Times New Roman" w:hAnsi="Times New Roman"/>
          <w:sz w:val="24"/>
        </w:rPr>
        <w:t>в</w:t>
      </w:r>
      <w:r>
        <w:rPr>
          <w:rFonts w:ascii="Times New Roman" w:hAnsi="Times New Roman"/>
          <w:sz w:val="24"/>
        </w:rPr>
        <w:t>шими, с учетом того времени, когда они были созданы и трактуемыми такими словами, что только сами авторы могли в полной мере понять эти высказывания.</w:t>
      </w:r>
    </w:p>
    <w:p w14:paraId="3D182786" w14:textId="77777777" w:rsidR="009C350E" w:rsidRDefault="009C350E" w:rsidP="009C350E">
      <w:pPr>
        <w:spacing w:after="0" w:line="240" w:lineRule="auto"/>
        <w:ind w:firstLine="708"/>
        <w:jc w:val="both"/>
        <w:rPr>
          <w:rFonts w:ascii="Times New Roman" w:hAnsi="Times New Roman"/>
          <w:color w:val="000000"/>
          <w:sz w:val="24"/>
          <w:szCs w:val="24"/>
          <w:lang w:eastAsia="ru-RU"/>
        </w:rPr>
      </w:pPr>
      <w:r>
        <w:rPr>
          <w:rFonts w:ascii="Times New Roman" w:hAnsi="Times New Roman"/>
          <w:sz w:val="24"/>
        </w:rPr>
        <w:t>В настоящее время у понятия заработной платы существует множества трактовок, но хотелось выделить только несколько из них. Заработная плата- это цена, которая выплачив</w:t>
      </w:r>
      <w:r>
        <w:rPr>
          <w:rFonts w:ascii="Times New Roman" w:hAnsi="Times New Roman"/>
          <w:sz w:val="24"/>
        </w:rPr>
        <w:t>а</w:t>
      </w:r>
      <w:r>
        <w:rPr>
          <w:rFonts w:ascii="Times New Roman" w:hAnsi="Times New Roman"/>
          <w:sz w:val="24"/>
        </w:rPr>
        <w:t>ется за использование его труда. В российской практике закрепленной законодательно в тр</w:t>
      </w:r>
      <w:r>
        <w:rPr>
          <w:rFonts w:ascii="Times New Roman" w:hAnsi="Times New Roman"/>
          <w:sz w:val="24"/>
        </w:rPr>
        <w:t>у</w:t>
      </w:r>
      <w:r>
        <w:rPr>
          <w:rFonts w:ascii="Times New Roman" w:hAnsi="Times New Roman"/>
          <w:sz w:val="24"/>
        </w:rPr>
        <w:t>довом кодексе РФ выделяют определение “</w:t>
      </w:r>
      <w:r w:rsidRPr="001D40D2">
        <w:rPr>
          <w:rFonts w:ascii="Times New Roman" w:hAnsi="Times New Roman"/>
          <w:color w:val="000000"/>
          <w:sz w:val="24"/>
          <w:szCs w:val="24"/>
          <w:lang w:eastAsia="ru-RU"/>
        </w:rPr>
        <w:t>Заработная плата (оплата</w:t>
      </w:r>
      <w:r>
        <w:rPr>
          <w:rFonts w:ascii="Times New Roman" w:hAnsi="Times New Roman"/>
          <w:color w:val="000000"/>
          <w:sz w:val="24"/>
          <w:szCs w:val="24"/>
          <w:lang w:eastAsia="ru-RU"/>
        </w:rPr>
        <w:t xml:space="preserve"> </w:t>
      </w:r>
      <w:r w:rsidRPr="001D40D2">
        <w:rPr>
          <w:rFonts w:ascii="Times New Roman" w:hAnsi="Times New Roman"/>
          <w:color w:val="000000"/>
          <w:sz w:val="24"/>
          <w:szCs w:val="24"/>
          <w:lang w:eastAsia="ru-RU"/>
        </w:rPr>
        <w:t>труда работника) - во</w:t>
      </w:r>
      <w:r w:rsidRPr="001D40D2">
        <w:rPr>
          <w:rFonts w:ascii="Times New Roman" w:hAnsi="Times New Roman"/>
          <w:color w:val="000000"/>
          <w:sz w:val="24"/>
          <w:szCs w:val="24"/>
          <w:lang w:eastAsia="ru-RU"/>
        </w:rPr>
        <w:t>з</w:t>
      </w:r>
      <w:r w:rsidRPr="001D40D2">
        <w:rPr>
          <w:rFonts w:ascii="Times New Roman" w:hAnsi="Times New Roman"/>
          <w:color w:val="000000"/>
          <w:sz w:val="24"/>
          <w:szCs w:val="24"/>
          <w:lang w:eastAsia="ru-RU"/>
        </w:rPr>
        <w:t>награждение за труд в зависимости от квалификации работника, сложности, количества, к</w:t>
      </w:r>
      <w:r w:rsidRPr="001D40D2">
        <w:rPr>
          <w:rFonts w:ascii="Times New Roman" w:hAnsi="Times New Roman"/>
          <w:color w:val="000000"/>
          <w:sz w:val="24"/>
          <w:szCs w:val="24"/>
          <w:lang w:eastAsia="ru-RU"/>
        </w:rPr>
        <w:t>а</w:t>
      </w:r>
      <w:r w:rsidRPr="001D40D2">
        <w:rPr>
          <w:rFonts w:ascii="Times New Roman" w:hAnsi="Times New Roman"/>
          <w:color w:val="000000"/>
          <w:sz w:val="24"/>
          <w:szCs w:val="24"/>
          <w:lang w:eastAsia="ru-RU"/>
        </w:rPr>
        <w:t>чества и условий выполняемой работы, а</w:t>
      </w:r>
      <w:r>
        <w:rPr>
          <w:rFonts w:ascii="Times New Roman" w:hAnsi="Times New Roman"/>
          <w:color w:val="000000"/>
          <w:sz w:val="24"/>
          <w:szCs w:val="24"/>
          <w:lang w:eastAsia="ru-RU"/>
        </w:rPr>
        <w:t xml:space="preserve"> также компенсационные выплаты … </w:t>
      </w:r>
      <w:r w:rsidRPr="001D40D2">
        <w:rPr>
          <w:rFonts w:ascii="Times New Roman" w:hAnsi="Times New Roman"/>
          <w:color w:val="000000"/>
          <w:sz w:val="24"/>
          <w:szCs w:val="24"/>
          <w:lang w:eastAsia="ru-RU"/>
        </w:rPr>
        <w:t>и стимулир</w:t>
      </w:r>
      <w:r w:rsidRPr="001D40D2">
        <w:rPr>
          <w:rFonts w:ascii="Times New Roman" w:hAnsi="Times New Roman"/>
          <w:color w:val="000000"/>
          <w:sz w:val="24"/>
          <w:szCs w:val="24"/>
          <w:lang w:eastAsia="ru-RU"/>
        </w:rPr>
        <w:t>у</w:t>
      </w:r>
      <w:r w:rsidRPr="001D40D2">
        <w:rPr>
          <w:rFonts w:ascii="Times New Roman" w:hAnsi="Times New Roman"/>
          <w:color w:val="000000"/>
          <w:sz w:val="24"/>
          <w:szCs w:val="24"/>
          <w:lang w:eastAsia="ru-RU"/>
        </w:rPr>
        <w:t>ющие выплаты (доплаты и надбавки стимулирующего характера, премии и иные поощр</w:t>
      </w:r>
      <w:r w:rsidRPr="001D40D2">
        <w:rPr>
          <w:rFonts w:ascii="Times New Roman" w:hAnsi="Times New Roman"/>
          <w:color w:val="000000"/>
          <w:sz w:val="24"/>
          <w:szCs w:val="24"/>
          <w:lang w:eastAsia="ru-RU"/>
        </w:rPr>
        <w:t>и</w:t>
      </w:r>
      <w:r w:rsidRPr="001D40D2">
        <w:rPr>
          <w:rFonts w:ascii="Times New Roman" w:hAnsi="Times New Roman"/>
          <w:color w:val="000000"/>
          <w:sz w:val="24"/>
          <w:szCs w:val="24"/>
          <w:lang w:eastAsia="ru-RU"/>
        </w:rPr>
        <w:t>тельные выплаты)”</w:t>
      </w:r>
      <w:r w:rsidRPr="00C57600">
        <w:rPr>
          <w:rFonts w:ascii="Times New Roman" w:hAnsi="Times New Roman"/>
          <w:color w:val="000000"/>
          <w:sz w:val="24"/>
          <w:szCs w:val="24"/>
          <w:lang w:eastAsia="ru-RU"/>
        </w:rPr>
        <w:t xml:space="preserve"> [2</w:t>
      </w:r>
      <w:r>
        <w:rPr>
          <w:rFonts w:ascii="Times New Roman" w:hAnsi="Times New Roman"/>
          <w:color w:val="000000"/>
          <w:sz w:val="24"/>
          <w:szCs w:val="24"/>
          <w:lang w:eastAsia="ru-RU"/>
        </w:rPr>
        <w:t>, ст.129</w:t>
      </w:r>
      <w:r w:rsidRPr="00C57600">
        <w:rPr>
          <w:rFonts w:ascii="Times New Roman" w:hAnsi="Times New Roman"/>
          <w:color w:val="000000"/>
          <w:sz w:val="24"/>
          <w:szCs w:val="24"/>
          <w:lang w:eastAsia="ru-RU"/>
        </w:rPr>
        <w:t>]</w:t>
      </w:r>
      <w:r w:rsidRPr="001D40D2">
        <w:rPr>
          <w:rFonts w:ascii="Times New Roman" w:hAnsi="Times New Roman"/>
          <w:color w:val="000000"/>
          <w:sz w:val="24"/>
          <w:szCs w:val="24"/>
          <w:lang w:eastAsia="ru-RU"/>
        </w:rPr>
        <w:t>.</w:t>
      </w:r>
      <w:r>
        <w:rPr>
          <w:rFonts w:ascii="Times New Roman" w:hAnsi="Times New Roman"/>
          <w:color w:val="000000"/>
          <w:sz w:val="24"/>
          <w:szCs w:val="24"/>
          <w:lang w:eastAsia="ru-RU"/>
        </w:rPr>
        <w:t xml:space="preserve"> Ее величина чаще всего определяется рынком труда, то есть спросом и предложением на рабочую силу. Функциями заработной платы в социальной жи</w:t>
      </w:r>
      <w:r>
        <w:rPr>
          <w:rFonts w:ascii="Times New Roman" w:hAnsi="Times New Roman"/>
          <w:color w:val="000000"/>
          <w:sz w:val="24"/>
          <w:szCs w:val="24"/>
          <w:lang w:eastAsia="ru-RU"/>
        </w:rPr>
        <w:t>з</w:t>
      </w:r>
      <w:r>
        <w:rPr>
          <w:rFonts w:ascii="Times New Roman" w:hAnsi="Times New Roman"/>
          <w:color w:val="000000"/>
          <w:sz w:val="24"/>
          <w:szCs w:val="24"/>
          <w:lang w:eastAsia="ru-RU"/>
        </w:rPr>
        <w:t>ни можно назвать, воспроизводственную, стимулирующую, учетно- и ресурсно- распредел</w:t>
      </w:r>
      <w:r>
        <w:rPr>
          <w:rFonts w:ascii="Times New Roman" w:hAnsi="Times New Roman"/>
          <w:color w:val="000000"/>
          <w:sz w:val="24"/>
          <w:szCs w:val="24"/>
          <w:lang w:eastAsia="ru-RU"/>
        </w:rPr>
        <w:t>и</w:t>
      </w:r>
      <w:r>
        <w:rPr>
          <w:rFonts w:ascii="Times New Roman" w:hAnsi="Times New Roman"/>
          <w:color w:val="000000"/>
          <w:sz w:val="24"/>
          <w:szCs w:val="24"/>
          <w:lang w:eastAsia="ru-RU"/>
        </w:rPr>
        <w:t xml:space="preserve">тельную и формирование платежеспособного спроса. </w:t>
      </w:r>
    </w:p>
    <w:p w14:paraId="62B113AC" w14:textId="77777777" w:rsidR="009C350E" w:rsidRPr="00756271"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Воспроизводственная функция заключается в создании условий для работника и его семьи всеми благами для воспроизводства рабочей силы. Близко связана с закрепленным на законодательном уровне минимальным размером заработной платы. Стимулирующая функция складывается из ситуации, что при улучшении результатов деятельности на произво</w:t>
      </w:r>
      <w:r>
        <w:rPr>
          <w:rFonts w:ascii="Times New Roman" w:hAnsi="Times New Roman"/>
          <w:color w:val="000000"/>
          <w:sz w:val="24"/>
          <w:szCs w:val="24"/>
          <w:lang w:eastAsia="ru-RU"/>
        </w:rPr>
        <w:t>д</w:t>
      </w:r>
      <w:r>
        <w:rPr>
          <w:rFonts w:ascii="Times New Roman" w:hAnsi="Times New Roman"/>
          <w:color w:val="000000"/>
          <w:sz w:val="24"/>
          <w:szCs w:val="24"/>
          <w:lang w:eastAsia="ru-RU"/>
        </w:rPr>
        <w:t>стве работник получает большие средства для существования и он должен быть в этом заи</w:t>
      </w:r>
      <w:r>
        <w:rPr>
          <w:rFonts w:ascii="Times New Roman" w:hAnsi="Times New Roman"/>
          <w:color w:val="000000"/>
          <w:sz w:val="24"/>
          <w:szCs w:val="24"/>
          <w:lang w:eastAsia="ru-RU"/>
        </w:rPr>
        <w:t>н</w:t>
      </w:r>
      <w:r>
        <w:rPr>
          <w:rFonts w:ascii="Times New Roman" w:hAnsi="Times New Roman"/>
          <w:color w:val="000000"/>
          <w:sz w:val="24"/>
          <w:szCs w:val="24"/>
          <w:lang w:eastAsia="ru-RU"/>
        </w:rPr>
        <w:t>тересован. Учетно-распределительная функция выполняется как доля в общем вкладе в труде при распределении фонда потребления. Ресурсно-распределительная функция позволяет правильно расположить ресурсы труда по территории страны. Функция формирования пл</w:t>
      </w:r>
      <w:r>
        <w:rPr>
          <w:rFonts w:ascii="Times New Roman" w:hAnsi="Times New Roman"/>
          <w:color w:val="000000"/>
          <w:sz w:val="24"/>
          <w:szCs w:val="24"/>
          <w:lang w:eastAsia="ru-RU"/>
        </w:rPr>
        <w:t>а</w:t>
      </w:r>
      <w:r>
        <w:rPr>
          <w:rFonts w:ascii="Times New Roman" w:hAnsi="Times New Roman"/>
          <w:color w:val="000000"/>
          <w:sz w:val="24"/>
          <w:szCs w:val="24"/>
          <w:lang w:eastAsia="ru-RU"/>
        </w:rPr>
        <w:t>тежеспособного спроса позволяет связать такие экономические понятия как спрос и прои</w:t>
      </w:r>
      <w:r>
        <w:rPr>
          <w:rFonts w:ascii="Times New Roman" w:hAnsi="Times New Roman"/>
          <w:color w:val="000000"/>
          <w:sz w:val="24"/>
          <w:szCs w:val="24"/>
          <w:lang w:eastAsia="ru-RU"/>
        </w:rPr>
        <w:t>з</w:t>
      </w:r>
      <w:r>
        <w:rPr>
          <w:rFonts w:ascii="Times New Roman" w:hAnsi="Times New Roman"/>
          <w:color w:val="000000"/>
          <w:sz w:val="24"/>
          <w:szCs w:val="24"/>
          <w:lang w:eastAsia="ru-RU"/>
        </w:rPr>
        <w:t>водство потребительских товаров. Эта функция складывается под действием цен, потребн</w:t>
      </w:r>
      <w:r>
        <w:rPr>
          <w:rFonts w:ascii="Times New Roman" w:hAnsi="Times New Roman"/>
          <w:color w:val="000000"/>
          <w:sz w:val="24"/>
          <w:szCs w:val="24"/>
          <w:lang w:eastAsia="ru-RU"/>
        </w:rPr>
        <w:t>о</w:t>
      </w:r>
      <w:r>
        <w:rPr>
          <w:rFonts w:ascii="Times New Roman" w:hAnsi="Times New Roman"/>
          <w:color w:val="000000"/>
          <w:sz w:val="24"/>
          <w:szCs w:val="24"/>
          <w:lang w:eastAsia="ru-RU"/>
        </w:rPr>
        <w:t>стей, доходов населения и заработная плата в таких условиях определяет некоторые пропо</w:t>
      </w:r>
      <w:r>
        <w:rPr>
          <w:rFonts w:ascii="Times New Roman" w:hAnsi="Times New Roman"/>
          <w:color w:val="000000"/>
          <w:sz w:val="24"/>
          <w:szCs w:val="24"/>
          <w:lang w:eastAsia="ru-RU"/>
        </w:rPr>
        <w:t>р</w:t>
      </w:r>
      <w:r>
        <w:rPr>
          <w:rFonts w:ascii="Times New Roman" w:hAnsi="Times New Roman"/>
          <w:color w:val="000000"/>
          <w:sz w:val="24"/>
          <w:szCs w:val="24"/>
          <w:lang w:eastAsia="ru-RU"/>
        </w:rPr>
        <w:t>ции на рынке товаров.</w:t>
      </w:r>
      <w:r w:rsidRPr="00257590">
        <w:rPr>
          <w:rFonts w:ascii="Times New Roman" w:hAnsi="Times New Roman"/>
          <w:color w:val="000000"/>
          <w:sz w:val="24"/>
          <w:szCs w:val="24"/>
          <w:lang w:eastAsia="ru-RU"/>
        </w:rPr>
        <w:t xml:space="preserve"> </w:t>
      </w:r>
      <w:r w:rsidRPr="00756271">
        <w:rPr>
          <w:rFonts w:ascii="Times New Roman" w:hAnsi="Times New Roman"/>
          <w:color w:val="000000"/>
          <w:sz w:val="24"/>
          <w:szCs w:val="24"/>
          <w:lang w:eastAsia="ru-RU"/>
        </w:rPr>
        <w:t xml:space="preserve">[3, </w:t>
      </w:r>
      <w:r>
        <w:rPr>
          <w:rFonts w:ascii="Times New Roman" w:hAnsi="Times New Roman"/>
          <w:color w:val="000000"/>
          <w:sz w:val="24"/>
          <w:szCs w:val="24"/>
          <w:lang w:val="en-US" w:eastAsia="ru-RU"/>
        </w:rPr>
        <w:t>c</w:t>
      </w:r>
      <w:r w:rsidRPr="00756271">
        <w:rPr>
          <w:rFonts w:ascii="Times New Roman" w:hAnsi="Times New Roman"/>
          <w:color w:val="000000"/>
          <w:sz w:val="24"/>
          <w:szCs w:val="24"/>
          <w:lang w:eastAsia="ru-RU"/>
        </w:rPr>
        <w:t>. 156]</w:t>
      </w:r>
    </w:p>
    <w:p w14:paraId="3E4C9F13"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Уровень ставок на заработную плату так же подчиняется закону спроса и предлож</w:t>
      </w:r>
      <w:r>
        <w:rPr>
          <w:rFonts w:ascii="Times New Roman" w:hAnsi="Times New Roman"/>
          <w:color w:val="000000"/>
          <w:sz w:val="24"/>
          <w:szCs w:val="24"/>
          <w:lang w:eastAsia="ru-RU"/>
        </w:rPr>
        <w:t>е</w:t>
      </w:r>
      <w:r>
        <w:rPr>
          <w:rFonts w:ascii="Times New Roman" w:hAnsi="Times New Roman"/>
          <w:color w:val="000000"/>
          <w:sz w:val="24"/>
          <w:szCs w:val="24"/>
          <w:lang w:eastAsia="ru-RU"/>
        </w:rPr>
        <w:t>ния, он проявляется в том, что спрос на рабочую силу с низкой заработной платой будет больше, чем на работников с такой же квалификацией, но большей стоимостью заработной платы. Закон предложения представляется в том что количество рабочих согласных на ни</w:t>
      </w:r>
      <w:r>
        <w:rPr>
          <w:rFonts w:ascii="Times New Roman" w:hAnsi="Times New Roman"/>
          <w:color w:val="000000"/>
          <w:sz w:val="24"/>
          <w:szCs w:val="24"/>
          <w:lang w:eastAsia="ru-RU"/>
        </w:rPr>
        <w:t>з</w:t>
      </w:r>
      <w:r>
        <w:rPr>
          <w:rFonts w:ascii="Times New Roman" w:hAnsi="Times New Roman"/>
          <w:color w:val="000000"/>
          <w:sz w:val="24"/>
          <w:szCs w:val="24"/>
          <w:lang w:eastAsia="ru-RU"/>
        </w:rPr>
        <w:t xml:space="preserve">кую заработную плату меньше, чем тех же людей, но претендующих на большую с той же квалификацией. </w:t>
      </w:r>
    </w:p>
    <w:p w14:paraId="1C7F83D5"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В основном различают три базовых компонента в создании оплаты труда:</w:t>
      </w:r>
    </w:p>
    <w:p w14:paraId="62F13361"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1 Техническое нормирование-связан с установкой определенных норм труда (выработки, о</w:t>
      </w:r>
      <w:r>
        <w:rPr>
          <w:rFonts w:ascii="Times New Roman" w:hAnsi="Times New Roman"/>
          <w:color w:val="000000"/>
          <w:sz w:val="24"/>
          <w:szCs w:val="24"/>
          <w:lang w:eastAsia="ru-RU"/>
        </w:rPr>
        <w:t>б</w:t>
      </w:r>
      <w:r>
        <w:rPr>
          <w:rFonts w:ascii="Times New Roman" w:hAnsi="Times New Roman"/>
          <w:color w:val="000000"/>
          <w:sz w:val="24"/>
          <w:szCs w:val="24"/>
          <w:lang w:eastAsia="ru-RU"/>
        </w:rPr>
        <w:t>служивания, времени, численности), для оценивания затрат на труд при выполнении работы. Используется для определения расценок, плата за единицу труда.</w:t>
      </w:r>
    </w:p>
    <w:p w14:paraId="5A4D087F"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2 Тарифное нормирование-система, состоящая из тарифных сеток, тарифных ставок, окл</w:t>
      </w:r>
      <w:r>
        <w:rPr>
          <w:rFonts w:ascii="Times New Roman" w:hAnsi="Times New Roman"/>
          <w:color w:val="000000"/>
          <w:sz w:val="24"/>
          <w:szCs w:val="24"/>
          <w:lang w:eastAsia="ru-RU"/>
        </w:rPr>
        <w:t>а</w:t>
      </w:r>
      <w:r>
        <w:rPr>
          <w:rFonts w:ascii="Times New Roman" w:hAnsi="Times New Roman"/>
          <w:color w:val="000000"/>
          <w:sz w:val="24"/>
          <w:szCs w:val="24"/>
          <w:lang w:eastAsia="ru-RU"/>
        </w:rPr>
        <w:t>дов, надбавок и доплат. Эта система дает возможность количественно оценить качество р</w:t>
      </w:r>
      <w:r>
        <w:rPr>
          <w:rFonts w:ascii="Times New Roman" w:hAnsi="Times New Roman"/>
          <w:color w:val="000000"/>
          <w:sz w:val="24"/>
          <w:szCs w:val="24"/>
          <w:lang w:eastAsia="ru-RU"/>
        </w:rPr>
        <w:t>а</w:t>
      </w:r>
      <w:r>
        <w:rPr>
          <w:rFonts w:ascii="Times New Roman" w:hAnsi="Times New Roman"/>
          <w:color w:val="000000"/>
          <w:sz w:val="24"/>
          <w:szCs w:val="24"/>
          <w:lang w:eastAsia="ru-RU"/>
        </w:rPr>
        <w:t>боты сотрудника.</w:t>
      </w:r>
    </w:p>
    <w:p w14:paraId="584BDE6E"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 Формы и системы оплаты труда- способ применения норм труда и тарифной системы для расчета заработной платы с определенными особенностями. </w:t>
      </w:r>
      <w:r w:rsidRPr="00756271">
        <w:rPr>
          <w:rFonts w:ascii="Times New Roman" w:hAnsi="Times New Roman"/>
          <w:color w:val="000000"/>
          <w:sz w:val="24"/>
          <w:szCs w:val="24"/>
          <w:lang w:eastAsia="ru-RU"/>
        </w:rPr>
        <w:t xml:space="preserve">[3, </w:t>
      </w:r>
      <w:r>
        <w:rPr>
          <w:rFonts w:ascii="Times New Roman" w:hAnsi="Times New Roman"/>
          <w:color w:val="000000"/>
          <w:sz w:val="24"/>
          <w:szCs w:val="24"/>
          <w:lang w:val="en-US" w:eastAsia="ru-RU"/>
        </w:rPr>
        <w:t>c</w:t>
      </w:r>
      <w:r w:rsidRPr="00756271">
        <w:rPr>
          <w:rFonts w:ascii="Times New Roman" w:hAnsi="Times New Roman"/>
          <w:color w:val="000000"/>
          <w:sz w:val="24"/>
          <w:szCs w:val="24"/>
          <w:lang w:eastAsia="ru-RU"/>
        </w:rPr>
        <w:t>. 161]</w:t>
      </w:r>
    </w:p>
    <w:p w14:paraId="71A10A2F"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Тарифная система играет большую роль в начислении заработной платы. Она позв</w:t>
      </w:r>
      <w:r>
        <w:rPr>
          <w:rFonts w:ascii="Times New Roman" w:hAnsi="Times New Roman"/>
          <w:color w:val="000000"/>
          <w:sz w:val="24"/>
          <w:szCs w:val="24"/>
          <w:lang w:eastAsia="ru-RU"/>
        </w:rPr>
        <w:t>о</w:t>
      </w:r>
      <w:r>
        <w:rPr>
          <w:rFonts w:ascii="Times New Roman" w:hAnsi="Times New Roman"/>
          <w:color w:val="000000"/>
          <w:sz w:val="24"/>
          <w:szCs w:val="24"/>
          <w:lang w:eastAsia="ru-RU"/>
        </w:rPr>
        <w:t>ляет учесть различные квалификацию персонала, сложность, условия работы, где вся эта р</w:t>
      </w:r>
      <w:r>
        <w:rPr>
          <w:rFonts w:ascii="Times New Roman" w:hAnsi="Times New Roman"/>
          <w:color w:val="000000"/>
          <w:sz w:val="24"/>
          <w:szCs w:val="24"/>
          <w:lang w:eastAsia="ru-RU"/>
        </w:rPr>
        <w:t>а</w:t>
      </w:r>
      <w:r>
        <w:rPr>
          <w:rFonts w:ascii="Times New Roman" w:hAnsi="Times New Roman"/>
          <w:color w:val="000000"/>
          <w:sz w:val="24"/>
          <w:szCs w:val="24"/>
          <w:lang w:eastAsia="ru-RU"/>
        </w:rPr>
        <w:t>бота происходит. Ее элементами являются районные коэффициенты, тарифные сетки, ставки, тарифно-квалификационный справочник. С помощью этого справочника сравниваются ра</w:t>
      </w:r>
      <w:r>
        <w:rPr>
          <w:rFonts w:ascii="Times New Roman" w:hAnsi="Times New Roman"/>
          <w:color w:val="000000"/>
          <w:sz w:val="24"/>
          <w:szCs w:val="24"/>
          <w:lang w:eastAsia="ru-RU"/>
        </w:rPr>
        <w:t>з</w:t>
      </w:r>
      <w:r>
        <w:rPr>
          <w:rFonts w:ascii="Times New Roman" w:hAnsi="Times New Roman"/>
          <w:color w:val="000000"/>
          <w:sz w:val="24"/>
          <w:szCs w:val="24"/>
          <w:lang w:eastAsia="ru-RU"/>
        </w:rPr>
        <w:t>ные виды работ по сложности и нужной квалификации рабочих. Но он носит только рек</w:t>
      </w:r>
      <w:r>
        <w:rPr>
          <w:rFonts w:ascii="Times New Roman" w:hAnsi="Times New Roman"/>
          <w:color w:val="000000"/>
          <w:sz w:val="24"/>
          <w:szCs w:val="24"/>
          <w:lang w:eastAsia="ru-RU"/>
        </w:rPr>
        <w:t>о</w:t>
      </w:r>
      <w:r>
        <w:rPr>
          <w:rFonts w:ascii="Times New Roman" w:hAnsi="Times New Roman"/>
          <w:color w:val="000000"/>
          <w:sz w:val="24"/>
          <w:szCs w:val="24"/>
          <w:lang w:eastAsia="ru-RU"/>
        </w:rPr>
        <w:t>мендательный характер и предприятие в состоянии вносить поправки с учетом важности р</w:t>
      </w:r>
      <w:r>
        <w:rPr>
          <w:rFonts w:ascii="Times New Roman" w:hAnsi="Times New Roman"/>
          <w:color w:val="000000"/>
          <w:sz w:val="24"/>
          <w:szCs w:val="24"/>
          <w:lang w:eastAsia="ru-RU"/>
        </w:rPr>
        <w:t>а</w:t>
      </w:r>
      <w:r>
        <w:rPr>
          <w:rFonts w:ascii="Times New Roman" w:hAnsi="Times New Roman"/>
          <w:color w:val="000000"/>
          <w:sz w:val="24"/>
          <w:szCs w:val="24"/>
          <w:lang w:eastAsia="ru-RU"/>
        </w:rPr>
        <w:t xml:space="preserve">бот. </w:t>
      </w:r>
    </w:p>
    <w:p w14:paraId="4A10A050"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Тарифная ставка определяет сумму заработной платы различных групп, на единицу времени (часовые, дневные, месячные). При расчете заработной платы является базовой нормативной величиной ее определения. Зависит от вида работы, где происходит деятел</w:t>
      </w:r>
      <w:r>
        <w:rPr>
          <w:rFonts w:ascii="Times New Roman" w:hAnsi="Times New Roman"/>
          <w:color w:val="000000"/>
          <w:sz w:val="24"/>
          <w:szCs w:val="24"/>
          <w:lang w:eastAsia="ru-RU"/>
        </w:rPr>
        <w:t>ь</w:t>
      </w:r>
      <w:r>
        <w:rPr>
          <w:rFonts w:ascii="Times New Roman" w:hAnsi="Times New Roman"/>
          <w:color w:val="000000"/>
          <w:sz w:val="24"/>
          <w:szCs w:val="24"/>
          <w:lang w:eastAsia="ru-RU"/>
        </w:rPr>
        <w:t xml:space="preserve">ность предприятия. Например: у рабочего цеха применяется дневной учет тарифной ставки, так как у него есть определенная дневная норма выработки, которую он должен </w:t>
      </w:r>
      <w:r>
        <w:rPr>
          <w:rFonts w:ascii="Times New Roman" w:hAnsi="Times New Roman"/>
          <w:color w:val="000000"/>
          <w:sz w:val="24"/>
          <w:szCs w:val="24"/>
          <w:lang w:eastAsia="ru-RU"/>
        </w:rPr>
        <w:lastRenderedPageBreak/>
        <w:t>достигнуть. У уборщицы или кладовщика будет месячная тарифная ставка по такой же аналогии. В орг</w:t>
      </w:r>
      <w:r>
        <w:rPr>
          <w:rFonts w:ascii="Times New Roman" w:hAnsi="Times New Roman"/>
          <w:color w:val="000000"/>
          <w:sz w:val="24"/>
          <w:szCs w:val="24"/>
          <w:lang w:eastAsia="ru-RU"/>
        </w:rPr>
        <w:t>а</w:t>
      </w:r>
      <w:r>
        <w:rPr>
          <w:rFonts w:ascii="Times New Roman" w:hAnsi="Times New Roman"/>
          <w:color w:val="000000"/>
          <w:sz w:val="24"/>
          <w:szCs w:val="24"/>
          <w:lang w:eastAsia="ru-RU"/>
        </w:rPr>
        <w:t xml:space="preserve">низациях тарифная ставка служит инструментов дифференциации и регулирования уровня платы за труд работников зависящей от отрасли, напряженности и угрозы для служащего. </w:t>
      </w:r>
    </w:p>
    <w:p w14:paraId="7AE304D6" w14:textId="77777777" w:rsidR="009C350E"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Предприятие могут использовать и бестарифную систему, определяющуюся в пр</w:t>
      </w:r>
      <w:r>
        <w:rPr>
          <w:rFonts w:ascii="Times New Roman" w:hAnsi="Times New Roman"/>
          <w:color w:val="000000"/>
          <w:sz w:val="24"/>
          <w:szCs w:val="24"/>
          <w:lang w:eastAsia="ru-RU"/>
        </w:rPr>
        <w:t>о</w:t>
      </w:r>
      <w:r>
        <w:rPr>
          <w:rFonts w:ascii="Times New Roman" w:hAnsi="Times New Roman"/>
          <w:color w:val="000000"/>
          <w:sz w:val="24"/>
          <w:szCs w:val="24"/>
          <w:lang w:eastAsia="ru-RU"/>
        </w:rPr>
        <w:t>центах от объема продаж, трудодням и так далее. Тарифная сетка представляет из себя рек</w:t>
      </w:r>
      <w:r>
        <w:rPr>
          <w:rFonts w:ascii="Times New Roman" w:hAnsi="Times New Roman"/>
          <w:color w:val="000000"/>
          <w:sz w:val="24"/>
          <w:szCs w:val="24"/>
          <w:lang w:eastAsia="ru-RU"/>
        </w:rPr>
        <w:t>о</w:t>
      </w:r>
      <w:r>
        <w:rPr>
          <w:rFonts w:ascii="Times New Roman" w:hAnsi="Times New Roman"/>
          <w:color w:val="000000"/>
          <w:sz w:val="24"/>
          <w:szCs w:val="24"/>
          <w:lang w:eastAsia="ru-RU"/>
        </w:rPr>
        <w:t>мендуемую совокупность разрядов и тарифных коэффициентов, определяющую работника в конкретную группу специалистов. Тарифный коэффициент показывает насколько различ</w:t>
      </w:r>
      <w:r>
        <w:rPr>
          <w:rFonts w:ascii="Times New Roman" w:hAnsi="Times New Roman"/>
          <w:color w:val="000000"/>
          <w:sz w:val="24"/>
          <w:szCs w:val="24"/>
          <w:lang w:eastAsia="ru-RU"/>
        </w:rPr>
        <w:t>а</w:t>
      </w:r>
      <w:r>
        <w:rPr>
          <w:rFonts w:ascii="Times New Roman" w:hAnsi="Times New Roman"/>
          <w:color w:val="000000"/>
          <w:sz w:val="24"/>
          <w:szCs w:val="24"/>
          <w:lang w:eastAsia="ru-RU"/>
        </w:rPr>
        <w:t xml:space="preserve">ются оплата труда </w:t>
      </w:r>
      <w:r>
        <w:rPr>
          <w:rFonts w:ascii="Times New Roman" w:hAnsi="Times New Roman"/>
          <w:color w:val="000000"/>
          <w:sz w:val="24"/>
          <w:szCs w:val="24"/>
          <w:lang w:val="en-US" w:eastAsia="ru-RU"/>
        </w:rPr>
        <w:t>N</w:t>
      </w:r>
      <w:r w:rsidRPr="00997FDC">
        <w:rPr>
          <w:rFonts w:ascii="Times New Roman" w:hAnsi="Times New Roman"/>
          <w:color w:val="000000"/>
          <w:sz w:val="24"/>
          <w:szCs w:val="24"/>
          <w:lang w:eastAsia="ru-RU"/>
        </w:rPr>
        <w:t>-</w:t>
      </w:r>
      <w:r>
        <w:rPr>
          <w:rFonts w:ascii="Times New Roman" w:hAnsi="Times New Roman"/>
          <w:color w:val="000000"/>
          <w:sz w:val="24"/>
          <w:szCs w:val="24"/>
          <w:lang w:eastAsia="ru-RU"/>
        </w:rPr>
        <w:t xml:space="preserve">го разряда от </w:t>
      </w:r>
      <w:r w:rsidRPr="00997FDC">
        <w:rPr>
          <w:rFonts w:ascii="Times New Roman" w:hAnsi="Times New Roman"/>
          <w:color w:val="000000"/>
          <w:sz w:val="24"/>
          <w:szCs w:val="24"/>
          <w:lang w:eastAsia="ru-RU"/>
        </w:rPr>
        <w:t xml:space="preserve">1 </w:t>
      </w:r>
      <w:r>
        <w:rPr>
          <w:rFonts w:ascii="Times New Roman" w:hAnsi="Times New Roman"/>
          <w:color w:val="000000"/>
          <w:sz w:val="24"/>
          <w:szCs w:val="24"/>
          <w:lang w:eastAsia="ru-RU"/>
        </w:rPr>
        <w:t>разряда. Такая система дает стимул для служащих к п</w:t>
      </w:r>
      <w:r>
        <w:rPr>
          <w:rFonts w:ascii="Times New Roman" w:hAnsi="Times New Roman"/>
          <w:color w:val="000000"/>
          <w:sz w:val="24"/>
          <w:szCs w:val="24"/>
          <w:lang w:eastAsia="ru-RU"/>
        </w:rPr>
        <w:t>о</w:t>
      </w:r>
      <w:r>
        <w:rPr>
          <w:rFonts w:ascii="Times New Roman" w:hAnsi="Times New Roman"/>
          <w:color w:val="000000"/>
          <w:sz w:val="24"/>
          <w:szCs w:val="24"/>
          <w:lang w:eastAsia="ru-RU"/>
        </w:rPr>
        <w:t xml:space="preserve">вышению своих навыков в определенной отрасли. </w:t>
      </w:r>
    </w:p>
    <w:p w14:paraId="723D7588" w14:textId="77777777" w:rsidR="009C350E" w:rsidRPr="009A742D" w:rsidRDefault="009C350E" w:rsidP="009C350E">
      <w:pPr>
        <w:spacing w:after="0" w:line="240" w:lineRule="auto"/>
        <w:jc w:val="both"/>
        <w:rPr>
          <w:rFonts w:ascii="Times New Roman" w:hAnsi="Times New Roman"/>
          <w:color w:val="000000"/>
          <w:sz w:val="24"/>
          <w:szCs w:val="24"/>
          <w:lang w:val="en-US" w:eastAsia="ru-RU"/>
        </w:rPr>
      </w:pPr>
      <w:r>
        <w:rPr>
          <w:rFonts w:ascii="Times New Roman" w:hAnsi="Times New Roman"/>
          <w:color w:val="000000"/>
          <w:sz w:val="24"/>
          <w:szCs w:val="24"/>
          <w:lang w:eastAsia="ru-RU"/>
        </w:rPr>
        <w:tab/>
        <w:t xml:space="preserve">Принято разделят заработную плату на основную и дополнительную. Подробнее в таблице 1 </w:t>
      </w:r>
      <w:r>
        <w:rPr>
          <w:rFonts w:ascii="Times New Roman" w:hAnsi="Times New Roman"/>
          <w:color w:val="000000"/>
          <w:sz w:val="24"/>
          <w:szCs w:val="24"/>
          <w:lang w:val="en-US" w:eastAsia="ru-RU"/>
        </w:rPr>
        <w:t>[3, c.</w:t>
      </w:r>
      <w:r>
        <w:rPr>
          <w:rFonts w:ascii="Times New Roman" w:hAnsi="Times New Roman"/>
          <w:color w:val="000000"/>
          <w:sz w:val="24"/>
          <w:szCs w:val="24"/>
          <w:lang w:eastAsia="ru-RU"/>
        </w:rPr>
        <w:t>178</w:t>
      </w:r>
      <w:r>
        <w:rPr>
          <w:rFonts w:ascii="Times New Roman" w:hAnsi="Times New Roman"/>
          <w:color w:val="000000"/>
          <w:sz w:val="24"/>
          <w:szCs w:val="24"/>
          <w:lang w:val="en-US" w:eastAsia="ru-RU"/>
        </w:rPr>
        <w:t>]</w:t>
      </w:r>
    </w:p>
    <w:p w14:paraId="3AD2E2E9" w14:textId="77777777" w:rsidR="009C350E" w:rsidRPr="007F748F" w:rsidRDefault="009C350E" w:rsidP="009C350E">
      <w:pPr>
        <w:spacing w:line="240" w:lineRule="auto"/>
        <w:jc w:val="right"/>
        <w:rPr>
          <w:rFonts w:ascii="Times New Roman" w:hAnsi="Times New Roman"/>
          <w:i/>
          <w:color w:val="000000"/>
          <w:sz w:val="24"/>
          <w:szCs w:val="24"/>
          <w:lang w:eastAsia="ru-RU"/>
        </w:rPr>
      </w:pPr>
      <w:r w:rsidRPr="007F748F">
        <w:rPr>
          <w:rFonts w:ascii="Times New Roman" w:hAnsi="Times New Roman"/>
          <w:i/>
          <w:color w:val="000000"/>
          <w:sz w:val="24"/>
          <w:szCs w:val="24"/>
          <w:lang w:eastAsia="ru-RU"/>
        </w:rPr>
        <w:t xml:space="preserve">Таблица 1 </w:t>
      </w:r>
    </w:p>
    <w:tbl>
      <w:tblPr>
        <w:tblStyle w:val="a3"/>
        <w:tblW w:w="0" w:type="auto"/>
        <w:tblLook w:val="04A0" w:firstRow="1" w:lastRow="0" w:firstColumn="1" w:lastColumn="0" w:noHBand="0" w:noVBand="1"/>
      </w:tblPr>
      <w:tblGrid>
        <w:gridCol w:w="4814"/>
        <w:gridCol w:w="4814"/>
      </w:tblGrid>
      <w:tr w:rsidR="009C350E" w14:paraId="0E362CCB" w14:textId="77777777" w:rsidTr="007014C7">
        <w:tc>
          <w:tcPr>
            <w:tcW w:w="9628" w:type="dxa"/>
            <w:gridSpan w:val="2"/>
          </w:tcPr>
          <w:p w14:paraId="4757CBE7" w14:textId="77777777" w:rsidR="009C350E" w:rsidRPr="00C82A45" w:rsidRDefault="009C350E" w:rsidP="007014C7">
            <w:pPr>
              <w:jc w:val="center"/>
              <w:rPr>
                <w:rFonts w:ascii="Times New Roman" w:hAnsi="Times New Roman"/>
                <w:b/>
                <w:color w:val="000000"/>
                <w:sz w:val="24"/>
                <w:szCs w:val="24"/>
                <w:lang w:eastAsia="ru-RU"/>
              </w:rPr>
            </w:pPr>
            <w:r w:rsidRPr="00C82A45">
              <w:rPr>
                <w:rFonts w:ascii="Times New Roman" w:hAnsi="Times New Roman"/>
                <w:b/>
                <w:color w:val="000000"/>
                <w:sz w:val="24"/>
                <w:szCs w:val="24"/>
                <w:lang w:eastAsia="ru-RU"/>
              </w:rPr>
              <w:t>Виды заработной платы</w:t>
            </w:r>
          </w:p>
        </w:tc>
      </w:tr>
      <w:tr w:rsidR="009C350E" w14:paraId="7B44326B" w14:textId="77777777" w:rsidTr="007014C7">
        <w:tc>
          <w:tcPr>
            <w:tcW w:w="4814" w:type="dxa"/>
          </w:tcPr>
          <w:p w14:paraId="4F613359"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Основная</w:t>
            </w:r>
          </w:p>
        </w:tc>
        <w:tc>
          <w:tcPr>
            <w:tcW w:w="4814" w:type="dxa"/>
          </w:tcPr>
          <w:p w14:paraId="5EFBC1BC"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Дополнительная</w:t>
            </w:r>
          </w:p>
        </w:tc>
      </w:tr>
      <w:tr w:rsidR="009C350E" w14:paraId="349E2CA7" w14:textId="77777777" w:rsidTr="007014C7">
        <w:tc>
          <w:tcPr>
            <w:tcW w:w="4814" w:type="dxa"/>
          </w:tcPr>
          <w:p w14:paraId="024F2D02"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Зависит от фактически отработанного вр</w:t>
            </w:r>
            <w:r>
              <w:rPr>
                <w:rFonts w:ascii="Times New Roman" w:hAnsi="Times New Roman"/>
                <w:color w:val="000000"/>
                <w:sz w:val="24"/>
                <w:szCs w:val="24"/>
                <w:lang w:eastAsia="ru-RU"/>
              </w:rPr>
              <w:t>е</w:t>
            </w:r>
            <w:r>
              <w:rPr>
                <w:rFonts w:ascii="Times New Roman" w:hAnsi="Times New Roman"/>
                <w:color w:val="000000"/>
                <w:sz w:val="24"/>
                <w:szCs w:val="24"/>
                <w:lang w:eastAsia="ru-RU"/>
              </w:rPr>
              <w:t>мени, а также от тарифных ставок, окладов и других выплат за особенные условия тр</w:t>
            </w:r>
            <w:r>
              <w:rPr>
                <w:rFonts w:ascii="Times New Roman" w:hAnsi="Times New Roman"/>
                <w:color w:val="000000"/>
                <w:sz w:val="24"/>
                <w:szCs w:val="24"/>
                <w:lang w:eastAsia="ru-RU"/>
              </w:rPr>
              <w:t>у</w:t>
            </w:r>
            <w:r>
              <w:rPr>
                <w:rFonts w:ascii="Times New Roman" w:hAnsi="Times New Roman"/>
                <w:color w:val="000000"/>
                <w:sz w:val="24"/>
                <w:szCs w:val="24"/>
                <w:lang w:eastAsia="ru-RU"/>
              </w:rPr>
              <w:t>да</w:t>
            </w:r>
          </w:p>
        </w:tc>
        <w:tc>
          <w:tcPr>
            <w:tcW w:w="4814" w:type="dxa"/>
          </w:tcPr>
          <w:p w14:paraId="327E5C0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Начисления за неотработанное время, включающие государственные пособия во время нетрудоспособности, компенсации при увольнении</w:t>
            </w:r>
          </w:p>
        </w:tc>
      </w:tr>
      <w:tr w:rsidR="009C350E" w14:paraId="0A30029C" w14:textId="77777777" w:rsidTr="007014C7">
        <w:tc>
          <w:tcPr>
            <w:tcW w:w="4814" w:type="dxa"/>
          </w:tcPr>
          <w:p w14:paraId="3323C98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Базовый оклад</w:t>
            </w:r>
          </w:p>
        </w:tc>
        <w:tc>
          <w:tcPr>
            <w:tcW w:w="4814" w:type="dxa"/>
          </w:tcPr>
          <w:p w14:paraId="7EF7F99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Компенсации при отпуске</w:t>
            </w:r>
          </w:p>
        </w:tc>
      </w:tr>
      <w:tr w:rsidR="009C350E" w14:paraId="60CA7206" w14:textId="77777777" w:rsidTr="007014C7">
        <w:tc>
          <w:tcPr>
            <w:tcW w:w="4814" w:type="dxa"/>
          </w:tcPr>
          <w:p w14:paraId="6EE0D6D6"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Доплаты при работе в ночное, вечернее, сверхурочное, праздничное, выходное вр</w:t>
            </w:r>
            <w:r>
              <w:rPr>
                <w:rFonts w:ascii="Times New Roman" w:hAnsi="Times New Roman"/>
                <w:color w:val="000000"/>
                <w:sz w:val="24"/>
                <w:szCs w:val="24"/>
                <w:lang w:eastAsia="ru-RU"/>
              </w:rPr>
              <w:t>е</w:t>
            </w:r>
            <w:r>
              <w:rPr>
                <w:rFonts w:ascii="Times New Roman" w:hAnsi="Times New Roman"/>
                <w:color w:val="000000"/>
                <w:sz w:val="24"/>
                <w:szCs w:val="24"/>
                <w:lang w:eastAsia="ru-RU"/>
              </w:rPr>
              <w:t>мя</w:t>
            </w:r>
          </w:p>
        </w:tc>
        <w:tc>
          <w:tcPr>
            <w:tcW w:w="4814" w:type="dxa"/>
          </w:tcPr>
          <w:p w14:paraId="429ECA7A"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Пособия по беременности, кормящих мат</w:t>
            </w:r>
            <w:r>
              <w:rPr>
                <w:rFonts w:ascii="Times New Roman" w:hAnsi="Times New Roman"/>
                <w:color w:val="000000"/>
                <w:sz w:val="24"/>
                <w:szCs w:val="24"/>
                <w:lang w:eastAsia="ru-RU"/>
              </w:rPr>
              <w:t>е</w:t>
            </w:r>
            <w:r>
              <w:rPr>
                <w:rFonts w:ascii="Times New Roman" w:hAnsi="Times New Roman"/>
                <w:color w:val="000000"/>
                <w:sz w:val="24"/>
                <w:szCs w:val="24"/>
                <w:lang w:eastAsia="ru-RU"/>
              </w:rPr>
              <w:t>рей</w:t>
            </w:r>
          </w:p>
        </w:tc>
      </w:tr>
      <w:tr w:rsidR="009C350E" w14:paraId="2D090755" w14:textId="77777777" w:rsidTr="007014C7">
        <w:tc>
          <w:tcPr>
            <w:tcW w:w="4814" w:type="dxa"/>
          </w:tcPr>
          <w:p w14:paraId="518549D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Премии и надбавки</w:t>
            </w:r>
          </w:p>
        </w:tc>
        <w:tc>
          <w:tcPr>
            <w:tcW w:w="4814" w:type="dxa"/>
          </w:tcPr>
          <w:p w14:paraId="016F7C87"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Больничные</w:t>
            </w:r>
          </w:p>
        </w:tc>
      </w:tr>
      <w:tr w:rsidR="009C350E" w14:paraId="2863D70F" w14:textId="77777777" w:rsidTr="007014C7">
        <w:tc>
          <w:tcPr>
            <w:tcW w:w="4814" w:type="dxa"/>
          </w:tcPr>
          <w:p w14:paraId="4E6B1BE0"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Простои не по вине рабочего</w:t>
            </w:r>
          </w:p>
        </w:tc>
        <w:tc>
          <w:tcPr>
            <w:tcW w:w="4814" w:type="dxa"/>
          </w:tcPr>
          <w:p w14:paraId="7E19371A"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Выходные пособия</w:t>
            </w:r>
          </w:p>
        </w:tc>
      </w:tr>
    </w:tbl>
    <w:p w14:paraId="193E229C"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Доплаты при работе в ночное, сверхурочное и праздничное время оплачивается по разному. В ночное время с 22 по 6 часов оплата производится в повышенном размере уст</w:t>
      </w:r>
      <w:r>
        <w:rPr>
          <w:rFonts w:ascii="Times New Roman" w:hAnsi="Times New Roman"/>
          <w:color w:val="000000"/>
          <w:sz w:val="24"/>
          <w:szCs w:val="24"/>
          <w:lang w:eastAsia="ru-RU"/>
        </w:rPr>
        <w:t>а</w:t>
      </w:r>
      <w:r>
        <w:rPr>
          <w:rFonts w:ascii="Times New Roman" w:hAnsi="Times New Roman"/>
          <w:color w:val="000000"/>
          <w:sz w:val="24"/>
          <w:szCs w:val="24"/>
          <w:lang w:eastAsia="ru-RU"/>
        </w:rPr>
        <w:t xml:space="preserve">новленном предприятием, но не ниже установленном законодательством. В сверхурочное время допускается только в редких случаях, но если происходит за первые 2 часа оплата производится в не менее 1,5 размере, за последующие в 2-ом. Не допускаются беременные женщины, люди моложе 18 лет. Праздничные и выходные дни оплачиваются в не менее чем двойном размере. </w:t>
      </w:r>
    </w:p>
    <w:p w14:paraId="7FC26B12" w14:textId="77777777" w:rsidR="009C350E" w:rsidRDefault="009C350E" w:rsidP="009C350E">
      <w:pPr>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Оплата отпусков производится после непрерывной работы по истечению 11 месяцев, при этом сохраняется его средний заработок на предприятии. Пособия по временной нетр</w:t>
      </w:r>
      <w:r>
        <w:rPr>
          <w:rFonts w:ascii="Times New Roman" w:hAnsi="Times New Roman"/>
          <w:color w:val="000000"/>
          <w:sz w:val="24"/>
          <w:szCs w:val="24"/>
          <w:lang w:eastAsia="ru-RU"/>
        </w:rPr>
        <w:t>у</w:t>
      </w:r>
      <w:r>
        <w:rPr>
          <w:rFonts w:ascii="Times New Roman" w:hAnsi="Times New Roman"/>
          <w:color w:val="000000"/>
          <w:sz w:val="24"/>
          <w:szCs w:val="24"/>
          <w:lang w:eastAsia="ru-RU"/>
        </w:rPr>
        <w:t xml:space="preserve">доспособности выплачиваются за первые 3 дня за счет средств компании, последующие за счет отчислений на социальное страхование. Зависит от стажа работы 60% за 5 лет, 80% от 5 до 8 лет, 100% от 8 лет. Для кормящих матерей и женщин, имеющих детей в возрасте до 1,5 лет перерыв засчитывается в счет рабочего времени и подлежит оплате, в средний заработок при сдельной оплате. </w:t>
      </w:r>
    </w:p>
    <w:p w14:paraId="60929EC7" w14:textId="77777777" w:rsidR="009C350E"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Различают две формы заработной платы: повременную и сдельную. Подробнее в та</w:t>
      </w:r>
      <w:r>
        <w:rPr>
          <w:rFonts w:ascii="Times New Roman" w:hAnsi="Times New Roman"/>
          <w:color w:val="000000"/>
          <w:sz w:val="24"/>
          <w:szCs w:val="24"/>
          <w:lang w:eastAsia="ru-RU"/>
        </w:rPr>
        <w:t>б</w:t>
      </w:r>
      <w:r>
        <w:rPr>
          <w:rFonts w:ascii="Times New Roman" w:hAnsi="Times New Roman"/>
          <w:color w:val="000000"/>
          <w:sz w:val="24"/>
          <w:szCs w:val="24"/>
          <w:lang w:eastAsia="ru-RU"/>
        </w:rPr>
        <w:t>лице 2.</w:t>
      </w:r>
      <w:r w:rsidRPr="001863DA">
        <w:rPr>
          <w:rFonts w:ascii="Times New Roman" w:hAnsi="Times New Roman"/>
          <w:color w:val="000000"/>
          <w:sz w:val="24"/>
          <w:szCs w:val="21"/>
          <w:lang w:eastAsia="ru-RU"/>
        </w:rPr>
        <w:t xml:space="preserve"> </w:t>
      </w:r>
      <w:r w:rsidRPr="00291518">
        <w:rPr>
          <w:rFonts w:ascii="Times New Roman" w:hAnsi="Times New Roman"/>
          <w:color w:val="000000"/>
          <w:sz w:val="24"/>
          <w:szCs w:val="21"/>
          <w:lang w:eastAsia="ru-RU"/>
        </w:rPr>
        <w:t>[</w:t>
      </w:r>
      <w:r>
        <w:rPr>
          <w:rFonts w:ascii="Times New Roman" w:hAnsi="Times New Roman"/>
          <w:color w:val="000000"/>
          <w:sz w:val="24"/>
          <w:szCs w:val="21"/>
          <w:lang w:eastAsia="ru-RU"/>
        </w:rPr>
        <w:t>3</w:t>
      </w:r>
      <w:r w:rsidRPr="00291518">
        <w:rPr>
          <w:rFonts w:ascii="Times New Roman" w:hAnsi="Times New Roman"/>
          <w:color w:val="000000"/>
          <w:sz w:val="24"/>
          <w:szCs w:val="21"/>
          <w:lang w:eastAsia="ru-RU"/>
        </w:rPr>
        <w:t xml:space="preserve">, </w:t>
      </w:r>
      <w:r>
        <w:rPr>
          <w:rFonts w:ascii="Times New Roman" w:hAnsi="Times New Roman"/>
          <w:color w:val="000000"/>
          <w:sz w:val="24"/>
          <w:szCs w:val="21"/>
          <w:lang w:val="en-US" w:eastAsia="ru-RU"/>
        </w:rPr>
        <w:t>c</w:t>
      </w:r>
      <w:r w:rsidRPr="00291518">
        <w:rPr>
          <w:rFonts w:ascii="Times New Roman" w:hAnsi="Times New Roman"/>
          <w:color w:val="000000"/>
          <w:sz w:val="24"/>
          <w:szCs w:val="21"/>
          <w:lang w:eastAsia="ru-RU"/>
        </w:rPr>
        <w:t xml:space="preserve">. </w:t>
      </w:r>
      <w:r w:rsidRPr="009C350E">
        <w:rPr>
          <w:rFonts w:ascii="Times New Roman" w:hAnsi="Times New Roman"/>
          <w:color w:val="000000"/>
          <w:sz w:val="24"/>
          <w:szCs w:val="21"/>
          <w:lang w:eastAsia="ru-RU"/>
        </w:rPr>
        <w:t>167</w:t>
      </w:r>
      <w:r w:rsidRPr="00291518">
        <w:rPr>
          <w:rFonts w:ascii="Times New Roman" w:hAnsi="Times New Roman"/>
          <w:color w:val="000000"/>
          <w:sz w:val="24"/>
          <w:szCs w:val="21"/>
          <w:lang w:eastAsia="ru-RU"/>
        </w:rPr>
        <w:t>]</w:t>
      </w:r>
    </w:p>
    <w:p w14:paraId="73E22144" w14:textId="77777777" w:rsidR="009C350E" w:rsidRPr="00E91754" w:rsidRDefault="009C350E" w:rsidP="009C350E">
      <w:pPr>
        <w:spacing w:after="120" w:line="240" w:lineRule="auto"/>
        <w:jc w:val="right"/>
        <w:rPr>
          <w:rFonts w:ascii="Times New Roman" w:hAnsi="Times New Roman"/>
          <w:i/>
          <w:color w:val="000000"/>
          <w:sz w:val="24"/>
          <w:szCs w:val="24"/>
          <w:lang w:eastAsia="ru-RU"/>
        </w:rPr>
      </w:pPr>
      <w:r w:rsidRPr="00E91754">
        <w:rPr>
          <w:rFonts w:ascii="Times New Roman" w:hAnsi="Times New Roman"/>
          <w:i/>
          <w:color w:val="000000"/>
          <w:sz w:val="24"/>
          <w:szCs w:val="24"/>
          <w:lang w:eastAsia="ru-RU"/>
        </w:rPr>
        <w:t>Таблица 2</w:t>
      </w:r>
    </w:p>
    <w:tbl>
      <w:tblPr>
        <w:tblStyle w:val="a3"/>
        <w:tblW w:w="0" w:type="auto"/>
        <w:tblLook w:val="04A0" w:firstRow="1" w:lastRow="0" w:firstColumn="1" w:lastColumn="0" w:noHBand="0" w:noVBand="1"/>
      </w:tblPr>
      <w:tblGrid>
        <w:gridCol w:w="2640"/>
        <w:gridCol w:w="2107"/>
        <w:gridCol w:w="2478"/>
        <w:gridCol w:w="2403"/>
      </w:tblGrid>
      <w:tr w:rsidR="009C350E" w14:paraId="715ABAFD" w14:textId="77777777" w:rsidTr="007014C7">
        <w:tc>
          <w:tcPr>
            <w:tcW w:w="2640" w:type="dxa"/>
          </w:tcPr>
          <w:p w14:paraId="452319E6" w14:textId="77777777" w:rsidR="009C350E" w:rsidRPr="00C82A45" w:rsidRDefault="009C350E" w:rsidP="007014C7">
            <w:pPr>
              <w:jc w:val="center"/>
              <w:rPr>
                <w:rFonts w:ascii="Times New Roman" w:hAnsi="Times New Roman"/>
                <w:b/>
                <w:color w:val="000000"/>
                <w:sz w:val="24"/>
                <w:szCs w:val="24"/>
                <w:lang w:eastAsia="ru-RU"/>
              </w:rPr>
            </w:pPr>
          </w:p>
        </w:tc>
        <w:tc>
          <w:tcPr>
            <w:tcW w:w="4585" w:type="dxa"/>
            <w:gridSpan w:val="2"/>
          </w:tcPr>
          <w:p w14:paraId="6EA5717B" w14:textId="77777777" w:rsidR="009C350E" w:rsidRPr="00C82A45" w:rsidRDefault="009C350E" w:rsidP="007014C7">
            <w:pPr>
              <w:jc w:val="center"/>
              <w:rPr>
                <w:rFonts w:ascii="Times New Roman" w:hAnsi="Times New Roman"/>
                <w:b/>
                <w:color w:val="000000"/>
                <w:sz w:val="24"/>
                <w:szCs w:val="24"/>
                <w:lang w:eastAsia="ru-RU"/>
              </w:rPr>
            </w:pPr>
            <w:r w:rsidRPr="00C82A45">
              <w:rPr>
                <w:rFonts w:ascii="Times New Roman" w:hAnsi="Times New Roman"/>
                <w:b/>
                <w:color w:val="000000"/>
                <w:sz w:val="24"/>
                <w:szCs w:val="24"/>
                <w:lang w:eastAsia="ru-RU"/>
              </w:rPr>
              <w:t>Формы заработной платы</w:t>
            </w:r>
          </w:p>
        </w:tc>
        <w:tc>
          <w:tcPr>
            <w:tcW w:w="2403" w:type="dxa"/>
          </w:tcPr>
          <w:p w14:paraId="5BFF6F39" w14:textId="77777777" w:rsidR="009C350E" w:rsidRPr="00C82A45" w:rsidRDefault="009C350E" w:rsidP="007014C7">
            <w:pPr>
              <w:jc w:val="center"/>
              <w:rPr>
                <w:rFonts w:ascii="Times New Roman" w:hAnsi="Times New Roman"/>
                <w:b/>
                <w:color w:val="000000"/>
                <w:sz w:val="24"/>
                <w:szCs w:val="24"/>
                <w:lang w:eastAsia="ru-RU"/>
              </w:rPr>
            </w:pPr>
          </w:p>
        </w:tc>
      </w:tr>
      <w:tr w:rsidR="009C350E" w14:paraId="3CAAB750" w14:textId="77777777" w:rsidTr="007014C7">
        <w:tc>
          <w:tcPr>
            <w:tcW w:w="2640" w:type="dxa"/>
          </w:tcPr>
          <w:p w14:paraId="40C48195"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Повременная</w:t>
            </w:r>
          </w:p>
        </w:tc>
        <w:tc>
          <w:tcPr>
            <w:tcW w:w="2107" w:type="dxa"/>
          </w:tcPr>
          <w:p w14:paraId="4DAC0CC4"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Формула</w:t>
            </w:r>
          </w:p>
        </w:tc>
        <w:tc>
          <w:tcPr>
            <w:tcW w:w="2478" w:type="dxa"/>
          </w:tcPr>
          <w:p w14:paraId="5C729AA9"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Сдельная</w:t>
            </w:r>
          </w:p>
        </w:tc>
        <w:tc>
          <w:tcPr>
            <w:tcW w:w="2403" w:type="dxa"/>
          </w:tcPr>
          <w:p w14:paraId="33A42EF8"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Формула</w:t>
            </w:r>
          </w:p>
        </w:tc>
      </w:tr>
      <w:tr w:rsidR="009C350E" w14:paraId="116C758B" w14:textId="77777777" w:rsidTr="007014C7">
        <w:tc>
          <w:tcPr>
            <w:tcW w:w="2640" w:type="dxa"/>
          </w:tcPr>
          <w:p w14:paraId="7C473C05"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-Простая</w:t>
            </w:r>
          </w:p>
        </w:tc>
        <w:tc>
          <w:tcPr>
            <w:tcW w:w="2107" w:type="dxa"/>
          </w:tcPr>
          <w:p w14:paraId="53D6825A" w14:textId="77777777" w:rsidR="009C350E" w:rsidRPr="0012168C" w:rsidRDefault="009C350E" w:rsidP="007014C7">
            <w:pPr>
              <w:rPr>
                <w:rFonts w:ascii="Times New Roman" w:hAnsi="Times New Roman"/>
                <w:color w:val="000000"/>
                <w:sz w:val="20"/>
                <w:szCs w:val="20"/>
                <w:lang w:eastAsia="ru-RU"/>
              </w:rPr>
            </w:pPr>
            <m:oMathPara>
              <m:oMath>
                <m:r>
                  <m:rPr>
                    <m:sty m:val="p"/>
                  </m:rPr>
                  <w:rPr>
                    <w:rFonts w:ascii="Cambria Math" w:hAnsi="Cambria Math"/>
                    <w:color w:val="000000"/>
                    <w:sz w:val="20"/>
                    <w:szCs w:val="20"/>
                    <w:lang w:eastAsia="ru-RU"/>
                  </w:rPr>
                  <m:t>Зпв=Тф*Тч</m:t>
                </m:r>
              </m:oMath>
            </m:oMathPara>
          </w:p>
        </w:tc>
        <w:tc>
          <w:tcPr>
            <w:tcW w:w="2478" w:type="dxa"/>
          </w:tcPr>
          <w:p w14:paraId="67539E2B"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-Прямая</w:t>
            </w:r>
          </w:p>
        </w:tc>
        <w:tc>
          <w:tcPr>
            <w:tcW w:w="2403" w:type="dxa"/>
          </w:tcPr>
          <w:p w14:paraId="0DE7D1E8" w14:textId="77777777" w:rsidR="009C350E" w:rsidRDefault="009C350E" w:rsidP="007014C7">
            <w:pPr>
              <w:rPr>
                <w:rFonts w:ascii="Times New Roman" w:hAnsi="Times New Roman"/>
                <w:color w:val="000000"/>
                <w:sz w:val="24"/>
                <w:szCs w:val="24"/>
                <w:lang w:eastAsia="ru-RU"/>
              </w:rPr>
            </w:pPr>
            <m:oMathPara>
              <m:oMath>
                <m:r>
                  <m:rPr>
                    <m:sty m:val="p"/>
                  </m:rPr>
                  <w:rPr>
                    <w:rFonts w:ascii="Cambria Math" w:hAnsi="Cambria Math"/>
                    <w:color w:val="000000"/>
                    <w:sz w:val="20"/>
                    <w:szCs w:val="20"/>
                    <w:lang w:eastAsia="ru-RU"/>
                  </w:rPr>
                  <m:t>Зсд=Вп*Рсд</m:t>
                </m:r>
              </m:oMath>
            </m:oMathPara>
          </w:p>
        </w:tc>
      </w:tr>
      <w:tr w:rsidR="009C350E" w14:paraId="300A3FA6" w14:textId="77777777" w:rsidTr="007014C7">
        <w:tc>
          <w:tcPr>
            <w:tcW w:w="2640" w:type="dxa"/>
          </w:tcPr>
          <w:p w14:paraId="08E61B2F"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-Премиальная</w:t>
            </w:r>
          </w:p>
        </w:tc>
        <w:tc>
          <w:tcPr>
            <w:tcW w:w="2107" w:type="dxa"/>
          </w:tcPr>
          <w:p w14:paraId="7EAD8AB3" w14:textId="77777777" w:rsidR="009C350E" w:rsidRDefault="009C350E" w:rsidP="007014C7">
            <w:pPr>
              <w:rPr>
                <w:rFonts w:ascii="Times New Roman" w:hAnsi="Times New Roman"/>
                <w:color w:val="000000"/>
                <w:sz w:val="24"/>
                <w:szCs w:val="24"/>
                <w:lang w:eastAsia="ru-RU"/>
              </w:rPr>
            </w:pPr>
            <m:oMathPara>
              <m:oMath>
                <m:r>
                  <m:rPr>
                    <m:sty m:val="p"/>
                  </m:rPr>
                  <w:rPr>
                    <w:rFonts w:ascii="Cambria Math" w:hAnsi="Cambria Math"/>
                    <w:color w:val="000000"/>
                    <w:sz w:val="20"/>
                    <w:szCs w:val="20"/>
                    <w:lang w:eastAsia="ru-RU"/>
                  </w:rPr>
                  <m:t>Зпп=Зпв+П</m:t>
                </m:r>
              </m:oMath>
            </m:oMathPara>
          </w:p>
        </w:tc>
        <w:tc>
          <w:tcPr>
            <w:tcW w:w="2478" w:type="dxa"/>
          </w:tcPr>
          <w:p w14:paraId="62AEF0CF"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-Премиальная</w:t>
            </w:r>
          </w:p>
        </w:tc>
        <w:tc>
          <w:tcPr>
            <w:tcW w:w="2403" w:type="dxa"/>
          </w:tcPr>
          <w:p w14:paraId="6C5911BC" w14:textId="77777777" w:rsidR="009C350E" w:rsidRDefault="009C350E" w:rsidP="007014C7">
            <w:pPr>
              <w:rPr>
                <w:rFonts w:ascii="Times New Roman" w:hAnsi="Times New Roman"/>
                <w:color w:val="000000"/>
                <w:sz w:val="24"/>
                <w:szCs w:val="24"/>
                <w:lang w:eastAsia="ru-RU"/>
              </w:rPr>
            </w:pPr>
            <m:oMathPara>
              <m:oMath>
                <m:r>
                  <m:rPr>
                    <m:sty m:val="p"/>
                  </m:rPr>
                  <w:rPr>
                    <w:rFonts w:ascii="Cambria Math" w:hAnsi="Cambria Math"/>
                    <w:color w:val="000000"/>
                    <w:sz w:val="20"/>
                    <w:szCs w:val="20"/>
                    <w:lang w:eastAsia="ru-RU"/>
                  </w:rPr>
                  <m:t>Зсп=Зсд+П</m:t>
                </m:r>
              </m:oMath>
            </m:oMathPara>
          </w:p>
        </w:tc>
      </w:tr>
      <w:tr w:rsidR="009C350E" w14:paraId="33DAA5C9" w14:textId="77777777" w:rsidTr="007014C7">
        <w:tc>
          <w:tcPr>
            <w:tcW w:w="2640" w:type="dxa"/>
          </w:tcPr>
          <w:p w14:paraId="1438A1CB" w14:textId="77777777" w:rsidR="009C350E" w:rsidRDefault="009C350E" w:rsidP="007014C7">
            <w:pPr>
              <w:rPr>
                <w:rFonts w:ascii="Times New Roman" w:hAnsi="Times New Roman"/>
                <w:color w:val="000000"/>
                <w:sz w:val="24"/>
                <w:szCs w:val="24"/>
                <w:lang w:eastAsia="ru-RU"/>
              </w:rPr>
            </w:pPr>
          </w:p>
        </w:tc>
        <w:tc>
          <w:tcPr>
            <w:tcW w:w="2107" w:type="dxa"/>
          </w:tcPr>
          <w:p w14:paraId="5BA39E18" w14:textId="77777777" w:rsidR="009C350E" w:rsidRDefault="009C350E" w:rsidP="007014C7">
            <w:pPr>
              <w:rPr>
                <w:rFonts w:ascii="Times New Roman" w:hAnsi="Times New Roman"/>
                <w:color w:val="000000"/>
                <w:sz w:val="24"/>
                <w:szCs w:val="24"/>
                <w:lang w:eastAsia="ru-RU"/>
              </w:rPr>
            </w:pPr>
          </w:p>
        </w:tc>
        <w:tc>
          <w:tcPr>
            <w:tcW w:w="2478" w:type="dxa"/>
          </w:tcPr>
          <w:p w14:paraId="2EF4E526"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-Косвенная</w:t>
            </w:r>
          </w:p>
        </w:tc>
        <w:tc>
          <w:tcPr>
            <w:tcW w:w="2403" w:type="dxa"/>
          </w:tcPr>
          <w:p w14:paraId="0407A1E6" w14:textId="77777777" w:rsidR="009C350E" w:rsidRDefault="009C350E" w:rsidP="007014C7">
            <w:pPr>
              <w:rPr>
                <w:rFonts w:ascii="Times New Roman" w:hAnsi="Times New Roman"/>
                <w:color w:val="000000"/>
                <w:sz w:val="24"/>
                <w:szCs w:val="24"/>
                <w:lang w:eastAsia="ru-RU"/>
              </w:rPr>
            </w:pPr>
            <m:oMathPara>
              <m:oMath>
                <m:r>
                  <m:rPr>
                    <m:sty m:val="p"/>
                  </m:rPr>
                  <w:rPr>
                    <w:rFonts w:ascii="Cambria Math" w:hAnsi="Cambria Math"/>
                    <w:color w:val="000000"/>
                    <w:sz w:val="20"/>
                    <w:szCs w:val="20"/>
                    <w:lang w:eastAsia="ru-RU"/>
                  </w:rPr>
                  <m:t>Зкс=Ркс*Вп</m:t>
                </m:r>
              </m:oMath>
            </m:oMathPara>
          </w:p>
        </w:tc>
      </w:tr>
      <w:tr w:rsidR="009C350E" w14:paraId="33A38D38" w14:textId="77777777" w:rsidTr="007014C7">
        <w:tc>
          <w:tcPr>
            <w:tcW w:w="2640" w:type="dxa"/>
          </w:tcPr>
          <w:p w14:paraId="6616D075" w14:textId="77777777" w:rsidR="009C350E" w:rsidRDefault="009C350E" w:rsidP="007014C7">
            <w:pPr>
              <w:rPr>
                <w:rFonts w:ascii="Times New Roman" w:hAnsi="Times New Roman"/>
                <w:color w:val="000000"/>
                <w:sz w:val="24"/>
                <w:szCs w:val="24"/>
                <w:lang w:eastAsia="ru-RU"/>
              </w:rPr>
            </w:pPr>
          </w:p>
        </w:tc>
        <w:tc>
          <w:tcPr>
            <w:tcW w:w="2107" w:type="dxa"/>
          </w:tcPr>
          <w:p w14:paraId="1447FA70" w14:textId="77777777" w:rsidR="009C350E" w:rsidRDefault="009C350E" w:rsidP="007014C7">
            <w:pPr>
              <w:rPr>
                <w:rFonts w:ascii="Times New Roman" w:hAnsi="Times New Roman"/>
                <w:color w:val="000000"/>
                <w:sz w:val="24"/>
                <w:szCs w:val="24"/>
                <w:lang w:eastAsia="ru-RU"/>
              </w:rPr>
            </w:pPr>
          </w:p>
        </w:tc>
        <w:tc>
          <w:tcPr>
            <w:tcW w:w="2478" w:type="dxa"/>
          </w:tcPr>
          <w:p w14:paraId="285F5DAD"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-Аккордная</w:t>
            </w:r>
          </w:p>
        </w:tc>
        <w:tc>
          <w:tcPr>
            <w:tcW w:w="2403" w:type="dxa"/>
          </w:tcPr>
          <w:p w14:paraId="6D997828" w14:textId="77777777" w:rsidR="009C350E" w:rsidRDefault="009C350E" w:rsidP="007014C7">
            <w:pPr>
              <w:rPr>
                <w:rFonts w:ascii="Times New Roman" w:hAnsi="Times New Roman"/>
                <w:color w:val="000000"/>
                <w:sz w:val="24"/>
                <w:szCs w:val="24"/>
                <w:lang w:eastAsia="ru-RU"/>
              </w:rPr>
            </w:pPr>
            <m:oMathPara>
              <m:oMath>
                <m:r>
                  <m:rPr>
                    <m:sty m:val="p"/>
                  </m:rPr>
                  <w:rPr>
                    <w:rFonts w:ascii="Cambria Math" w:hAnsi="Cambria Math"/>
                    <w:color w:val="000000"/>
                    <w:sz w:val="20"/>
                    <w:szCs w:val="20"/>
                    <w:lang w:eastAsia="ru-RU"/>
                  </w:rPr>
                  <m:t>Зса=В*СЧ</m:t>
                </m:r>
              </m:oMath>
            </m:oMathPara>
          </w:p>
        </w:tc>
      </w:tr>
      <w:tr w:rsidR="009C350E" w14:paraId="138D5FF0" w14:textId="77777777" w:rsidTr="007014C7">
        <w:tc>
          <w:tcPr>
            <w:tcW w:w="2640" w:type="dxa"/>
          </w:tcPr>
          <w:p w14:paraId="246D6C65" w14:textId="77777777" w:rsidR="009C350E" w:rsidRDefault="009C350E" w:rsidP="007014C7">
            <w:pPr>
              <w:rPr>
                <w:rFonts w:ascii="Times New Roman" w:hAnsi="Times New Roman"/>
                <w:color w:val="000000"/>
                <w:sz w:val="24"/>
                <w:szCs w:val="24"/>
                <w:lang w:eastAsia="ru-RU"/>
              </w:rPr>
            </w:pPr>
          </w:p>
        </w:tc>
        <w:tc>
          <w:tcPr>
            <w:tcW w:w="2107" w:type="dxa"/>
          </w:tcPr>
          <w:p w14:paraId="14E42A5F" w14:textId="77777777" w:rsidR="009C350E" w:rsidRDefault="009C350E" w:rsidP="007014C7">
            <w:pPr>
              <w:rPr>
                <w:rFonts w:ascii="Times New Roman" w:hAnsi="Times New Roman"/>
                <w:color w:val="000000"/>
                <w:sz w:val="24"/>
                <w:szCs w:val="24"/>
                <w:lang w:eastAsia="ru-RU"/>
              </w:rPr>
            </w:pPr>
          </w:p>
        </w:tc>
        <w:tc>
          <w:tcPr>
            <w:tcW w:w="2478" w:type="dxa"/>
          </w:tcPr>
          <w:p w14:paraId="103A4386" w14:textId="77777777" w:rsidR="009C350E" w:rsidRDefault="009C350E" w:rsidP="007014C7">
            <w:pPr>
              <w:rPr>
                <w:rFonts w:ascii="Times New Roman" w:hAnsi="Times New Roman"/>
                <w:color w:val="000000"/>
                <w:sz w:val="24"/>
                <w:szCs w:val="24"/>
                <w:lang w:eastAsia="ru-RU"/>
              </w:rPr>
            </w:pPr>
            <w:r>
              <w:rPr>
                <w:rFonts w:ascii="Times New Roman" w:hAnsi="Times New Roman"/>
                <w:color w:val="000000"/>
                <w:sz w:val="24"/>
                <w:szCs w:val="24"/>
                <w:lang w:eastAsia="ru-RU"/>
              </w:rPr>
              <w:t>-Прогрессивная</w:t>
            </w:r>
          </w:p>
        </w:tc>
        <w:tc>
          <w:tcPr>
            <w:tcW w:w="2403" w:type="dxa"/>
          </w:tcPr>
          <w:p w14:paraId="263D2A52" w14:textId="77777777" w:rsidR="009C350E" w:rsidRDefault="009C350E" w:rsidP="007014C7">
            <w:pPr>
              <w:rPr>
                <w:rFonts w:ascii="Times New Roman" w:hAnsi="Times New Roman"/>
                <w:color w:val="000000"/>
                <w:sz w:val="24"/>
                <w:szCs w:val="24"/>
                <w:lang w:eastAsia="ru-RU"/>
              </w:rPr>
            </w:pPr>
            <m:oMathPara>
              <m:oMath>
                <m:r>
                  <m:rPr>
                    <m:sty m:val="p"/>
                  </m:rPr>
                  <w:rPr>
                    <w:rFonts w:ascii="Cambria Math" w:hAnsi="Cambria Math"/>
                    <w:color w:val="000000"/>
                    <w:sz w:val="20"/>
                    <w:szCs w:val="20"/>
                    <w:lang w:eastAsia="ru-RU"/>
                  </w:rPr>
                  <m:t>Зпс=Рсд*Вн+Р1*Вс</m:t>
                </m:r>
              </m:oMath>
            </m:oMathPara>
          </w:p>
        </w:tc>
      </w:tr>
    </w:tbl>
    <w:p w14:paraId="31A62CFD" w14:textId="77777777" w:rsidR="009C350E"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Где Тф-фактически отработанное время, Тч-тарифная ставка работника, Зпв-простая повременная зарплата, П-премия, Вп-объем выработанной продукции, Рсд-сдельная </w:t>
      </w:r>
      <w:r>
        <w:rPr>
          <w:rFonts w:ascii="Times New Roman" w:hAnsi="Times New Roman"/>
          <w:color w:val="000000"/>
          <w:sz w:val="24"/>
          <w:szCs w:val="24"/>
          <w:lang w:eastAsia="ru-RU"/>
        </w:rPr>
        <w:lastRenderedPageBreak/>
        <w:t>расце</w:t>
      </w:r>
      <w:r>
        <w:rPr>
          <w:rFonts w:ascii="Times New Roman" w:hAnsi="Times New Roman"/>
          <w:color w:val="000000"/>
          <w:sz w:val="24"/>
          <w:szCs w:val="24"/>
          <w:lang w:eastAsia="ru-RU"/>
        </w:rPr>
        <w:t>н</w:t>
      </w:r>
      <w:r>
        <w:rPr>
          <w:rFonts w:ascii="Times New Roman" w:hAnsi="Times New Roman"/>
          <w:color w:val="000000"/>
          <w:sz w:val="24"/>
          <w:szCs w:val="24"/>
          <w:lang w:eastAsia="ru-RU"/>
        </w:rPr>
        <w:t>ка за единицу продукции, Ркс- сдельная косвенная расценка на единицу, В-время, для в</w:t>
      </w:r>
      <w:r>
        <w:rPr>
          <w:rFonts w:ascii="Times New Roman" w:hAnsi="Times New Roman"/>
          <w:color w:val="000000"/>
          <w:sz w:val="24"/>
          <w:szCs w:val="24"/>
          <w:lang w:eastAsia="ru-RU"/>
        </w:rPr>
        <w:t>ы</w:t>
      </w:r>
      <w:r>
        <w:rPr>
          <w:rFonts w:ascii="Times New Roman" w:hAnsi="Times New Roman"/>
          <w:color w:val="000000"/>
          <w:sz w:val="24"/>
          <w:szCs w:val="24"/>
          <w:lang w:eastAsia="ru-RU"/>
        </w:rPr>
        <w:t>полнения определенной операцией над продукцией, СЧ-денежная стоимость часа работы, Рсд-сдельная расценка за деталь, Вн-выпуск нормативный, Р1-прогрессивная расценка.</w:t>
      </w:r>
    </w:p>
    <w:p w14:paraId="4F18C598" w14:textId="77777777" w:rsidR="009C350E"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Каждая форма заработной платы используется в разных случаях, в зависимости от условий труда, особенностей отрасли, как удобнее начислять заработную плату в компании.</w:t>
      </w:r>
    </w:p>
    <w:p w14:paraId="04613057" w14:textId="77777777" w:rsidR="009C350E"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На законодательном уровне заработную плату регламентирует трудовой кодекс. Так же может осуществляться нормативно правовыми актами, основанными на нормах трудов</w:t>
      </w:r>
      <w:r>
        <w:rPr>
          <w:rFonts w:ascii="Times New Roman" w:hAnsi="Times New Roman"/>
          <w:color w:val="000000"/>
          <w:sz w:val="24"/>
          <w:szCs w:val="24"/>
          <w:lang w:eastAsia="ru-RU"/>
        </w:rPr>
        <w:t>о</w:t>
      </w:r>
      <w:r>
        <w:rPr>
          <w:rFonts w:ascii="Times New Roman" w:hAnsi="Times New Roman"/>
          <w:color w:val="000000"/>
          <w:sz w:val="24"/>
          <w:szCs w:val="24"/>
          <w:lang w:eastAsia="ru-RU"/>
        </w:rPr>
        <w:t>го права, указами Президента России, постановлениями правительства и нормативными а</w:t>
      </w:r>
      <w:r>
        <w:rPr>
          <w:rFonts w:ascii="Times New Roman" w:hAnsi="Times New Roman"/>
          <w:color w:val="000000"/>
          <w:sz w:val="24"/>
          <w:szCs w:val="24"/>
          <w:lang w:eastAsia="ru-RU"/>
        </w:rPr>
        <w:t>к</w:t>
      </w:r>
      <w:r>
        <w:rPr>
          <w:rFonts w:ascii="Times New Roman" w:hAnsi="Times New Roman"/>
          <w:color w:val="000000"/>
          <w:sz w:val="24"/>
          <w:szCs w:val="24"/>
          <w:lang w:eastAsia="ru-RU"/>
        </w:rPr>
        <w:t>тами органом местного самоуправления. Основой для начисления заработной платы является выполненная работа по трудовому договору или соглашению. В соответствии со ст. 56 тр</w:t>
      </w:r>
      <w:r>
        <w:rPr>
          <w:rFonts w:ascii="Times New Roman" w:hAnsi="Times New Roman"/>
          <w:color w:val="000000"/>
          <w:sz w:val="24"/>
          <w:szCs w:val="24"/>
          <w:lang w:eastAsia="ru-RU"/>
        </w:rPr>
        <w:t>у</w:t>
      </w:r>
      <w:r>
        <w:rPr>
          <w:rFonts w:ascii="Times New Roman" w:hAnsi="Times New Roman"/>
          <w:color w:val="000000"/>
          <w:sz w:val="24"/>
          <w:szCs w:val="24"/>
          <w:lang w:eastAsia="ru-RU"/>
        </w:rPr>
        <w:t xml:space="preserve">дового кодекса РФ трудовой договор- это соглашение между работодателем и работником, с которым обязуется работодатель: обеспечить условия, предоставить работу и своевременно и в полном объеме выплачивать работнику заработную плату. Трудовой договор составляется в 2-ух экземплярах, каждый при этом подписанный, обеими сторонами. </w:t>
      </w:r>
    </w:p>
    <w:p w14:paraId="1F881E19" w14:textId="77777777" w:rsidR="009C350E" w:rsidRPr="00E50042" w:rsidRDefault="009C350E" w:rsidP="009C350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С 1 января 2018 года изменился минимальный размер оплаты труда (МРОТ), который стал равен 9489 рублям по всем регионам страны согласно </w:t>
      </w:r>
      <w:r w:rsidRPr="00C226DA">
        <w:rPr>
          <w:rFonts w:ascii="Times New Roman" w:hAnsi="Times New Roman"/>
          <w:sz w:val="24"/>
          <w:szCs w:val="24"/>
          <w:shd w:val="clear" w:color="auto" w:fill="FFFFFF"/>
        </w:rPr>
        <w:t>ст. 3 Федерального закона от 28.12.2017 № 421-ФЗ</w:t>
      </w:r>
      <w:r>
        <w:rPr>
          <w:rFonts w:ascii="Times New Roman" w:hAnsi="Times New Roman"/>
          <w:color w:val="000000"/>
          <w:sz w:val="24"/>
          <w:szCs w:val="24"/>
          <w:lang w:eastAsia="ru-RU"/>
        </w:rPr>
        <w:t>. Наблюдается темп прироста данного показателя по сравнению с предыдущим годом на 21,7%. А с 1 мая 2018 года МРОТ приравняют к прожиточному м</w:t>
      </w:r>
      <w:r>
        <w:rPr>
          <w:rFonts w:ascii="Times New Roman" w:hAnsi="Times New Roman"/>
          <w:color w:val="000000"/>
          <w:sz w:val="24"/>
          <w:szCs w:val="24"/>
          <w:lang w:eastAsia="ru-RU"/>
        </w:rPr>
        <w:t>и</w:t>
      </w:r>
      <w:r>
        <w:rPr>
          <w:rFonts w:ascii="Times New Roman" w:hAnsi="Times New Roman"/>
          <w:color w:val="000000"/>
          <w:sz w:val="24"/>
          <w:szCs w:val="24"/>
          <w:lang w:eastAsia="ru-RU"/>
        </w:rPr>
        <w:t>нимуму составив 11163 рубля. Напомню, что в 2017 году данный показатель был равен 7800 рублям. Виден существенный прирост данного показателя. В таблице 3 представлена дин</w:t>
      </w:r>
      <w:r>
        <w:rPr>
          <w:rFonts w:ascii="Times New Roman" w:hAnsi="Times New Roman"/>
          <w:color w:val="000000"/>
          <w:sz w:val="24"/>
          <w:szCs w:val="24"/>
          <w:lang w:eastAsia="ru-RU"/>
        </w:rPr>
        <w:t>а</w:t>
      </w:r>
      <w:r>
        <w:rPr>
          <w:rFonts w:ascii="Times New Roman" w:hAnsi="Times New Roman"/>
          <w:color w:val="000000"/>
          <w:sz w:val="24"/>
          <w:szCs w:val="24"/>
          <w:lang w:eastAsia="ru-RU"/>
        </w:rPr>
        <w:t>мика изменения МРОТ по годам.</w:t>
      </w:r>
      <w:r w:rsidRPr="00E50042">
        <w:rPr>
          <w:rFonts w:ascii="Times New Roman" w:hAnsi="Times New Roman"/>
          <w:color w:val="000000"/>
          <w:sz w:val="24"/>
          <w:szCs w:val="24"/>
          <w:lang w:eastAsia="ru-RU"/>
        </w:rPr>
        <w:t xml:space="preserve"> [4]</w:t>
      </w:r>
    </w:p>
    <w:p w14:paraId="43F76A2A" w14:textId="77777777" w:rsidR="009C350E" w:rsidRPr="00EF6E7D" w:rsidRDefault="009C350E" w:rsidP="009C350E">
      <w:pPr>
        <w:spacing w:after="0" w:line="240" w:lineRule="auto"/>
        <w:ind w:firstLine="709"/>
        <w:jc w:val="right"/>
        <w:rPr>
          <w:rFonts w:ascii="Times New Roman" w:hAnsi="Times New Roman"/>
          <w:i/>
          <w:color w:val="000000"/>
          <w:sz w:val="24"/>
          <w:szCs w:val="24"/>
          <w:lang w:eastAsia="ru-RU"/>
        </w:rPr>
      </w:pPr>
      <w:r w:rsidRPr="00EF6E7D">
        <w:rPr>
          <w:rFonts w:ascii="Times New Roman" w:hAnsi="Times New Roman"/>
          <w:i/>
          <w:color w:val="000000"/>
          <w:sz w:val="24"/>
          <w:szCs w:val="24"/>
          <w:lang w:eastAsia="ru-RU"/>
        </w:rPr>
        <w:t>Таблица 3</w:t>
      </w:r>
    </w:p>
    <w:tbl>
      <w:tblPr>
        <w:tblStyle w:val="a3"/>
        <w:tblW w:w="0" w:type="auto"/>
        <w:tblLook w:val="04A0" w:firstRow="1" w:lastRow="0" w:firstColumn="1" w:lastColumn="0" w:noHBand="0" w:noVBand="1"/>
      </w:tblPr>
      <w:tblGrid>
        <w:gridCol w:w="2407"/>
        <w:gridCol w:w="2407"/>
        <w:gridCol w:w="2407"/>
        <w:gridCol w:w="2407"/>
      </w:tblGrid>
      <w:tr w:rsidR="009C350E" w14:paraId="67BEDC74" w14:textId="77777777" w:rsidTr="007014C7">
        <w:tc>
          <w:tcPr>
            <w:tcW w:w="9628" w:type="dxa"/>
            <w:gridSpan w:val="4"/>
          </w:tcPr>
          <w:p w14:paraId="05B0B93C" w14:textId="77777777" w:rsidR="009C350E" w:rsidRPr="00BD4660" w:rsidRDefault="009C350E" w:rsidP="007014C7">
            <w:pPr>
              <w:jc w:val="center"/>
              <w:rPr>
                <w:rFonts w:ascii="Times New Roman" w:hAnsi="Times New Roman"/>
                <w:b/>
                <w:color w:val="000000"/>
                <w:sz w:val="24"/>
                <w:szCs w:val="24"/>
                <w:lang w:eastAsia="ru-RU"/>
              </w:rPr>
            </w:pPr>
            <w:r w:rsidRPr="00BD4660">
              <w:rPr>
                <w:rFonts w:ascii="Times New Roman" w:hAnsi="Times New Roman"/>
                <w:b/>
                <w:color w:val="000000"/>
                <w:sz w:val="24"/>
                <w:szCs w:val="24"/>
                <w:lang w:eastAsia="ru-RU"/>
              </w:rPr>
              <w:t>Динамика изменения минимального размера оплаты труда</w:t>
            </w:r>
          </w:p>
        </w:tc>
      </w:tr>
      <w:tr w:rsidR="009C350E" w14:paraId="57752EEF" w14:textId="77777777" w:rsidTr="007014C7">
        <w:tc>
          <w:tcPr>
            <w:tcW w:w="2407" w:type="dxa"/>
          </w:tcPr>
          <w:p w14:paraId="201C4E0C"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Год</w:t>
            </w:r>
          </w:p>
        </w:tc>
        <w:tc>
          <w:tcPr>
            <w:tcW w:w="2407" w:type="dxa"/>
          </w:tcPr>
          <w:p w14:paraId="78EAD828"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Минимальный ра</w:t>
            </w:r>
            <w:r>
              <w:rPr>
                <w:rFonts w:ascii="Times New Roman" w:hAnsi="Times New Roman"/>
                <w:color w:val="000000"/>
                <w:sz w:val="24"/>
                <w:szCs w:val="24"/>
                <w:lang w:eastAsia="ru-RU"/>
              </w:rPr>
              <w:t>з</w:t>
            </w:r>
            <w:r>
              <w:rPr>
                <w:rFonts w:ascii="Times New Roman" w:hAnsi="Times New Roman"/>
                <w:color w:val="000000"/>
                <w:sz w:val="24"/>
                <w:szCs w:val="24"/>
                <w:lang w:eastAsia="ru-RU"/>
              </w:rPr>
              <w:t>мер оплаты труда, рублей</w:t>
            </w:r>
          </w:p>
        </w:tc>
        <w:tc>
          <w:tcPr>
            <w:tcW w:w="2407" w:type="dxa"/>
          </w:tcPr>
          <w:p w14:paraId="64736067"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Отклонение, рублей</w:t>
            </w:r>
          </w:p>
        </w:tc>
        <w:tc>
          <w:tcPr>
            <w:tcW w:w="2407" w:type="dxa"/>
          </w:tcPr>
          <w:p w14:paraId="39464295"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Прирост, проценты</w:t>
            </w:r>
          </w:p>
        </w:tc>
      </w:tr>
      <w:tr w:rsidR="009C350E" w14:paraId="4DE263E6" w14:textId="77777777" w:rsidTr="007014C7">
        <w:tc>
          <w:tcPr>
            <w:tcW w:w="2407" w:type="dxa"/>
          </w:tcPr>
          <w:p w14:paraId="45967AB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2018 (1 мая)</w:t>
            </w:r>
          </w:p>
        </w:tc>
        <w:tc>
          <w:tcPr>
            <w:tcW w:w="2407" w:type="dxa"/>
          </w:tcPr>
          <w:p w14:paraId="38EF7E6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11163</w:t>
            </w:r>
          </w:p>
        </w:tc>
        <w:tc>
          <w:tcPr>
            <w:tcW w:w="2407" w:type="dxa"/>
          </w:tcPr>
          <w:p w14:paraId="56D1E64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1674</w:t>
            </w:r>
          </w:p>
        </w:tc>
        <w:tc>
          <w:tcPr>
            <w:tcW w:w="2407" w:type="dxa"/>
          </w:tcPr>
          <w:p w14:paraId="4D7CF57C"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17,6</w:t>
            </w:r>
          </w:p>
        </w:tc>
      </w:tr>
      <w:tr w:rsidR="009C350E" w14:paraId="3341A947" w14:textId="77777777" w:rsidTr="007014C7">
        <w:tc>
          <w:tcPr>
            <w:tcW w:w="2407" w:type="dxa"/>
          </w:tcPr>
          <w:p w14:paraId="011F3DD5"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2018</w:t>
            </w:r>
          </w:p>
        </w:tc>
        <w:tc>
          <w:tcPr>
            <w:tcW w:w="2407" w:type="dxa"/>
          </w:tcPr>
          <w:p w14:paraId="2693CE9A"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9489</w:t>
            </w:r>
          </w:p>
        </w:tc>
        <w:tc>
          <w:tcPr>
            <w:tcW w:w="2407" w:type="dxa"/>
          </w:tcPr>
          <w:p w14:paraId="0F69A298"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1689</w:t>
            </w:r>
          </w:p>
        </w:tc>
        <w:tc>
          <w:tcPr>
            <w:tcW w:w="2407" w:type="dxa"/>
          </w:tcPr>
          <w:p w14:paraId="628F6C7C"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21,7</w:t>
            </w:r>
          </w:p>
        </w:tc>
      </w:tr>
      <w:tr w:rsidR="009C350E" w14:paraId="42A9AA5A" w14:textId="77777777" w:rsidTr="007014C7">
        <w:tc>
          <w:tcPr>
            <w:tcW w:w="2407" w:type="dxa"/>
          </w:tcPr>
          <w:p w14:paraId="7907CAF4"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2017</w:t>
            </w:r>
          </w:p>
        </w:tc>
        <w:tc>
          <w:tcPr>
            <w:tcW w:w="2407" w:type="dxa"/>
          </w:tcPr>
          <w:p w14:paraId="3B01DB64"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7800</w:t>
            </w:r>
          </w:p>
        </w:tc>
        <w:tc>
          <w:tcPr>
            <w:tcW w:w="2407" w:type="dxa"/>
          </w:tcPr>
          <w:p w14:paraId="514A629E"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300</w:t>
            </w:r>
          </w:p>
        </w:tc>
        <w:tc>
          <w:tcPr>
            <w:tcW w:w="2407" w:type="dxa"/>
          </w:tcPr>
          <w:p w14:paraId="2DB638B1"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4</w:t>
            </w:r>
          </w:p>
        </w:tc>
      </w:tr>
      <w:tr w:rsidR="009C350E" w14:paraId="7E203FD7" w14:textId="77777777" w:rsidTr="007014C7">
        <w:tc>
          <w:tcPr>
            <w:tcW w:w="2407" w:type="dxa"/>
          </w:tcPr>
          <w:p w14:paraId="01F9268D"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2016</w:t>
            </w:r>
          </w:p>
        </w:tc>
        <w:tc>
          <w:tcPr>
            <w:tcW w:w="2407" w:type="dxa"/>
          </w:tcPr>
          <w:p w14:paraId="4E489942"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7500</w:t>
            </w:r>
          </w:p>
        </w:tc>
        <w:tc>
          <w:tcPr>
            <w:tcW w:w="2407" w:type="dxa"/>
          </w:tcPr>
          <w:p w14:paraId="522C4EFF"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1296</w:t>
            </w:r>
          </w:p>
        </w:tc>
        <w:tc>
          <w:tcPr>
            <w:tcW w:w="2407" w:type="dxa"/>
          </w:tcPr>
          <w:p w14:paraId="08DF6B33" w14:textId="77777777" w:rsidR="009C350E" w:rsidRDefault="009C350E" w:rsidP="007014C7">
            <w:pPr>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p>
        </w:tc>
      </w:tr>
    </w:tbl>
    <w:p w14:paraId="363E23C7" w14:textId="77777777" w:rsidR="009C350E" w:rsidRDefault="009C350E" w:rsidP="009C350E">
      <w:pPr>
        <w:shd w:val="clear" w:color="auto" w:fill="FFFFFF"/>
        <w:spacing w:after="0" w:line="240" w:lineRule="auto"/>
        <w:ind w:firstLine="708"/>
        <w:jc w:val="both"/>
        <w:rPr>
          <w:rFonts w:ascii="Times New Roman" w:hAnsi="Times New Roman"/>
          <w:color w:val="000000"/>
          <w:sz w:val="24"/>
          <w:szCs w:val="21"/>
          <w:lang w:eastAsia="ru-RU"/>
        </w:rPr>
      </w:pPr>
      <w:r>
        <w:rPr>
          <w:rFonts w:ascii="Times New Roman" w:hAnsi="Times New Roman"/>
          <w:color w:val="000000"/>
          <w:sz w:val="24"/>
          <w:szCs w:val="21"/>
          <w:lang w:eastAsia="ru-RU"/>
        </w:rPr>
        <w:t>Если показатель заработной платы рабочего меньше показателя МРОТ, при условии что все дни, установленный трудовым договором были посещены и норма труда была в</w:t>
      </w:r>
      <w:r>
        <w:rPr>
          <w:rFonts w:ascii="Times New Roman" w:hAnsi="Times New Roman"/>
          <w:color w:val="000000"/>
          <w:sz w:val="24"/>
          <w:szCs w:val="21"/>
          <w:lang w:eastAsia="ru-RU"/>
        </w:rPr>
        <w:t>ы</w:t>
      </w:r>
      <w:r>
        <w:rPr>
          <w:rFonts w:ascii="Times New Roman" w:hAnsi="Times New Roman"/>
          <w:color w:val="000000"/>
          <w:sz w:val="24"/>
          <w:szCs w:val="21"/>
          <w:lang w:eastAsia="ru-RU"/>
        </w:rPr>
        <w:t>полнена, компания при выявлении данного факта может получить штраф в размере 50 тысяч рублей. МРОТ очень сильно влияет на величину заработной платы, такой является базой для его начисления, также от нее зависит размер пособий, величина страховых взносов.</w:t>
      </w:r>
    </w:p>
    <w:p w14:paraId="08EF48C3" w14:textId="77777777" w:rsidR="009C350E" w:rsidRPr="00E50042" w:rsidRDefault="009C350E" w:rsidP="009C350E">
      <w:pPr>
        <w:shd w:val="clear" w:color="auto" w:fill="FFFFFF"/>
        <w:spacing w:after="0" w:line="240" w:lineRule="auto"/>
        <w:ind w:firstLine="708"/>
        <w:jc w:val="both"/>
        <w:rPr>
          <w:rFonts w:ascii="Times New Roman" w:hAnsi="Times New Roman"/>
          <w:color w:val="000000"/>
          <w:sz w:val="24"/>
          <w:szCs w:val="21"/>
          <w:lang w:eastAsia="ru-RU"/>
        </w:rPr>
      </w:pPr>
      <w:r>
        <w:rPr>
          <w:rFonts w:ascii="Times New Roman" w:hAnsi="Times New Roman"/>
          <w:color w:val="000000"/>
          <w:sz w:val="24"/>
          <w:szCs w:val="21"/>
          <w:lang w:eastAsia="ru-RU"/>
        </w:rPr>
        <w:t>У некоторых регионах России значения МРОТ отличаются от назначенного и выдают большую величину, так как в регионах работает районный коэффициент, зависящий от сложностей в условиях труда. В таблице 4 приведены несколько примеров отличий МРОТ</w:t>
      </w:r>
      <w:r w:rsidRPr="00E50042">
        <w:rPr>
          <w:rFonts w:ascii="Times New Roman" w:hAnsi="Times New Roman"/>
          <w:color w:val="000000"/>
          <w:sz w:val="24"/>
          <w:szCs w:val="21"/>
          <w:lang w:eastAsia="ru-RU"/>
        </w:rPr>
        <w:t>[4]</w:t>
      </w:r>
    </w:p>
    <w:p w14:paraId="5EC70E8B" w14:textId="77777777" w:rsidR="009C350E" w:rsidRPr="00C336D6" w:rsidRDefault="009C350E" w:rsidP="009C350E">
      <w:pPr>
        <w:spacing w:after="0" w:line="240" w:lineRule="auto"/>
        <w:ind w:firstLine="709"/>
        <w:jc w:val="right"/>
        <w:rPr>
          <w:rFonts w:ascii="Times New Roman" w:hAnsi="Times New Roman"/>
          <w:i/>
          <w:color w:val="000000"/>
          <w:sz w:val="24"/>
          <w:szCs w:val="24"/>
          <w:lang w:eastAsia="ru-RU"/>
        </w:rPr>
      </w:pPr>
      <w:r>
        <w:rPr>
          <w:rFonts w:ascii="Times New Roman" w:hAnsi="Times New Roman"/>
          <w:i/>
          <w:color w:val="000000"/>
          <w:sz w:val="24"/>
          <w:szCs w:val="24"/>
          <w:lang w:eastAsia="ru-RU"/>
        </w:rPr>
        <w:t>Таблица 4</w:t>
      </w:r>
    </w:p>
    <w:tbl>
      <w:tblPr>
        <w:tblStyle w:val="a3"/>
        <w:tblW w:w="0" w:type="auto"/>
        <w:tblLook w:val="04A0" w:firstRow="1" w:lastRow="0" w:firstColumn="1" w:lastColumn="0" w:noHBand="0" w:noVBand="1"/>
      </w:tblPr>
      <w:tblGrid>
        <w:gridCol w:w="4814"/>
        <w:gridCol w:w="4814"/>
      </w:tblGrid>
      <w:tr w:rsidR="009C350E" w14:paraId="44BEC992" w14:textId="77777777" w:rsidTr="007014C7">
        <w:tc>
          <w:tcPr>
            <w:tcW w:w="4814" w:type="dxa"/>
          </w:tcPr>
          <w:p w14:paraId="1585E30F" w14:textId="77777777" w:rsidR="009C350E" w:rsidRPr="009C04CA" w:rsidRDefault="009C350E" w:rsidP="007014C7">
            <w:pPr>
              <w:jc w:val="center"/>
              <w:rPr>
                <w:rFonts w:ascii="Times New Roman" w:hAnsi="Times New Roman"/>
                <w:b/>
                <w:color w:val="000000"/>
                <w:sz w:val="24"/>
                <w:szCs w:val="21"/>
                <w:lang w:eastAsia="ru-RU"/>
              </w:rPr>
            </w:pPr>
            <w:r w:rsidRPr="009C04CA">
              <w:rPr>
                <w:rFonts w:ascii="Times New Roman" w:hAnsi="Times New Roman"/>
                <w:b/>
                <w:color w:val="000000"/>
                <w:sz w:val="24"/>
                <w:szCs w:val="21"/>
                <w:lang w:eastAsia="ru-RU"/>
              </w:rPr>
              <w:t>Регион</w:t>
            </w:r>
          </w:p>
        </w:tc>
        <w:tc>
          <w:tcPr>
            <w:tcW w:w="4814" w:type="dxa"/>
          </w:tcPr>
          <w:p w14:paraId="4C6473E4" w14:textId="77777777" w:rsidR="009C350E" w:rsidRPr="009C04CA" w:rsidRDefault="009C350E" w:rsidP="007014C7">
            <w:pPr>
              <w:jc w:val="center"/>
              <w:rPr>
                <w:rFonts w:ascii="Times New Roman" w:hAnsi="Times New Roman"/>
                <w:b/>
                <w:color w:val="000000"/>
                <w:sz w:val="24"/>
                <w:szCs w:val="21"/>
                <w:lang w:eastAsia="ru-RU"/>
              </w:rPr>
            </w:pPr>
            <w:r w:rsidRPr="009C04CA">
              <w:rPr>
                <w:rFonts w:ascii="Times New Roman" w:hAnsi="Times New Roman"/>
                <w:b/>
                <w:color w:val="000000"/>
                <w:sz w:val="24"/>
                <w:szCs w:val="21"/>
                <w:lang w:eastAsia="ru-RU"/>
              </w:rPr>
              <w:t>МРОТ в регионе, рублей</w:t>
            </w:r>
          </w:p>
        </w:tc>
      </w:tr>
      <w:tr w:rsidR="009C350E" w14:paraId="429D0843" w14:textId="77777777" w:rsidTr="007014C7">
        <w:tc>
          <w:tcPr>
            <w:tcW w:w="4814" w:type="dxa"/>
          </w:tcPr>
          <w:p w14:paraId="6647B469"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Астраханская область</w:t>
            </w:r>
          </w:p>
        </w:tc>
        <w:tc>
          <w:tcPr>
            <w:tcW w:w="4814" w:type="dxa"/>
          </w:tcPr>
          <w:p w14:paraId="67E12032"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11163</w:t>
            </w:r>
          </w:p>
        </w:tc>
      </w:tr>
      <w:tr w:rsidR="009C350E" w14:paraId="6139BD96" w14:textId="77777777" w:rsidTr="007014C7">
        <w:tc>
          <w:tcPr>
            <w:tcW w:w="4814" w:type="dxa"/>
          </w:tcPr>
          <w:p w14:paraId="1D52D3F9"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Красноярский край</w:t>
            </w:r>
          </w:p>
        </w:tc>
        <w:tc>
          <w:tcPr>
            <w:tcW w:w="4814" w:type="dxa"/>
          </w:tcPr>
          <w:p w14:paraId="0D9AC4F0"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Г. Норильск 16130</w:t>
            </w:r>
          </w:p>
          <w:p w14:paraId="0581D7A0"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Г. Енисейск 15918</w:t>
            </w:r>
          </w:p>
        </w:tc>
      </w:tr>
      <w:tr w:rsidR="009C350E" w:rsidRPr="00145E4F" w14:paraId="421B5F2F" w14:textId="77777777" w:rsidTr="007014C7">
        <w:tc>
          <w:tcPr>
            <w:tcW w:w="4814" w:type="dxa"/>
          </w:tcPr>
          <w:p w14:paraId="7F2B00A0"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Магаданская область</w:t>
            </w:r>
          </w:p>
        </w:tc>
        <w:tc>
          <w:tcPr>
            <w:tcW w:w="4814" w:type="dxa"/>
          </w:tcPr>
          <w:p w14:paraId="2FC3F1DD"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19500</w:t>
            </w:r>
          </w:p>
          <w:p w14:paraId="0B2268CE"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В Северо-Эвенском районе 21060</w:t>
            </w:r>
          </w:p>
        </w:tc>
      </w:tr>
      <w:tr w:rsidR="009C350E" w:rsidRPr="00145E4F" w14:paraId="3AD5E8FF" w14:textId="77777777" w:rsidTr="007014C7">
        <w:tc>
          <w:tcPr>
            <w:tcW w:w="4814" w:type="dxa"/>
          </w:tcPr>
          <w:p w14:paraId="2F1F5854"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Хабаровский край</w:t>
            </w:r>
          </w:p>
        </w:tc>
        <w:tc>
          <w:tcPr>
            <w:tcW w:w="4814" w:type="dxa"/>
          </w:tcPr>
          <w:p w14:paraId="608C6894"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В Охотском районе 15510</w:t>
            </w:r>
          </w:p>
          <w:p w14:paraId="0594DC59" w14:textId="77777777" w:rsidR="009C350E" w:rsidRDefault="009C350E" w:rsidP="007014C7">
            <w:pPr>
              <w:jc w:val="both"/>
              <w:rPr>
                <w:rFonts w:ascii="Times New Roman" w:hAnsi="Times New Roman"/>
                <w:color w:val="000000"/>
                <w:sz w:val="24"/>
                <w:szCs w:val="21"/>
                <w:lang w:eastAsia="ru-RU"/>
              </w:rPr>
            </w:pPr>
            <w:r w:rsidRPr="00145E4F">
              <w:rPr>
                <w:rFonts w:ascii="Times New Roman" w:hAnsi="Times New Roman"/>
                <w:color w:val="000000"/>
                <w:sz w:val="24"/>
                <w:szCs w:val="21"/>
                <w:lang w:eastAsia="ru-RU"/>
              </w:rPr>
              <w:t xml:space="preserve">в </w:t>
            </w:r>
            <w:r>
              <w:rPr>
                <w:rFonts w:ascii="Times New Roman" w:hAnsi="Times New Roman"/>
                <w:color w:val="000000"/>
                <w:sz w:val="24"/>
                <w:szCs w:val="21"/>
                <w:lang w:eastAsia="ru-RU"/>
              </w:rPr>
              <w:t>Аяно-Майском районе – 14269 с различ</w:t>
            </w:r>
            <w:r>
              <w:rPr>
                <w:rFonts w:ascii="Times New Roman" w:hAnsi="Times New Roman"/>
                <w:color w:val="000000"/>
                <w:sz w:val="24"/>
                <w:szCs w:val="21"/>
                <w:lang w:eastAsia="ru-RU"/>
              </w:rPr>
              <w:t>и</w:t>
            </w:r>
            <w:r>
              <w:rPr>
                <w:rFonts w:ascii="Times New Roman" w:hAnsi="Times New Roman"/>
                <w:color w:val="000000"/>
                <w:sz w:val="24"/>
                <w:szCs w:val="21"/>
                <w:lang w:eastAsia="ru-RU"/>
              </w:rPr>
              <w:t>ями по районам</w:t>
            </w:r>
          </w:p>
        </w:tc>
      </w:tr>
      <w:tr w:rsidR="009C350E" w:rsidRPr="00145E4F" w14:paraId="3E082DF8" w14:textId="77777777" w:rsidTr="007014C7">
        <w:tc>
          <w:tcPr>
            <w:tcW w:w="4814" w:type="dxa"/>
          </w:tcPr>
          <w:p w14:paraId="3B584DFD" w14:textId="77777777" w:rsidR="009C350E"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Приморский край</w:t>
            </w:r>
          </w:p>
        </w:tc>
        <w:tc>
          <w:tcPr>
            <w:tcW w:w="4814" w:type="dxa"/>
          </w:tcPr>
          <w:p w14:paraId="45B4A419" w14:textId="77777777" w:rsidR="009C350E" w:rsidRPr="00291518" w:rsidRDefault="009C350E" w:rsidP="007014C7">
            <w:pPr>
              <w:jc w:val="both"/>
              <w:rPr>
                <w:rFonts w:ascii="Times New Roman" w:hAnsi="Times New Roman"/>
                <w:color w:val="000000"/>
                <w:sz w:val="24"/>
                <w:szCs w:val="21"/>
                <w:lang w:eastAsia="ru-RU"/>
              </w:rPr>
            </w:pPr>
            <w:r>
              <w:rPr>
                <w:rFonts w:ascii="Times New Roman" w:hAnsi="Times New Roman"/>
                <w:color w:val="000000"/>
                <w:sz w:val="24"/>
                <w:szCs w:val="21"/>
                <w:lang w:eastAsia="ru-RU"/>
              </w:rPr>
              <w:t>11163</w:t>
            </w:r>
          </w:p>
        </w:tc>
      </w:tr>
    </w:tbl>
    <w:p w14:paraId="5AD86998" w14:textId="77777777" w:rsidR="009C350E" w:rsidRPr="00FE798F" w:rsidRDefault="009C350E" w:rsidP="009C350E">
      <w:pPr>
        <w:shd w:val="clear" w:color="auto" w:fill="FFFFFF"/>
        <w:spacing w:after="0" w:line="240" w:lineRule="auto"/>
        <w:ind w:firstLine="708"/>
        <w:jc w:val="both"/>
        <w:rPr>
          <w:rFonts w:ascii="Times New Roman" w:hAnsi="Times New Roman"/>
          <w:color w:val="000000"/>
          <w:sz w:val="24"/>
          <w:szCs w:val="21"/>
          <w:lang w:eastAsia="ru-RU"/>
        </w:rPr>
      </w:pPr>
      <w:r w:rsidRPr="00FE798F">
        <w:rPr>
          <w:rFonts w:ascii="Times New Roman" w:hAnsi="Times New Roman"/>
          <w:color w:val="000000"/>
          <w:sz w:val="24"/>
          <w:szCs w:val="21"/>
          <w:lang w:eastAsia="ru-RU"/>
        </w:rPr>
        <w:t>Документами регулирующими учёт труда и его оплаты являются:</w:t>
      </w:r>
    </w:p>
    <w:p w14:paraId="3B57D8A4" w14:textId="77777777" w:rsidR="009C350E" w:rsidRPr="00FE798F" w:rsidRDefault="009C350E" w:rsidP="009C350E">
      <w:pPr>
        <w:shd w:val="clear" w:color="auto" w:fill="FFFFFF"/>
        <w:spacing w:after="0" w:line="240" w:lineRule="auto"/>
        <w:jc w:val="both"/>
        <w:rPr>
          <w:rFonts w:ascii="Times New Roman" w:hAnsi="Times New Roman"/>
          <w:color w:val="000000"/>
          <w:sz w:val="24"/>
          <w:szCs w:val="21"/>
          <w:lang w:eastAsia="ru-RU"/>
        </w:rPr>
      </w:pPr>
      <w:r w:rsidRPr="00FE798F">
        <w:rPr>
          <w:rFonts w:ascii="Times New Roman" w:hAnsi="Times New Roman"/>
          <w:color w:val="000000"/>
          <w:sz w:val="24"/>
          <w:szCs w:val="21"/>
          <w:lang w:eastAsia="ru-RU"/>
        </w:rPr>
        <w:lastRenderedPageBreak/>
        <w:t xml:space="preserve">- Федеральный закон «О бухгалтерском учете» от 06.12.2011 N 402-ФЗ. (ред. от </w:t>
      </w:r>
      <w:r>
        <w:rPr>
          <w:rFonts w:ascii="Times New Roman" w:hAnsi="Times New Roman"/>
          <w:color w:val="000000"/>
          <w:sz w:val="24"/>
          <w:szCs w:val="21"/>
          <w:lang w:eastAsia="ru-RU"/>
        </w:rPr>
        <w:t>31.11.2017</w:t>
      </w:r>
      <w:r w:rsidRPr="00FE798F">
        <w:rPr>
          <w:rFonts w:ascii="Times New Roman" w:hAnsi="Times New Roman"/>
          <w:color w:val="000000"/>
          <w:sz w:val="24"/>
          <w:szCs w:val="21"/>
          <w:lang w:eastAsia="ru-RU"/>
        </w:rPr>
        <w:t>);</w:t>
      </w:r>
    </w:p>
    <w:p w14:paraId="341EDF0D" w14:textId="77777777" w:rsidR="009C350E" w:rsidRPr="00FE798F" w:rsidRDefault="009C350E" w:rsidP="009C350E">
      <w:pPr>
        <w:shd w:val="clear" w:color="auto" w:fill="FFFFFF"/>
        <w:spacing w:after="0" w:line="240" w:lineRule="auto"/>
        <w:jc w:val="both"/>
        <w:rPr>
          <w:rFonts w:ascii="Times New Roman" w:hAnsi="Times New Roman"/>
          <w:color w:val="000000"/>
          <w:sz w:val="24"/>
          <w:szCs w:val="21"/>
          <w:lang w:eastAsia="ru-RU"/>
        </w:rPr>
      </w:pPr>
      <w:r w:rsidRPr="00FE798F">
        <w:rPr>
          <w:rFonts w:ascii="Times New Roman" w:hAnsi="Times New Roman"/>
          <w:color w:val="000000"/>
          <w:sz w:val="24"/>
          <w:szCs w:val="21"/>
          <w:lang w:eastAsia="ru-RU"/>
        </w:rPr>
        <w:t xml:space="preserve">- Гражданский кодекс Российской Федерации. Часть 1 и 2 от 30.11.1994 N 51-ФЗ (ред. от </w:t>
      </w:r>
      <w:r>
        <w:rPr>
          <w:rFonts w:ascii="Times New Roman" w:hAnsi="Times New Roman"/>
          <w:color w:val="000000"/>
          <w:sz w:val="24"/>
          <w:szCs w:val="21"/>
          <w:lang w:eastAsia="ru-RU"/>
        </w:rPr>
        <w:t>29.12.2017)</w:t>
      </w:r>
    </w:p>
    <w:p w14:paraId="1F5FB68A" w14:textId="77777777" w:rsidR="009C350E" w:rsidRPr="00FE798F" w:rsidRDefault="009C350E" w:rsidP="009C350E">
      <w:pPr>
        <w:shd w:val="clear" w:color="auto" w:fill="FFFFFF"/>
        <w:spacing w:after="0" w:line="240" w:lineRule="auto"/>
        <w:jc w:val="both"/>
        <w:rPr>
          <w:rFonts w:ascii="Times New Roman" w:hAnsi="Times New Roman"/>
          <w:color w:val="000000"/>
          <w:sz w:val="24"/>
          <w:szCs w:val="21"/>
          <w:lang w:eastAsia="ru-RU"/>
        </w:rPr>
      </w:pPr>
      <w:r w:rsidRPr="00FE798F">
        <w:rPr>
          <w:rFonts w:ascii="Times New Roman" w:hAnsi="Times New Roman"/>
          <w:color w:val="000000"/>
          <w:sz w:val="24"/>
          <w:szCs w:val="21"/>
          <w:lang w:eastAsia="ru-RU"/>
        </w:rPr>
        <w:t xml:space="preserve">- Положение по ведению бухгалтерского учёта и бухгалтерской отчётности в Российской Федерации. Утверждено приказом Министерства финансов Российской Федерации от 29 июля 1998 г. № 34н. (ред. от </w:t>
      </w:r>
      <w:r>
        <w:rPr>
          <w:rFonts w:ascii="Times New Roman" w:hAnsi="Times New Roman"/>
          <w:color w:val="000000"/>
          <w:sz w:val="24"/>
          <w:szCs w:val="21"/>
          <w:lang w:eastAsia="ru-RU"/>
        </w:rPr>
        <w:t>29.03.2017</w:t>
      </w:r>
      <w:r w:rsidRPr="00FE798F">
        <w:rPr>
          <w:rFonts w:ascii="Times New Roman" w:hAnsi="Times New Roman"/>
          <w:color w:val="000000"/>
          <w:sz w:val="24"/>
          <w:szCs w:val="21"/>
          <w:lang w:eastAsia="ru-RU"/>
        </w:rPr>
        <w:t>);</w:t>
      </w:r>
    </w:p>
    <w:p w14:paraId="35EA842E" w14:textId="77777777" w:rsidR="009C350E" w:rsidRPr="00721C22" w:rsidRDefault="009C350E" w:rsidP="009C350E">
      <w:pPr>
        <w:spacing w:after="0" w:line="240" w:lineRule="auto"/>
        <w:jc w:val="both"/>
        <w:rPr>
          <w:rFonts w:ascii="Times New Roman" w:hAnsi="Times New Roman"/>
          <w:sz w:val="24"/>
        </w:rPr>
      </w:pPr>
      <w:r w:rsidRPr="00FE798F">
        <w:rPr>
          <w:rFonts w:ascii="Times New Roman" w:hAnsi="Times New Roman"/>
          <w:color w:val="000000"/>
          <w:sz w:val="24"/>
          <w:szCs w:val="21"/>
          <w:lang w:eastAsia="ru-RU"/>
        </w:rPr>
        <w:t>-</w:t>
      </w:r>
      <w:r>
        <w:rPr>
          <w:rFonts w:ascii="Times New Roman" w:hAnsi="Times New Roman"/>
          <w:color w:val="000000"/>
          <w:sz w:val="24"/>
          <w:szCs w:val="21"/>
          <w:lang w:eastAsia="ru-RU"/>
        </w:rPr>
        <w:t xml:space="preserve">ПБУ </w:t>
      </w:r>
      <w:r w:rsidRPr="001F73AD">
        <w:rPr>
          <w:rFonts w:ascii="Times New Roman" w:hAnsi="Times New Roman"/>
          <w:sz w:val="24"/>
        </w:rPr>
        <w:t>10/99 «Расходы организации»</w:t>
      </w:r>
      <w:r w:rsidRPr="00FE798F">
        <w:rPr>
          <w:rFonts w:ascii="Times New Roman" w:hAnsi="Times New Roman"/>
          <w:color w:val="000000"/>
          <w:sz w:val="24"/>
          <w:szCs w:val="21"/>
          <w:lang w:eastAsia="ru-RU"/>
        </w:rPr>
        <w:t xml:space="preserve"> </w:t>
      </w:r>
      <w:r>
        <w:rPr>
          <w:rFonts w:ascii="Times New Roman" w:hAnsi="Times New Roman"/>
          <w:color w:val="000000"/>
          <w:sz w:val="24"/>
          <w:szCs w:val="21"/>
          <w:lang w:eastAsia="ru-RU"/>
        </w:rPr>
        <w:t>[5</w:t>
      </w:r>
      <w:r w:rsidRPr="00291518">
        <w:rPr>
          <w:rFonts w:ascii="Times New Roman" w:hAnsi="Times New Roman"/>
          <w:color w:val="000000"/>
          <w:sz w:val="24"/>
          <w:szCs w:val="21"/>
          <w:lang w:eastAsia="ru-RU"/>
        </w:rPr>
        <w:t xml:space="preserve">, </w:t>
      </w:r>
      <w:r>
        <w:rPr>
          <w:rFonts w:ascii="Times New Roman" w:hAnsi="Times New Roman"/>
          <w:color w:val="000000"/>
          <w:sz w:val="24"/>
          <w:szCs w:val="21"/>
          <w:lang w:val="en-US" w:eastAsia="ru-RU"/>
        </w:rPr>
        <w:t>c</w:t>
      </w:r>
      <w:r w:rsidRPr="00291518">
        <w:rPr>
          <w:rFonts w:ascii="Times New Roman" w:hAnsi="Times New Roman"/>
          <w:color w:val="000000"/>
          <w:sz w:val="24"/>
          <w:szCs w:val="21"/>
          <w:lang w:eastAsia="ru-RU"/>
        </w:rPr>
        <w:t xml:space="preserve">. </w:t>
      </w:r>
      <w:r>
        <w:rPr>
          <w:rFonts w:ascii="Times New Roman" w:hAnsi="Times New Roman"/>
          <w:color w:val="000000"/>
          <w:sz w:val="24"/>
          <w:szCs w:val="21"/>
          <w:lang w:eastAsia="ru-RU"/>
        </w:rPr>
        <w:t>472</w:t>
      </w:r>
      <w:r w:rsidRPr="00291518">
        <w:rPr>
          <w:rFonts w:ascii="Times New Roman" w:hAnsi="Times New Roman"/>
          <w:color w:val="000000"/>
          <w:sz w:val="24"/>
          <w:szCs w:val="21"/>
          <w:lang w:eastAsia="ru-RU"/>
        </w:rPr>
        <w:t>]</w:t>
      </w:r>
    </w:p>
    <w:p w14:paraId="00DDAD76" w14:textId="77777777" w:rsidR="009C350E" w:rsidRPr="005C0DFC" w:rsidRDefault="009C350E" w:rsidP="009C350E">
      <w:pPr>
        <w:spacing w:after="0" w:line="240" w:lineRule="auto"/>
        <w:jc w:val="both"/>
        <w:rPr>
          <w:rFonts w:ascii="Times New Roman" w:hAnsi="Times New Roman"/>
          <w:sz w:val="24"/>
        </w:rPr>
      </w:pPr>
      <w:r>
        <w:rPr>
          <w:rFonts w:ascii="Times New Roman" w:hAnsi="Times New Roman"/>
          <w:sz w:val="24"/>
          <w:lang w:eastAsia="ru-RU"/>
        </w:rPr>
        <w:tab/>
        <w:t>Для учета начисления, выплат и состава рабочих используют следующие формы пе</w:t>
      </w:r>
      <w:r>
        <w:rPr>
          <w:rFonts w:ascii="Times New Roman" w:hAnsi="Times New Roman"/>
          <w:sz w:val="24"/>
          <w:lang w:eastAsia="ru-RU"/>
        </w:rPr>
        <w:t>р</w:t>
      </w:r>
      <w:r>
        <w:rPr>
          <w:rFonts w:ascii="Times New Roman" w:hAnsi="Times New Roman"/>
          <w:sz w:val="24"/>
          <w:lang w:eastAsia="ru-RU"/>
        </w:rPr>
        <w:t xml:space="preserve">вичных документов: </w:t>
      </w:r>
      <w:r w:rsidRPr="005C0DFC">
        <w:rPr>
          <w:rFonts w:ascii="Times New Roman" w:hAnsi="Times New Roman"/>
          <w:sz w:val="24"/>
        </w:rPr>
        <w:t>- приказ (распоряжение) о приёме на работу (ф. № Т-1);</w:t>
      </w:r>
    </w:p>
    <w:p w14:paraId="535425B0" w14:textId="77777777" w:rsidR="009C350E" w:rsidRPr="005C0DFC" w:rsidRDefault="009C350E" w:rsidP="009C350E">
      <w:pPr>
        <w:spacing w:after="0"/>
        <w:jc w:val="both"/>
        <w:rPr>
          <w:rFonts w:ascii="Times New Roman" w:hAnsi="Times New Roman"/>
          <w:sz w:val="24"/>
        </w:rPr>
      </w:pPr>
      <w:r w:rsidRPr="005C0DFC">
        <w:rPr>
          <w:rFonts w:ascii="Times New Roman" w:hAnsi="Times New Roman"/>
          <w:sz w:val="24"/>
        </w:rPr>
        <w:t>- личная карточка (ф. № Т-2);</w:t>
      </w:r>
    </w:p>
    <w:p w14:paraId="5E36B604" w14:textId="77777777" w:rsidR="009C350E" w:rsidRPr="005C0DFC" w:rsidRDefault="009C350E" w:rsidP="009C350E">
      <w:pPr>
        <w:spacing w:after="0"/>
        <w:jc w:val="both"/>
        <w:rPr>
          <w:rFonts w:ascii="Times New Roman" w:hAnsi="Times New Roman"/>
          <w:sz w:val="24"/>
        </w:rPr>
      </w:pPr>
      <w:r w:rsidRPr="005C0DFC">
        <w:rPr>
          <w:rFonts w:ascii="Times New Roman" w:hAnsi="Times New Roman"/>
          <w:sz w:val="24"/>
        </w:rPr>
        <w:t>- приказ (распоряжение) о предоставлении отпуска (ф. № Т-6);</w:t>
      </w:r>
    </w:p>
    <w:p w14:paraId="73F19E07" w14:textId="77777777" w:rsidR="009C350E" w:rsidRPr="0072693B" w:rsidRDefault="009C350E" w:rsidP="009C350E">
      <w:pPr>
        <w:spacing w:after="0"/>
        <w:jc w:val="both"/>
        <w:rPr>
          <w:rFonts w:ascii="Times New Roman" w:hAnsi="Times New Roman"/>
          <w:sz w:val="24"/>
        </w:rPr>
      </w:pPr>
      <w:r w:rsidRPr="005C0DFC">
        <w:rPr>
          <w:rFonts w:ascii="Times New Roman" w:hAnsi="Times New Roman"/>
          <w:sz w:val="24"/>
        </w:rPr>
        <w:t>- табель учёта использования рабочего времени и расчёта</w:t>
      </w:r>
      <w:r>
        <w:rPr>
          <w:rFonts w:ascii="Times New Roman" w:hAnsi="Times New Roman"/>
          <w:sz w:val="24"/>
        </w:rPr>
        <w:t xml:space="preserve"> заработной платы (ф. № Т-12).</w:t>
      </w:r>
    </w:p>
    <w:p w14:paraId="174865EF" w14:textId="77777777" w:rsidR="009C350E" w:rsidRDefault="009C350E" w:rsidP="009C350E">
      <w:pPr>
        <w:spacing w:after="0"/>
        <w:jc w:val="both"/>
        <w:rPr>
          <w:rFonts w:ascii="Times New Roman" w:hAnsi="Times New Roman"/>
          <w:sz w:val="24"/>
        </w:rPr>
      </w:pPr>
      <w:r>
        <w:rPr>
          <w:rFonts w:ascii="Times New Roman" w:hAnsi="Times New Roman"/>
          <w:sz w:val="24"/>
        </w:rPr>
        <w:tab/>
        <w:t>Основным счетом для расчета с персоналом является счет 70. Кредит начисления, кредитовое сальдо показывает задолженность предприятия перед работником. В таблице 5 отражены основные корреспондентские счета.</w:t>
      </w:r>
      <w:r w:rsidRPr="001863DA">
        <w:rPr>
          <w:rFonts w:ascii="Times New Roman" w:hAnsi="Times New Roman"/>
          <w:sz w:val="24"/>
        </w:rPr>
        <w:t xml:space="preserve"> </w:t>
      </w:r>
      <w:r w:rsidRPr="0072693B">
        <w:rPr>
          <w:rFonts w:ascii="Times New Roman" w:hAnsi="Times New Roman"/>
          <w:sz w:val="24"/>
        </w:rPr>
        <w:t>[</w:t>
      </w:r>
      <w:r>
        <w:rPr>
          <w:rFonts w:ascii="Times New Roman" w:hAnsi="Times New Roman"/>
          <w:sz w:val="24"/>
        </w:rPr>
        <w:t>6, с. 228</w:t>
      </w:r>
      <w:r w:rsidRPr="0072693B">
        <w:rPr>
          <w:rFonts w:ascii="Times New Roman" w:hAnsi="Times New Roman"/>
          <w:sz w:val="24"/>
        </w:rPr>
        <w:t>]</w:t>
      </w:r>
    </w:p>
    <w:p w14:paraId="4F7B512C" w14:textId="77777777" w:rsidR="009C350E" w:rsidRPr="00C607DA" w:rsidRDefault="009C350E" w:rsidP="009C350E">
      <w:pPr>
        <w:spacing w:after="0"/>
        <w:jc w:val="right"/>
        <w:rPr>
          <w:rFonts w:ascii="Times New Roman" w:hAnsi="Times New Roman"/>
          <w:i/>
          <w:sz w:val="24"/>
        </w:rPr>
      </w:pPr>
      <w:r>
        <w:rPr>
          <w:rFonts w:ascii="Times New Roman" w:hAnsi="Times New Roman"/>
          <w:i/>
          <w:sz w:val="24"/>
        </w:rPr>
        <w:t>Таблица 5</w:t>
      </w:r>
    </w:p>
    <w:tbl>
      <w:tblPr>
        <w:tblStyle w:val="a3"/>
        <w:tblW w:w="0" w:type="auto"/>
        <w:tblLook w:val="04A0" w:firstRow="1" w:lastRow="0" w:firstColumn="1" w:lastColumn="0" w:noHBand="0" w:noVBand="1"/>
      </w:tblPr>
      <w:tblGrid>
        <w:gridCol w:w="3964"/>
        <w:gridCol w:w="5664"/>
      </w:tblGrid>
      <w:tr w:rsidR="009C350E" w14:paraId="37B01EA9" w14:textId="77777777" w:rsidTr="007014C7">
        <w:tc>
          <w:tcPr>
            <w:tcW w:w="9628" w:type="dxa"/>
            <w:gridSpan w:val="2"/>
          </w:tcPr>
          <w:p w14:paraId="48E5EC89" w14:textId="77777777" w:rsidR="009C350E" w:rsidRPr="00C607DA" w:rsidRDefault="009C350E" w:rsidP="007014C7">
            <w:pPr>
              <w:jc w:val="center"/>
              <w:rPr>
                <w:rFonts w:ascii="Times New Roman" w:hAnsi="Times New Roman"/>
                <w:b/>
                <w:sz w:val="24"/>
              </w:rPr>
            </w:pPr>
            <w:r w:rsidRPr="00C607DA">
              <w:rPr>
                <w:rFonts w:ascii="Times New Roman" w:hAnsi="Times New Roman"/>
                <w:b/>
                <w:sz w:val="24"/>
              </w:rPr>
              <w:t>Дебетовые и кредитовые счета расчетов</w:t>
            </w:r>
          </w:p>
        </w:tc>
      </w:tr>
      <w:tr w:rsidR="009C350E" w14:paraId="6980128F" w14:textId="77777777" w:rsidTr="007014C7">
        <w:tc>
          <w:tcPr>
            <w:tcW w:w="3964" w:type="dxa"/>
          </w:tcPr>
          <w:p w14:paraId="7A94F988" w14:textId="77777777" w:rsidR="009C350E" w:rsidRDefault="009C350E" w:rsidP="007014C7">
            <w:pPr>
              <w:jc w:val="both"/>
              <w:rPr>
                <w:rFonts w:ascii="Times New Roman" w:hAnsi="Times New Roman"/>
                <w:sz w:val="24"/>
              </w:rPr>
            </w:pPr>
            <w:r>
              <w:rPr>
                <w:rFonts w:ascii="Times New Roman" w:hAnsi="Times New Roman"/>
                <w:sz w:val="24"/>
              </w:rPr>
              <w:t>Дебет (уменьшение задолженности)</w:t>
            </w:r>
          </w:p>
        </w:tc>
        <w:tc>
          <w:tcPr>
            <w:tcW w:w="5664" w:type="dxa"/>
          </w:tcPr>
          <w:p w14:paraId="4035C2D4" w14:textId="77777777" w:rsidR="009C350E" w:rsidRDefault="009C350E" w:rsidP="007014C7">
            <w:pPr>
              <w:jc w:val="both"/>
              <w:rPr>
                <w:rFonts w:ascii="Times New Roman" w:hAnsi="Times New Roman"/>
                <w:sz w:val="24"/>
              </w:rPr>
            </w:pPr>
            <w:r>
              <w:rPr>
                <w:rFonts w:ascii="Times New Roman" w:hAnsi="Times New Roman"/>
                <w:sz w:val="24"/>
              </w:rPr>
              <w:t>Кредит (увеличение задолженности)</w:t>
            </w:r>
          </w:p>
        </w:tc>
      </w:tr>
      <w:tr w:rsidR="009C350E" w14:paraId="5C0E35CC" w14:textId="77777777" w:rsidTr="007014C7">
        <w:tc>
          <w:tcPr>
            <w:tcW w:w="3964" w:type="dxa"/>
          </w:tcPr>
          <w:p w14:paraId="7154E617" w14:textId="77777777" w:rsidR="009C350E" w:rsidRDefault="009C350E" w:rsidP="007014C7">
            <w:pPr>
              <w:jc w:val="both"/>
              <w:rPr>
                <w:rFonts w:ascii="Times New Roman" w:hAnsi="Times New Roman"/>
                <w:sz w:val="24"/>
              </w:rPr>
            </w:pPr>
            <w:r>
              <w:rPr>
                <w:rFonts w:ascii="Times New Roman" w:hAnsi="Times New Roman"/>
                <w:sz w:val="24"/>
              </w:rPr>
              <w:t>50,51-выплаты з/п из кассы или на лицевой счет</w:t>
            </w:r>
          </w:p>
          <w:p w14:paraId="610C0101" w14:textId="77777777" w:rsidR="009C350E" w:rsidRDefault="009C350E" w:rsidP="007014C7">
            <w:pPr>
              <w:jc w:val="both"/>
              <w:rPr>
                <w:rFonts w:ascii="Times New Roman" w:hAnsi="Times New Roman"/>
                <w:sz w:val="24"/>
              </w:rPr>
            </w:pPr>
            <w:r>
              <w:rPr>
                <w:rFonts w:ascii="Times New Roman" w:hAnsi="Times New Roman"/>
                <w:sz w:val="24"/>
                <w:szCs w:val="24"/>
                <w:shd w:val="clear" w:color="auto" w:fill="FFFFFF"/>
              </w:rPr>
              <w:t>76-депонированные зарплаты</w:t>
            </w:r>
          </w:p>
          <w:p w14:paraId="248F7EEC" w14:textId="77777777" w:rsidR="009C350E" w:rsidRDefault="009C350E" w:rsidP="007014C7">
            <w:pPr>
              <w:jc w:val="both"/>
              <w:rPr>
                <w:rFonts w:ascii="Times New Roman" w:hAnsi="Times New Roman"/>
                <w:sz w:val="24"/>
              </w:rPr>
            </w:pPr>
            <w:r>
              <w:rPr>
                <w:rFonts w:ascii="Times New Roman" w:hAnsi="Times New Roman"/>
                <w:sz w:val="24"/>
              </w:rPr>
              <w:t>68-удержания НДФЛ</w:t>
            </w:r>
          </w:p>
          <w:p w14:paraId="3004EB5E" w14:textId="77777777" w:rsidR="009C350E" w:rsidRDefault="009C350E" w:rsidP="007014C7">
            <w:pPr>
              <w:jc w:val="both"/>
              <w:rPr>
                <w:rFonts w:ascii="Times New Roman" w:hAnsi="Times New Roman"/>
                <w:sz w:val="24"/>
              </w:rPr>
            </w:pPr>
            <w:r>
              <w:rPr>
                <w:rFonts w:ascii="Times New Roman" w:hAnsi="Times New Roman"/>
                <w:sz w:val="24"/>
              </w:rPr>
              <w:t>71-подотчетные суммы</w:t>
            </w:r>
          </w:p>
          <w:p w14:paraId="47C64180" w14:textId="77777777" w:rsidR="009C350E" w:rsidRDefault="009C350E" w:rsidP="007014C7">
            <w:pPr>
              <w:jc w:val="both"/>
              <w:rPr>
                <w:rFonts w:ascii="Times New Roman" w:hAnsi="Times New Roman"/>
                <w:sz w:val="24"/>
              </w:rPr>
            </w:pPr>
            <w:r>
              <w:rPr>
                <w:rFonts w:ascii="Times New Roman" w:hAnsi="Times New Roman"/>
                <w:sz w:val="24"/>
              </w:rPr>
              <w:t>73-ссуды</w:t>
            </w:r>
          </w:p>
          <w:p w14:paraId="1BCBA8DD" w14:textId="77777777" w:rsidR="009C350E" w:rsidRDefault="009C350E" w:rsidP="007014C7">
            <w:pPr>
              <w:jc w:val="both"/>
              <w:rPr>
                <w:rFonts w:ascii="Times New Roman" w:hAnsi="Times New Roman"/>
                <w:sz w:val="24"/>
              </w:rPr>
            </w:pPr>
          </w:p>
        </w:tc>
        <w:tc>
          <w:tcPr>
            <w:tcW w:w="5664" w:type="dxa"/>
          </w:tcPr>
          <w:p w14:paraId="6F19E632" w14:textId="77777777" w:rsidR="009C350E" w:rsidRDefault="009C350E" w:rsidP="007014C7">
            <w:pPr>
              <w:jc w:val="both"/>
              <w:rPr>
                <w:rFonts w:ascii="Times New Roman" w:hAnsi="Times New Roman"/>
                <w:sz w:val="24"/>
              </w:rPr>
            </w:pPr>
            <w:r>
              <w:rPr>
                <w:rFonts w:ascii="Times New Roman" w:hAnsi="Times New Roman"/>
                <w:sz w:val="24"/>
              </w:rPr>
              <w:t>Сальдо-остаток задолжен. з/п на начало периода</w:t>
            </w:r>
          </w:p>
          <w:p w14:paraId="4FA10A0B" w14:textId="77777777" w:rsidR="009C350E" w:rsidRDefault="009C350E" w:rsidP="007014C7">
            <w:pPr>
              <w:jc w:val="both"/>
              <w:rPr>
                <w:rFonts w:ascii="Times New Roman" w:hAnsi="Times New Roman"/>
                <w:sz w:val="24"/>
              </w:rPr>
            </w:pPr>
            <w:r>
              <w:rPr>
                <w:rFonts w:ascii="Times New Roman" w:hAnsi="Times New Roman"/>
                <w:sz w:val="24"/>
              </w:rPr>
              <w:t>Начисление зарплаты работникам: 20,25,26,44,96</w:t>
            </w:r>
          </w:p>
          <w:p w14:paraId="700B27D4" w14:textId="77777777" w:rsidR="009C350E" w:rsidRDefault="009C350E" w:rsidP="007014C7">
            <w:pPr>
              <w:jc w:val="both"/>
              <w:rPr>
                <w:rFonts w:ascii="Times New Roman" w:hAnsi="Times New Roman"/>
                <w:sz w:val="24"/>
              </w:rPr>
            </w:pPr>
            <w:r>
              <w:rPr>
                <w:rFonts w:ascii="Times New Roman" w:hAnsi="Times New Roman"/>
                <w:sz w:val="24"/>
              </w:rPr>
              <w:t>20,25,26,44,96-отпускные</w:t>
            </w:r>
          </w:p>
          <w:p w14:paraId="7703D611" w14:textId="77777777" w:rsidR="009C350E" w:rsidRDefault="009C350E" w:rsidP="007014C7">
            <w:pPr>
              <w:jc w:val="both"/>
              <w:rPr>
                <w:rFonts w:ascii="Times New Roman" w:hAnsi="Times New Roman"/>
                <w:sz w:val="24"/>
              </w:rPr>
            </w:pPr>
            <w:r>
              <w:rPr>
                <w:rFonts w:ascii="Times New Roman" w:hAnsi="Times New Roman"/>
                <w:sz w:val="24"/>
              </w:rPr>
              <w:t>69- начисление пособий по соц. Страхованию</w:t>
            </w:r>
          </w:p>
          <w:p w14:paraId="69383326" w14:textId="77777777" w:rsidR="009C350E" w:rsidRDefault="009C350E" w:rsidP="007014C7">
            <w:pPr>
              <w:jc w:val="both"/>
              <w:rPr>
                <w:rFonts w:ascii="Times New Roman" w:hAnsi="Times New Roman"/>
                <w:sz w:val="24"/>
              </w:rPr>
            </w:pPr>
            <w:r>
              <w:rPr>
                <w:rFonts w:ascii="Times New Roman" w:hAnsi="Times New Roman"/>
                <w:sz w:val="24"/>
              </w:rPr>
              <w:t>91-прочие начисления</w:t>
            </w:r>
          </w:p>
          <w:p w14:paraId="2C0F2514" w14:textId="77777777" w:rsidR="009C350E" w:rsidRDefault="009C350E" w:rsidP="007014C7">
            <w:pPr>
              <w:jc w:val="both"/>
              <w:rPr>
                <w:rFonts w:ascii="Times New Roman" w:hAnsi="Times New Roman"/>
                <w:sz w:val="24"/>
              </w:rPr>
            </w:pPr>
            <w:r>
              <w:rPr>
                <w:rFonts w:ascii="Times New Roman" w:hAnsi="Times New Roman"/>
                <w:sz w:val="24"/>
              </w:rPr>
              <w:t>Сальдо задолженность предприятия перед работн</w:t>
            </w:r>
            <w:r>
              <w:rPr>
                <w:rFonts w:ascii="Times New Roman" w:hAnsi="Times New Roman"/>
                <w:sz w:val="24"/>
              </w:rPr>
              <w:t>и</w:t>
            </w:r>
            <w:r>
              <w:rPr>
                <w:rFonts w:ascii="Times New Roman" w:hAnsi="Times New Roman"/>
                <w:sz w:val="24"/>
              </w:rPr>
              <w:t xml:space="preserve">ком на конец периода </w:t>
            </w:r>
          </w:p>
        </w:tc>
      </w:tr>
    </w:tbl>
    <w:p w14:paraId="2832C288" w14:textId="77777777" w:rsidR="009C350E" w:rsidRDefault="009C350E" w:rsidP="009C350E">
      <w:pPr>
        <w:spacing w:after="0"/>
        <w:jc w:val="both"/>
        <w:rPr>
          <w:rFonts w:ascii="Times New Roman" w:hAnsi="Times New Roman"/>
          <w:sz w:val="24"/>
        </w:rPr>
      </w:pPr>
      <w:r>
        <w:rPr>
          <w:rFonts w:ascii="Times New Roman" w:hAnsi="Times New Roman"/>
          <w:sz w:val="24"/>
        </w:rPr>
        <w:tab/>
        <w:t>Заработная плата это вознаграждение за труд. Но так же можно сказать что она в</w:t>
      </w:r>
      <w:r>
        <w:rPr>
          <w:rFonts w:ascii="Times New Roman" w:hAnsi="Times New Roman"/>
          <w:sz w:val="24"/>
        </w:rPr>
        <w:t>ы</w:t>
      </w:r>
      <w:r>
        <w:rPr>
          <w:rFonts w:ascii="Times New Roman" w:hAnsi="Times New Roman"/>
          <w:sz w:val="24"/>
        </w:rPr>
        <w:t>полняет роль стимулирования, у рабочего появляется личный интерес в выполнение работы. Главный экономический смысл создания системы стимулирования, улучшения качества тр</w:t>
      </w:r>
      <w:r>
        <w:rPr>
          <w:rFonts w:ascii="Times New Roman" w:hAnsi="Times New Roman"/>
          <w:sz w:val="24"/>
        </w:rPr>
        <w:t>у</w:t>
      </w:r>
      <w:r>
        <w:rPr>
          <w:rFonts w:ascii="Times New Roman" w:hAnsi="Times New Roman"/>
          <w:sz w:val="24"/>
        </w:rPr>
        <w:t>да, увеличению производительности в повышении благосостояния населения страны. И все изменения, которые связаны с размером заработной платы в Российской Федерации очень сильно влияют на их благосостояние. На изменение заработной платы играют большое кол</w:t>
      </w:r>
      <w:r>
        <w:rPr>
          <w:rFonts w:ascii="Times New Roman" w:hAnsi="Times New Roman"/>
          <w:sz w:val="24"/>
        </w:rPr>
        <w:t>и</w:t>
      </w:r>
      <w:r>
        <w:rPr>
          <w:rFonts w:ascii="Times New Roman" w:hAnsi="Times New Roman"/>
          <w:sz w:val="24"/>
        </w:rPr>
        <w:t>чество факторов. Это и виды, формы, надбавки, коэффициенты, законодательство и многое другое. С каждым годом размер заработной платы в регионах меняется с изменениями вне</w:t>
      </w:r>
      <w:r>
        <w:rPr>
          <w:rFonts w:ascii="Times New Roman" w:hAnsi="Times New Roman"/>
          <w:sz w:val="24"/>
        </w:rPr>
        <w:t>ш</w:t>
      </w:r>
      <w:r>
        <w:rPr>
          <w:rFonts w:ascii="Times New Roman" w:hAnsi="Times New Roman"/>
          <w:sz w:val="24"/>
        </w:rPr>
        <w:t xml:space="preserve">них (состояние отрасли, инфляция, налоги) и внутренних (система оплаты труда, масштабы деятельности предприятия) факторов. </w:t>
      </w:r>
    </w:p>
    <w:p w14:paraId="3E5D92B4" w14:textId="77777777" w:rsidR="009C350E" w:rsidRDefault="009C350E" w:rsidP="009C350E">
      <w:pPr>
        <w:spacing w:after="0"/>
        <w:ind w:firstLine="708"/>
        <w:jc w:val="both"/>
        <w:rPr>
          <w:rFonts w:ascii="Times New Roman" w:hAnsi="Times New Roman"/>
          <w:sz w:val="24"/>
        </w:rPr>
      </w:pPr>
      <w:r>
        <w:rPr>
          <w:rFonts w:ascii="Times New Roman" w:hAnsi="Times New Roman"/>
          <w:sz w:val="24"/>
        </w:rPr>
        <w:t>В развитии экономики страны заработная плата играет огромную роль. В ней выр</w:t>
      </w:r>
      <w:r>
        <w:rPr>
          <w:rFonts w:ascii="Times New Roman" w:hAnsi="Times New Roman"/>
          <w:sz w:val="24"/>
        </w:rPr>
        <w:t>а</w:t>
      </w:r>
      <w:r>
        <w:rPr>
          <w:rFonts w:ascii="Times New Roman" w:hAnsi="Times New Roman"/>
          <w:sz w:val="24"/>
        </w:rPr>
        <w:t>жаются отношения между работниками, работодателями и государством. И во всей этой вз</w:t>
      </w:r>
      <w:r>
        <w:rPr>
          <w:rFonts w:ascii="Times New Roman" w:hAnsi="Times New Roman"/>
          <w:sz w:val="24"/>
        </w:rPr>
        <w:t>а</w:t>
      </w:r>
      <w:r>
        <w:rPr>
          <w:rFonts w:ascii="Times New Roman" w:hAnsi="Times New Roman"/>
          <w:sz w:val="24"/>
        </w:rPr>
        <w:t>имосвязи грамотная налаженная система, которая будет удовлетворять всех его участников приведет к всеобщей выгоде.</w:t>
      </w:r>
    </w:p>
    <w:p w14:paraId="26D1DF2E" w14:textId="77777777" w:rsidR="009C350E" w:rsidRPr="0016338C" w:rsidRDefault="009C350E" w:rsidP="009C350E">
      <w:pPr>
        <w:spacing w:after="0" w:line="240" w:lineRule="auto"/>
        <w:jc w:val="center"/>
        <w:rPr>
          <w:rFonts w:ascii="Times New Roman" w:hAnsi="Times New Roman"/>
          <w:sz w:val="24"/>
          <w:szCs w:val="24"/>
        </w:rPr>
      </w:pPr>
      <w:r w:rsidRPr="0016338C">
        <w:rPr>
          <w:rFonts w:ascii="Times New Roman" w:hAnsi="Times New Roman"/>
          <w:sz w:val="24"/>
          <w:szCs w:val="24"/>
        </w:rPr>
        <w:t>Список использованных источников</w:t>
      </w:r>
    </w:p>
    <w:p w14:paraId="5C6BAEBE" w14:textId="77777777" w:rsidR="009C350E" w:rsidRPr="0016338C" w:rsidRDefault="009C350E" w:rsidP="009C350E">
      <w:pPr>
        <w:pStyle w:val="a7"/>
        <w:numPr>
          <w:ilvl w:val="0"/>
          <w:numId w:val="90"/>
        </w:numPr>
        <w:jc w:val="both"/>
        <w:rPr>
          <w:rFonts w:ascii="Times New Roman" w:hAnsi="Times New Roman"/>
        </w:rPr>
      </w:pPr>
      <w:r w:rsidRPr="000B4F93">
        <w:rPr>
          <w:rFonts w:ascii="Times New Roman" w:hAnsi="Times New Roman"/>
          <w:shd w:val="clear" w:color="auto" w:fill="FFFFFF"/>
        </w:rPr>
        <w:t>К. Маркса «Критика Готской программы»</w:t>
      </w:r>
      <w:r>
        <w:rPr>
          <w:rFonts w:ascii="Times New Roman" w:hAnsi="Times New Roman"/>
          <w:shd w:val="clear" w:color="auto" w:fill="FFFFFF"/>
        </w:rPr>
        <w:t xml:space="preserve"> М</w:t>
      </w:r>
      <w:r w:rsidRPr="00EF5B30">
        <w:rPr>
          <w:rFonts w:ascii="Times New Roman" w:hAnsi="Times New Roman"/>
          <w:shd w:val="clear" w:color="auto" w:fill="FFFFFF"/>
        </w:rPr>
        <w:t xml:space="preserve">: </w:t>
      </w:r>
      <w:r>
        <w:rPr>
          <w:rFonts w:ascii="Times New Roman" w:hAnsi="Times New Roman"/>
          <w:shd w:val="clear" w:color="auto" w:fill="FFFFFF"/>
        </w:rPr>
        <w:t xml:space="preserve">Советская энциклопедия, 1983. </w:t>
      </w:r>
      <w:r w:rsidRPr="000B4F93">
        <w:rPr>
          <w:rFonts w:ascii="Times New Roman" w:hAnsi="Times New Roman"/>
          <w:shd w:val="clear" w:color="auto" w:fill="FFFFFF"/>
        </w:rPr>
        <w:t xml:space="preserve"> (см. К. Маркс и Ф. Энгельс. Соч., т. 19, стр. 9–32)</w:t>
      </w:r>
      <w:r>
        <w:rPr>
          <w:rFonts w:ascii="Times New Roman" w:hAnsi="Times New Roman"/>
          <w:shd w:val="clear" w:color="auto" w:fill="FFFFFF"/>
        </w:rPr>
        <w:t xml:space="preserve">. </w:t>
      </w:r>
    </w:p>
    <w:p w14:paraId="2A1B905B" w14:textId="77777777" w:rsidR="009C350E" w:rsidRPr="0016338C" w:rsidRDefault="009C350E" w:rsidP="009C350E">
      <w:pPr>
        <w:pStyle w:val="a7"/>
        <w:numPr>
          <w:ilvl w:val="0"/>
          <w:numId w:val="90"/>
        </w:numPr>
        <w:jc w:val="both"/>
        <w:rPr>
          <w:rFonts w:ascii="Times New Roman" w:hAnsi="Times New Roman"/>
          <w:lang w:eastAsia="ru-RU"/>
        </w:rPr>
      </w:pPr>
      <w:r w:rsidRPr="0016338C">
        <w:rPr>
          <w:rFonts w:ascii="Times New Roman" w:hAnsi="Times New Roman"/>
          <w:lang w:eastAsia="ru-RU"/>
        </w:rPr>
        <w:t xml:space="preserve">Трудовой кодекс Российской Федерации от 30.12.2001 N 197-ФЗ (ред. Федерального закона от </w:t>
      </w:r>
      <w:r>
        <w:rPr>
          <w:rFonts w:ascii="Times New Roman" w:hAnsi="Times New Roman"/>
          <w:lang w:eastAsia="ru-RU"/>
        </w:rPr>
        <w:t>05.02.2018</w:t>
      </w:r>
      <w:r w:rsidRPr="0016338C">
        <w:rPr>
          <w:rFonts w:ascii="Times New Roman" w:hAnsi="Times New Roman"/>
          <w:lang w:eastAsia="ru-RU"/>
        </w:rPr>
        <w:t xml:space="preserve">) </w:t>
      </w:r>
    </w:p>
    <w:p w14:paraId="7E7DCB05" w14:textId="77777777" w:rsidR="009C350E" w:rsidRDefault="009C350E" w:rsidP="009C350E">
      <w:pPr>
        <w:pStyle w:val="a7"/>
        <w:numPr>
          <w:ilvl w:val="0"/>
          <w:numId w:val="90"/>
        </w:numPr>
        <w:jc w:val="both"/>
        <w:rPr>
          <w:rFonts w:ascii="Times New Roman" w:hAnsi="Times New Roman"/>
        </w:rPr>
      </w:pPr>
      <w:r w:rsidRPr="0016338C">
        <w:rPr>
          <w:rFonts w:ascii="Times New Roman" w:hAnsi="Times New Roman"/>
        </w:rPr>
        <w:t>Экономика труда: Учебник/ И.А. Дубровин, А.С. Каменский. - М.: Издательство-торговая корпорация “Дашков и К”, 2012. - 232 с.</w:t>
      </w:r>
      <w:r>
        <w:rPr>
          <w:rFonts w:ascii="Times New Roman" w:hAnsi="Times New Roman"/>
        </w:rPr>
        <w:t xml:space="preserve"> </w:t>
      </w:r>
    </w:p>
    <w:p w14:paraId="3AE28876" w14:textId="77777777" w:rsidR="009C350E" w:rsidRPr="0016338C" w:rsidRDefault="009C350E" w:rsidP="009C350E">
      <w:pPr>
        <w:pStyle w:val="a7"/>
        <w:numPr>
          <w:ilvl w:val="0"/>
          <w:numId w:val="90"/>
        </w:numPr>
        <w:jc w:val="both"/>
        <w:rPr>
          <w:rFonts w:ascii="Times New Roman" w:hAnsi="Times New Roman"/>
        </w:rPr>
      </w:pPr>
      <w:r>
        <w:rPr>
          <w:rFonts w:ascii="Times New Roman" w:hAnsi="Times New Roman"/>
        </w:rPr>
        <w:t xml:space="preserve">МРОТ с 1 мая 2018 года </w:t>
      </w:r>
      <w:r w:rsidRPr="00B115C7">
        <w:rPr>
          <w:rFonts w:ascii="Times New Roman" w:hAnsi="Times New Roman"/>
        </w:rPr>
        <w:t>[</w:t>
      </w:r>
      <w:r>
        <w:rPr>
          <w:rFonts w:ascii="Times New Roman" w:hAnsi="Times New Roman"/>
        </w:rPr>
        <w:t>Электронный ресурс</w:t>
      </w:r>
      <w:r w:rsidRPr="00B115C7">
        <w:rPr>
          <w:rFonts w:ascii="Times New Roman" w:hAnsi="Times New Roman"/>
        </w:rPr>
        <w:t>]</w:t>
      </w:r>
      <w:r>
        <w:rPr>
          <w:rFonts w:ascii="Times New Roman" w:hAnsi="Times New Roman"/>
        </w:rPr>
        <w:t>//</w:t>
      </w:r>
      <w:r w:rsidRPr="00B115C7">
        <w:rPr>
          <w:rFonts w:ascii="Times New Roman" w:hAnsi="Times New Roman"/>
        </w:rPr>
        <w:t xml:space="preserve"> “</w:t>
      </w:r>
      <w:r>
        <w:rPr>
          <w:rFonts w:ascii="Times New Roman" w:hAnsi="Times New Roman"/>
        </w:rPr>
        <w:t>Бухгуру</w:t>
      </w:r>
      <w:r w:rsidRPr="00B115C7">
        <w:rPr>
          <w:rFonts w:ascii="Times New Roman" w:hAnsi="Times New Roman"/>
        </w:rPr>
        <w:t>”</w:t>
      </w:r>
      <w:r>
        <w:rPr>
          <w:rFonts w:ascii="Times New Roman" w:hAnsi="Times New Roman"/>
        </w:rPr>
        <w:t xml:space="preserve"> -бухгалтерский журнал- Режим доступа</w:t>
      </w:r>
      <w:r w:rsidRPr="00B115C7">
        <w:rPr>
          <w:rFonts w:ascii="Times New Roman" w:hAnsi="Times New Roman"/>
        </w:rPr>
        <w:t>:</w:t>
      </w:r>
      <w:r>
        <w:rPr>
          <w:rFonts w:ascii="Times New Roman" w:hAnsi="Times New Roman"/>
        </w:rPr>
        <w:t xml:space="preserve"> </w:t>
      </w:r>
      <w:r w:rsidRPr="00B115C7">
        <w:rPr>
          <w:rFonts w:ascii="Times New Roman" w:hAnsi="Times New Roman"/>
        </w:rPr>
        <w:t>https://buhguru.com/spravka-info/mrot-s-1-maya-2018-goda.html</w:t>
      </w:r>
    </w:p>
    <w:p w14:paraId="1F99E445" w14:textId="77777777" w:rsidR="009C350E" w:rsidRPr="0016338C" w:rsidRDefault="009C350E" w:rsidP="009C350E">
      <w:pPr>
        <w:pStyle w:val="a7"/>
        <w:numPr>
          <w:ilvl w:val="0"/>
          <w:numId w:val="90"/>
        </w:numPr>
        <w:jc w:val="both"/>
        <w:rPr>
          <w:rFonts w:ascii="Times New Roman" w:hAnsi="Times New Roman"/>
        </w:rPr>
      </w:pPr>
      <w:r w:rsidRPr="0016338C">
        <w:rPr>
          <w:rFonts w:ascii="Times New Roman" w:hAnsi="Times New Roman"/>
        </w:rPr>
        <w:lastRenderedPageBreak/>
        <w:t>Трудовое право России: учебник / под ред. С.П. Маврина, Е. Б. Хохлова. – 2-е изд., перераб., и доп.- М.: Норма, 2014. – 656 с.</w:t>
      </w:r>
      <w:r>
        <w:rPr>
          <w:rFonts w:ascii="Times New Roman" w:hAnsi="Times New Roman"/>
        </w:rPr>
        <w:t xml:space="preserve"> </w:t>
      </w:r>
    </w:p>
    <w:p w14:paraId="6DD6F6E4" w14:textId="77777777" w:rsidR="009C350E" w:rsidRPr="00FC3D47" w:rsidRDefault="009C350E" w:rsidP="009C350E">
      <w:pPr>
        <w:pStyle w:val="a7"/>
        <w:numPr>
          <w:ilvl w:val="0"/>
          <w:numId w:val="90"/>
        </w:numPr>
        <w:jc w:val="both"/>
        <w:rPr>
          <w:rFonts w:ascii="Times New Roman" w:hAnsi="Times New Roman"/>
        </w:rPr>
      </w:pPr>
      <w:r w:rsidRPr="0016338C">
        <w:rPr>
          <w:rFonts w:ascii="Times New Roman" w:hAnsi="Times New Roman"/>
        </w:rPr>
        <w:t>Терентьева Т.В. БУХГАЛТЕРСКИЙ УЧЕТ: учебное пособие: в 2 модулях. / Теренть</w:t>
      </w:r>
      <w:r w:rsidRPr="0016338C">
        <w:rPr>
          <w:rFonts w:ascii="Times New Roman" w:hAnsi="Times New Roman"/>
        </w:rPr>
        <w:t>е</w:t>
      </w:r>
      <w:r w:rsidRPr="0016338C">
        <w:rPr>
          <w:rFonts w:ascii="Times New Roman" w:hAnsi="Times New Roman"/>
        </w:rPr>
        <w:t>ва Т.В., Тарасова Е.Ю., Малышева В.В. – Владивосток: изд-во ВГУЭС, 2014. - 280 с.</w:t>
      </w:r>
    </w:p>
    <w:p w14:paraId="47B6DE38" w14:textId="77777777" w:rsidR="009C350E" w:rsidRDefault="009C350E" w:rsidP="002245D5">
      <w:pPr>
        <w:jc w:val="both"/>
        <w:rPr>
          <w:rFonts w:ascii="Times New Roman" w:hAnsi="Times New Roman" w:cs="Times New Roman"/>
          <w:b/>
          <w:sz w:val="24"/>
          <w:szCs w:val="24"/>
        </w:rPr>
      </w:pPr>
    </w:p>
    <w:p w14:paraId="79141DEE" w14:textId="77777777" w:rsidR="007014C7" w:rsidRDefault="007014C7" w:rsidP="002245D5">
      <w:pPr>
        <w:jc w:val="both"/>
        <w:rPr>
          <w:rFonts w:ascii="Times New Roman" w:hAnsi="Times New Roman" w:cs="Times New Roman"/>
          <w:b/>
          <w:sz w:val="24"/>
          <w:szCs w:val="24"/>
        </w:rPr>
      </w:pPr>
    </w:p>
    <w:p w14:paraId="13CD2EA5" w14:textId="77777777" w:rsidR="007014C7" w:rsidRDefault="007014C7" w:rsidP="002245D5">
      <w:pPr>
        <w:jc w:val="both"/>
        <w:rPr>
          <w:rFonts w:ascii="Times New Roman" w:hAnsi="Times New Roman" w:cs="Times New Roman"/>
          <w:b/>
          <w:sz w:val="24"/>
          <w:szCs w:val="24"/>
        </w:rPr>
      </w:pPr>
    </w:p>
    <w:p w14:paraId="41833B18" w14:textId="77777777" w:rsidR="007014C7" w:rsidRDefault="007014C7" w:rsidP="002245D5">
      <w:pPr>
        <w:jc w:val="both"/>
        <w:rPr>
          <w:rFonts w:ascii="Times New Roman" w:hAnsi="Times New Roman" w:cs="Times New Roman"/>
          <w:b/>
          <w:sz w:val="24"/>
          <w:szCs w:val="24"/>
        </w:rPr>
      </w:pPr>
    </w:p>
    <w:p w14:paraId="627EE8AD" w14:textId="77777777" w:rsidR="007014C7" w:rsidRDefault="007014C7" w:rsidP="002245D5">
      <w:pPr>
        <w:jc w:val="both"/>
        <w:rPr>
          <w:rFonts w:ascii="Times New Roman" w:hAnsi="Times New Roman" w:cs="Times New Roman"/>
          <w:b/>
          <w:sz w:val="24"/>
          <w:szCs w:val="24"/>
        </w:rPr>
      </w:pPr>
      <w:bookmarkStart w:id="16" w:name="_GoBack"/>
      <w:bookmarkEnd w:id="16"/>
    </w:p>
    <w:p w14:paraId="39B11056" w14:textId="77777777" w:rsidR="007014C7" w:rsidRDefault="007014C7" w:rsidP="002245D5">
      <w:pPr>
        <w:jc w:val="both"/>
        <w:rPr>
          <w:rFonts w:ascii="Times New Roman" w:hAnsi="Times New Roman" w:cs="Times New Roman"/>
          <w:b/>
          <w:sz w:val="24"/>
          <w:szCs w:val="24"/>
        </w:rPr>
      </w:pPr>
    </w:p>
    <w:p w14:paraId="58CC84C3" w14:textId="77777777" w:rsidR="007014C7" w:rsidRDefault="007014C7" w:rsidP="002245D5">
      <w:pPr>
        <w:jc w:val="both"/>
        <w:rPr>
          <w:rFonts w:ascii="Times New Roman" w:hAnsi="Times New Roman" w:cs="Times New Roman"/>
          <w:b/>
          <w:sz w:val="24"/>
          <w:szCs w:val="24"/>
        </w:rPr>
      </w:pPr>
    </w:p>
    <w:p w14:paraId="7F3D078B" w14:textId="77777777" w:rsidR="007014C7" w:rsidRPr="002F08F2" w:rsidRDefault="007014C7" w:rsidP="002245D5">
      <w:pPr>
        <w:jc w:val="both"/>
        <w:rPr>
          <w:rFonts w:ascii="Times New Roman" w:hAnsi="Times New Roman" w:cs="Times New Roman"/>
          <w:b/>
          <w:sz w:val="24"/>
          <w:szCs w:val="24"/>
        </w:rPr>
      </w:pPr>
    </w:p>
    <w:sectPr w:rsidR="007014C7" w:rsidRPr="002F08F2" w:rsidSect="007E1183">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5C73A" w14:textId="77777777" w:rsidR="007014C7" w:rsidRDefault="007014C7" w:rsidP="007E1183">
      <w:pPr>
        <w:spacing w:after="0" w:line="240" w:lineRule="auto"/>
      </w:pPr>
      <w:r>
        <w:separator/>
      </w:r>
    </w:p>
  </w:endnote>
  <w:endnote w:type="continuationSeparator" w:id="0">
    <w:p w14:paraId="7277ECC7" w14:textId="77777777" w:rsidR="007014C7" w:rsidRDefault="007014C7" w:rsidP="007E1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NewRomanPSMT">
    <w:charset w:val="00"/>
    <w:family w:val="auto"/>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Symbol"/>
    <w:charset w:val="00"/>
    <w:family w:val="auto"/>
    <w:pitch w:val="default"/>
  </w:font>
  <w:font w:name="MS ??">
    <w:altName w:val="Times New Roman"/>
    <w:charset w:val="00"/>
    <w:family w:val="auto"/>
    <w:pitch w:val="variable"/>
  </w:font>
  <w:font w:name="ArialNarrow">
    <w:altName w:val="MS Mincho"/>
    <w:panose1 w:val="00000000000000000000"/>
    <w:charset w:val="80"/>
    <w:family w:val="auto"/>
    <w:notTrueType/>
    <w:pitch w:val="default"/>
    <w:sig w:usb0="00000001" w:usb1="08070000" w:usb2="00000010" w:usb3="00000000" w:csb0="00020000" w:csb1="00000000"/>
  </w:font>
  <w:font w:name="ArialMT">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Helios-Italic">
    <w:altName w:val="MS Gothic"/>
    <w:panose1 w:val="00000000000000000000"/>
    <w:charset w:val="80"/>
    <w:family w:val="swiss"/>
    <w:notTrueType/>
    <w:pitch w:val="default"/>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AE6454" w14:textId="77777777" w:rsidR="007014C7" w:rsidRDefault="007014C7" w:rsidP="007E1183">
      <w:pPr>
        <w:spacing w:after="0" w:line="240" w:lineRule="auto"/>
      </w:pPr>
      <w:r>
        <w:separator/>
      </w:r>
    </w:p>
  </w:footnote>
  <w:footnote w:type="continuationSeparator" w:id="0">
    <w:p w14:paraId="43136B93" w14:textId="77777777" w:rsidR="007014C7" w:rsidRDefault="007014C7" w:rsidP="007E11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0000004"/>
    <w:multiLevelType w:val="multilevel"/>
    <w:tmpl w:val="B778FA9E"/>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4C9345B"/>
    <w:multiLevelType w:val="hybridMultilevel"/>
    <w:tmpl w:val="F3E0643E"/>
    <w:lvl w:ilvl="0" w:tplc="FFFFFFF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FD062A"/>
    <w:multiLevelType w:val="hybridMultilevel"/>
    <w:tmpl w:val="66149866"/>
    <w:lvl w:ilvl="0" w:tplc="24D8DFF4">
      <w:start w:val="1"/>
      <w:numFmt w:val="decimal"/>
      <w:lvlText w:val="%1."/>
      <w:lvlJc w:val="left"/>
      <w:pPr>
        <w:ind w:left="14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6766CC"/>
    <w:multiLevelType w:val="hybridMultilevel"/>
    <w:tmpl w:val="FC005896"/>
    <w:lvl w:ilvl="0" w:tplc="9CB8CC3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0B6605AA"/>
    <w:multiLevelType w:val="hybridMultilevel"/>
    <w:tmpl w:val="2D0CAC24"/>
    <w:lvl w:ilvl="0" w:tplc="A284392A">
      <w:start w:val="1"/>
      <w:numFmt w:val="decimal"/>
      <w:lvlText w:val="%1."/>
      <w:lvlJc w:val="left"/>
      <w:pPr>
        <w:ind w:left="720" w:hanging="360"/>
      </w:pPr>
      <w:rPr>
        <w:rFonts w:hint="default"/>
        <w:i w:val="0"/>
        <w:color w:val="auto"/>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EE097C"/>
    <w:multiLevelType w:val="hybridMultilevel"/>
    <w:tmpl w:val="A0346D72"/>
    <w:lvl w:ilvl="0" w:tplc="13F27518">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5" w:hanging="360"/>
      </w:pPr>
      <w:rPr>
        <w:rFonts w:cs="Times New Roman"/>
      </w:rPr>
    </w:lvl>
    <w:lvl w:ilvl="2" w:tplc="0419001B" w:tentative="1">
      <w:start w:val="1"/>
      <w:numFmt w:val="lowerRoman"/>
      <w:lvlText w:val="%3."/>
      <w:lvlJc w:val="right"/>
      <w:pPr>
        <w:ind w:left="2225" w:hanging="180"/>
      </w:pPr>
      <w:rPr>
        <w:rFonts w:cs="Times New Roman"/>
      </w:rPr>
    </w:lvl>
    <w:lvl w:ilvl="3" w:tplc="0419000F" w:tentative="1">
      <w:start w:val="1"/>
      <w:numFmt w:val="decimal"/>
      <w:lvlText w:val="%4."/>
      <w:lvlJc w:val="left"/>
      <w:pPr>
        <w:ind w:left="2945" w:hanging="360"/>
      </w:pPr>
      <w:rPr>
        <w:rFonts w:cs="Times New Roman"/>
      </w:rPr>
    </w:lvl>
    <w:lvl w:ilvl="4" w:tplc="04190019" w:tentative="1">
      <w:start w:val="1"/>
      <w:numFmt w:val="lowerLetter"/>
      <w:lvlText w:val="%5."/>
      <w:lvlJc w:val="left"/>
      <w:pPr>
        <w:ind w:left="3665" w:hanging="360"/>
      </w:pPr>
      <w:rPr>
        <w:rFonts w:cs="Times New Roman"/>
      </w:rPr>
    </w:lvl>
    <w:lvl w:ilvl="5" w:tplc="0419001B" w:tentative="1">
      <w:start w:val="1"/>
      <w:numFmt w:val="lowerRoman"/>
      <w:lvlText w:val="%6."/>
      <w:lvlJc w:val="right"/>
      <w:pPr>
        <w:ind w:left="4385" w:hanging="180"/>
      </w:pPr>
      <w:rPr>
        <w:rFonts w:cs="Times New Roman"/>
      </w:rPr>
    </w:lvl>
    <w:lvl w:ilvl="6" w:tplc="0419000F" w:tentative="1">
      <w:start w:val="1"/>
      <w:numFmt w:val="decimal"/>
      <w:lvlText w:val="%7."/>
      <w:lvlJc w:val="left"/>
      <w:pPr>
        <w:ind w:left="5105" w:hanging="360"/>
      </w:pPr>
      <w:rPr>
        <w:rFonts w:cs="Times New Roman"/>
      </w:rPr>
    </w:lvl>
    <w:lvl w:ilvl="7" w:tplc="04190019" w:tentative="1">
      <w:start w:val="1"/>
      <w:numFmt w:val="lowerLetter"/>
      <w:lvlText w:val="%8."/>
      <w:lvlJc w:val="left"/>
      <w:pPr>
        <w:ind w:left="5825" w:hanging="360"/>
      </w:pPr>
      <w:rPr>
        <w:rFonts w:cs="Times New Roman"/>
      </w:rPr>
    </w:lvl>
    <w:lvl w:ilvl="8" w:tplc="0419001B" w:tentative="1">
      <w:start w:val="1"/>
      <w:numFmt w:val="lowerRoman"/>
      <w:lvlText w:val="%9."/>
      <w:lvlJc w:val="right"/>
      <w:pPr>
        <w:ind w:left="6545" w:hanging="180"/>
      </w:pPr>
      <w:rPr>
        <w:rFonts w:cs="Times New Roman"/>
      </w:rPr>
    </w:lvl>
  </w:abstractNum>
  <w:abstractNum w:abstractNumId="7">
    <w:nsid w:val="0EC842A2"/>
    <w:multiLevelType w:val="hybridMultilevel"/>
    <w:tmpl w:val="3F0E7460"/>
    <w:lvl w:ilvl="0" w:tplc="AA004CFE">
      <w:start w:val="1"/>
      <w:numFmt w:val="decimal"/>
      <w:lvlText w:val="%1."/>
      <w:lvlJc w:val="left"/>
      <w:pPr>
        <w:ind w:left="473" w:hanging="360"/>
      </w:pPr>
      <w:rPr>
        <w:rFonts w:cs="Times New Roman" w:hint="default"/>
      </w:rPr>
    </w:lvl>
    <w:lvl w:ilvl="1" w:tplc="04190019" w:tentative="1">
      <w:start w:val="1"/>
      <w:numFmt w:val="lowerLetter"/>
      <w:lvlText w:val="%2."/>
      <w:lvlJc w:val="left"/>
      <w:pPr>
        <w:ind w:left="1193" w:hanging="360"/>
      </w:pPr>
      <w:rPr>
        <w:rFonts w:cs="Times New Roman"/>
      </w:rPr>
    </w:lvl>
    <w:lvl w:ilvl="2" w:tplc="0419001B" w:tentative="1">
      <w:start w:val="1"/>
      <w:numFmt w:val="lowerRoman"/>
      <w:lvlText w:val="%3."/>
      <w:lvlJc w:val="right"/>
      <w:pPr>
        <w:ind w:left="1913" w:hanging="180"/>
      </w:pPr>
      <w:rPr>
        <w:rFonts w:cs="Times New Roman"/>
      </w:rPr>
    </w:lvl>
    <w:lvl w:ilvl="3" w:tplc="0419000F" w:tentative="1">
      <w:start w:val="1"/>
      <w:numFmt w:val="decimal"/>
      <w:lvlText w:val="%4."/>
      <w:lvlJc w:val="left"/>
      <w:pPr>
        <w:ind w:left="2633" w:hanging="360"/>
      </w:pPr>
      <w:rPr>
        <w:rFonts w:cs="Times New Roman"/>
      </w:rPr>
    </w:lvl>
    <w:lvl w:ilvl="4" w:tplc="04190019" w:tentative="1">
      <w:start w:val="1"/>
      <w:numFmt w:val="lowerLetter"/>
      <w:lvlText w:val="%5."/>
      <w:lvlJc w:val="left"/>
      <w:pPr>
        <w:ind w:left="3353" w:hanging="360"/>
      </w:pPr>
      <w:rPr>
        <w:rFonts w:cs="Times New Roman"/>
      </w:rPr>
    </w:lvl>
    <w:lvl w:ilvl="5" w:tplc="0419001B" w:tentative="1">
      <w:start w:val="1"/>
      <w:numFmt w:val="lowerRoman"/>
      <w:lvlText w:val="%6."/>
      <w:lvlJc w:val="right"/>
      <w:pPr>
        <w:ind w:left="4073" w:hanging="180"/>
      </w:pPr>
      <w:rPr>
        <w:rFonts w:cs="Times New Roman"/>
      </w:rPr>
    </w:lvl>
    <w:lvl w:ilvl="6" w:tplc="0419000F" w:tentative="1">
      <w:start w:val="1"/>
      <w:numFmt w:val="decimal"/>
      <w:lvlText w:val="%7."/>
      <w:lvlJc w:val="left"/>
      <w:pPr>
        <w:ind w:left="4793" w:hanging="360"/>
      </w:pPr>
      <w:rPr>
        <w:rFonts w:cs="Times New Roman"/>
      </w:rPr>
    </w:lvl>
    <w:lvl w:ilvl="7" w:tplc="04190019" w:tentative="1">
      <w:start w:val="1"/>
      <w:numFmt w:val="lowerLetter"/>
      <w:lvlText w:val="%8."/>
      <w:lvlJc w:val="left"/>
      <w:pPr>
        <w:ind w:left="5513" w:hanging="360"/>
      </w:pPr>
      <w:rPr>
        <w:rFonts w:cs="Times New Roman"/>
      </w:rPr>
    </w:lvl>
    <w:lvl w:ilvl="8" w:tplc="0419001B" w:tentative="1">
      <w:start w:val="1"/>
      <w:numFmt w:val="lowerRoman"/>
      <w:lvlText w:val="%9."/>
      <w:lvlJc w:val="right"/>
      <w:pPr>
        <w:ind w:left="6233" w:hanging="180"/>
      </w:pPr>
      <w:rPr>
        <w:rFonts w:cs="Times New Roman"/>
      </w:rPr>
    </w:lvl>
  </w:abstractNum>
  <w:abstractNum w:abstractNumId="8">
    <w:nsid w:val="0ED24603"/>
    <w:multiLevelType w:val="hybridMultilevel"/>
    <w:tmpl w:val="311EB424"/>
    <w:lvl w:ilvl="0" w:tplc="16CCFB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F585222"/>
    <w:multiLevelType w:val="hybridMultilevel"/>
    <w:tmpl w:val="641CFD04"/>
    <w:lvl w:ilvl="0" w:tplc="0419000F">
      <w:start w:val="1"/>
      <w:numFmt w:val="decimal"/>
      <w:lvlText w:val="%1."/>
      <w:lvlJc w:val="left"/>
      <w:pPr>
        <w:ind w:left="9575"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15D245FD"/>
    <w:multiLevelType w:val="hybridMultilevel"/>
    <w:tmpl w:val="CEDE9502"/>
    <w:lvl w:ilvl="0" w:tplc="E0C6BC72">
      <w:start w:val="1"/>
      <w:numFmt w:val="decimal"/>
      <w:lvlText w:val="%1."/>
      <w:lvlJc w:val="left"/>
      <w:pPr>
        <w:ind w:left="720" w:hanging="360"/>
      </w:pPr>
      <w:rPr>
        <w:rFonts w:ascii="Times New Roman" w:hAnsi="Times New Roman" w:cs="Times New Roman" w:hint="default"/>
        <w:sz w:val="20"/>
        <w:szCs w:val="2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73D36B6"/>
    <w:multiLevelType w:val="hybridMultilevel"/>
    <w:tmpl w:val="29E817AC"/>
    <w:lvl w:ilvl="0" w:tplc="A56A7822">
      <w:start w:val="1"/>
      <w:numFmt w:val="decimal"/>
      <w:lvlText w:val="%1"/>
      <w:lvlJc w:val="left"/>
      <w:pPr>
        <w:ind w:hanging="360"/>
      </w:pPr>
      <w:rPr>
        <w:rFonts w:cs="Times New Roman" w:hint="default"/>
        <w:b w:val="0"/>
      </w:rPr>
    </w:lvl>
    <w:lvl w:ilvl="1" w:tplc="04190019" w:tentative="1">
      <w:start w:val="1"/>
      <w:numFmt w:val="lowerLetter"/>
      <w:lvlText w:val="%2."/>
      <w:lvlJc w:val="left"/>
      <w:pPr>
        <w:ind w:left="720" w:hanging="360"/>
      </w:pPr>
      <w:rPr>
        <w:rFonts w:cs="Times New Roman"/>
      </w:rPr>
    </w:lvl>
    <w:lvl w:ilvl="2" w:tplc="0419001B" w:tentative="1">
      <w:start w:val="1"/>
      <w:numFmt w:val="lowerRoman"/>
      <w:lvlText w:val="%3."/>
      <w:lvlJc w:val="right"/>
      <w:pPr>
        <w:ind w:left="1440" w:hanging="180"/>
      </w:pPr>
      <w:rPr>
        <w:rFonts w:cs="Times New Roman"/>
      </w:rPr>
    </w:lvl>
    <w:lvl w:ilvl="3" w:tplc="0419000F" w:tentative="1">
      <w:start w:val="1"/>
      <w:numFmt w:val="decimal"/>
      <w:lvlText w:val="%4."/>
      <w:lvlJc w:val="left"/>
      <w:pPr>
        <w:ind w:left="2160" w:hanging="360"/>
      </w:pPr>
      <w:rPr>
        <w:rFonts w:cs="Times New Roman"/>
      </w:rPr>
    </w:lvl>
    <w:lvl w:ilvl="4" w:tplc="04190019" w:tentative="1">
      <w:start w:val="1"/>
      <w:numFmt w:val="lowerLetter"/>
      <w:lvlText w:val="%5."/>
      <w:lvlJc w:val="left"/>
      <w:pPr>
        <w:ind w:left="2880" w:hanging="360"/>
      </w:pPr>
      <w:rPr>
        <w:rFonts w:cs="Times New Roman"/>
      </w:rPr>
    </w:lvl>
    <w:lvl w:ilvl="5" w:tplc="0419001B" w:tentative="1">
      <w:start w:val="1"/>
      <w:numFmt w:val="lowerRoman"/>
      <w:lvlText w:val="%6."/>
      <w:lvlJc w:val="right"/>
      <w:pPr>
        <w:ind w:left="3600" w:hanging="180"/>
      </w:pPr>
      <w:rPr>
        <w:rFonts w:cs="Times New Roman"/>
      </w:rPr>
    </w:lvl>
    <w:lvl w:ilvl="6" w:tplc="0419000F" w:tentative="1">
      <w:start w:val="1"/>
      <w:numFmt w:val="decimal"/>
      <w:lvlText w:val="%7."/>
      <w:lvlJc w:val="left"/>
      <w:pPr>
        <w:ind w:left="4320" w:hanging="360"/>
      </w:pPr>
      <w:rPr>
        <w:rFonts w:cs="Times New Roman"/>
      </w:rPr>
    </w:lvl>
    <w:lvl w:ilvl="7" w:tplc="04190019" w:tentative="1">
      <w:start w:val="1"/>
      <w:numFmt w:val="lowerLetter"/>
      <w:lvlText w:val="%8."/>
      <w:lvlJc w:val="left"/>
      <w:pPr>
        <w:ind w:left="5040" w:hanging="360"/>
      </w:pPr>
      <w:rPr>
        <w:rFonts w:cs="Times New Roman"/>
      </w:rPr>
    </w:lvl>
    <w:lvl w:ilvl="8" w:tplc="0419001B" w:tentative="1">
      <w:start w:val="1"/>
      <w:numFmt w:val="lowerRoman"/>
      <w:lvlText w:val="%9."/>
      <w:lvlJc w:val="right"/>
      <w:pPr>
        <w:ind w:left="5760" w:hanging="180"/>
      </w:pPr>
      <w:rPr>
        <w:rFonts w:cs="Times New Roman"/>
      </w:rPr>
    </w:lvl>
  </w:abstractNum>
  <w:abstractNum w:abstractNumId="12">
    <w:nsid w:val="17846704"/>
    <w:multiLevelType w:val="hybridMultilevel"/>
    <w:tmpl w:val="97F86C0C"/>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7BD6BB9"/>
    <w:multiLevelType w:val="hybridMultilevel"/>
    <w:tmpl w:val="ACC6AEE8"/>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A11422D"/>
    <w:multiLevelType w:val="hybridMultilevel"/>
    <w:tmpl w:val="F8A21182"/>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3B6115"/>
    <w:multiLevelType w:val="hybridMultilevel"/>
    <w:tmpl w:val="C9BE2DE6"/>
    <w:lvl w:ilvl="0" w:tplc="2B9A3852">
      <w:start w:val="1"/>
      <w:numFmt w:val="bullet"/>
      <w:lvlText w:val=""/>
      <w:lvlJc w:val="left"/>
      <w:pPr>
        <w:ind w:left="720" w:hanging="360"/>
      </w:pPr>
      <w:rPr>
        <w:rFonts w:ascii="Symbol" w:hAnsi="Symbol" w:hint="default"/>
      </w:rPr>
    </w:lvl>
    <w:lvl w:ilvl="1" w:tplc="FF34F4D8">
      <w:start w:val="1"/>
      <w:numFmt w:val="bullet"/>
      <w:lvlText w:val="o"/>
      <w:lvlJc w:val="left"/>
      <w:pPr>
        <w:ind w:left="1440" w:hanging="360"/>
      </w:pPr>
      <w:rPr>
        <w:rFonts w:ascii="Courier New" w:hAnsi="Courier New" w:hint="default"/>
      </w:rPr>
    </w:lvl>
    <w:lvl w:ilvl="2" w:tplc="9570688C">
      <w:start w:val="1"/>
      <w:numFmt w:val="bullet"/>
      <w:lvlText w:val=""/>
      <w:lvlJc w:val="left"/>
      <w:pPr>
        <w:ind w:left="2160" w:hanging="360"/>
      </w:pPr>
      <w:rPr>
        <w:rFonts w:ascii="Wingdings" w:hAnsi="Wingdings" w:hint="default"/>
      </w:rPr>
    </w:lvl>
    <w:lvl w:ilvl="3" w:tplc="5E3A517A">
      <w:start w:val="1"/>
      <w:numFmt w:val="bullet"/>
      <w:lvlText w:val=""/>
      <w:lvlJc w:val="left"/>
      <w:pPr>
        <w:ind w:left="2880" w:hanging="360"/>
      </w:pPr>
      <w:rPr>
        <w:rFonts w:ascii="Symbol" w:hAnsi="Symbol" w:hint="default"/>
      </w:rPr>
    </w:lvl>
    <w:lvl w:ilvl="4" w:tplc="3FCE3830">
      <w:start w:val="1"/>
      <w:numFmt w:val="bullet"/>
      <w:lvlText w:val="o"/>
      <w:lvlJc w:val="left"/>
      <w:pPr>
        <w:ind w:left="3600" w:hanging="360"/>
      </w:pPr>
      <w:rPr>
        <w:rFonts w:ascii="Courier New" w:hAnsi="Courier New" w:hint="default"/>
      </w:rPr>
    </w:lvl>
    <w:lvl w:ilvl="5" w:tplc="FE3622FC">
      <w:start w:val="1"/>
      <w:numFmt w:val="bullet"/>
      <w:lvlText w:val=""/>
      <w:lvlJc w:val="left"/>
      <w:pPr>
        <w:ind w:left="4320" w:hanging="360"/>
      </w:pPr>
      <w:rPr>
        <w:rFonts w:ascii="Wingdings" w:hAnsi="Wingdings" w:hint="default"/>
      </w:rPr>
    </w:lvl>
    <w:lvl w:ilvl="6" w:tplc="6D0254A2">
      <w:start w:val="1"/>
      <w:numFmt w:val="bullet"/>
      <w:lvlText w:val=""/>
      <w:lvlJc w:val="left"/>
      <w:pPr>
        <w:ind w:left="5040" w:hanging="360"/>
      </w:pPr>
      <w:rPr>
        <w:rFonts w:ascii="Symbol" w:hAnsi="Symbol" w:hint="default"/>
      </w:rPr>
    </w:lvl>
    <w:lvl w:ilvl="7" w:tplc="612A0074">
      <w:start w:val="1"/>
      <w:numFmt w:val="bullet"/>
      <w:lvlText w:val="o"/>
      <w:lvlJc w:val="left"/>
      <w:pPr>
        <w:ind w:left="5760" w:hanging="360"/>
      </w:pPr>
      <w:rPr>
        <w:rFonts w:ascii="Courier New" w:hAnsi="Courier New" w:hint="default"/>
      </w:rPr>
    </w:lvl>
    <w:lvl w:ilvl="8" w:tplc="D14A9C7E">
      <w:start w:val="1"/>
      <w:numFmt w:val="bullet"/>
      <w:lvlText w:val=""/>
      <w:lvlJc w:val="left"/>
      <w:pPr>
        <w:ind w:left="6480" w:hanging="360"/>
      </w:pPr>
      <w:rPr>
        <w:rFonts w:ascii="Wingdings" w:hAnsi="Wingdings" w:hint="default"/>
      </w:rPr>
    </w:lvl>
  </w:abstractNum>
  <w:abstractNum w:abstractNumId="16">
    <w:nsid w:val="1B930A4F"/>
    <w:multiLevelType w:val="hybridMultilevel"/>
    <w:tmpl w:val="F1A259D6"/>
    <w:lvl w:ilvl="0" w:tplc="F044E81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DA1612"/>
    <w:multiLevelType w:val="hybridMultilevel"/>
    <w:tmpl w:val="AFDE86E8"/>
    <w:lvl w:ilvl="0" w:tplc="45DC7AB4">
      <w:start w:val="1"/>
      <w:numFmt w:val="bullet"/>
      <w:lvlText w:val="−"/>
      <w:lvlJc w:val="left"/>
      <w:pPr>
        <w:ind w:left="720" w:hanging="360"/>
      </w:pPr>
      <w:rPr>
        <w:rFonts w:ascii="Times New Roman" w:hAnsi="Times New Roman" w:hint="default"/>
        <w:sz w:val="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043664E"/>
    <w:multiLevelType w:val="hybridMultilevel"/>
    <w:tmpl w:val="35ECF584"/>
    <w:lvl w:ilvl="0" w:tplc="45DC7AB4">
      <w:start w:val="1"/>
      <w:numFmt w:val="bullet"/>
      <w:lvlText w:val="−"/>
      <w:lvlJc w:val="left"/>
      <w:pPr>
        <w:ind w:left="720" w:hanging="360"/>
      </w:pPr>
      <w:rPr>
        <w:rFonts w:ascii="Times New Roman" w:hAnsi="Times New Roman" w:hint="default"/>
        <w:sz w:val="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0B61C37"/>
    <w:multiLevelType w:val="hybridMultilevel"/>
    <w:tmpl w:val="7098DD9A"/>
    <w:lvl w:ilvl="0" w:tplc="C94264F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21277F76"/>
    <w:multiLevelType w:val="hybridMultilevel"/>
    <w:tmpl w:val="F83E0CA4"/>
    <w:lvl w:ilvl="0" w:tplc="932EC5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1AF74CD"/>
    <w:multiLevelType w:val="hybridMultilevel"/>
    <w:tmpl w:val="24C85338"/>
    <w:lvl w:ilvl="0" w:tplc="F96AF1D8">
      <w:start w:val="1"/>
      <w:numFmt w:val="decimal"/>
      <w:lvlText w:val="%1."/>
      <w:lvlJc w:val="left"/>
      <w:pPr>
        <w:ind w:left="1414" w:hanging="705"/>
      </w:pPr>
      <w:rPr>
        <w:rFonts w:ascii="Times New Roman" w:hAnsi="Times New Roman" w:cs="Times New Roman" w:hint="default"/>
        <w:sz w:val="2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21F73A27"/>
    <w:multiLevelType w:val="hybridMultilevel"/>
    <w:tmpl w:val="2C5C19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236B764D"/>
    <w:multiLevelType w:val="hybridMultilevel"/>
    <w:tmpl w:val="CCCA02E4"/>
    <w:lvl w:ilvl="0" w:tplc="7902CA06">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4">
    <w:nsid w:val="23D021B7"/>
    <w:multiLevelType w:val="multilevel"/>
    <w:tmpl w:val="51883AE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alibri" w:eastAsia="Times New Roman" w:hAnsi="Calibri"/>
      </w:rPr>
    </w:lvl>
    <w:lvl w:ilvl="2">
      <w:start w:val="1"/>
      <w:numFmt w:val="bullet"/>
      <w:lvlText w:val=""/>
      <w:lvlJc w:val="left"/>
      <w:pPr>
        <w:ind w:left="2869" w:hanging="360"/>
      </w:pPr>
      <w:rPr>
        <w:rFonts w:ascii="Calibri" w:hAnsi="Calibri"/>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libri" w:eastAsia="Times New Roman" w:hAnsi="Calibri"/>
      </w:rPr>
    </w:lvl>
    <w:lvl w:ilvl="5">
      <w:start w:val="1"/>
      <w:numFmt w:val="bullet"/>
      <w:lvlText w:val=""/>
      <w:lvlJc w:val="left"/>
      <w:pPr>
        <w:ind w:left="5029" w:hanging="360"/>
      </w:pPr>
      <w:rPr>
        <w:rFonts w:ascii="Calibri" w:hAnsi="Calibri"/>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libri" w:eastAsia="Times New Roman" w:hAnsi="Calibri"/>
      </w:rPr>
    </w:lvl>
    <w:lvl w:ilvl="8">
      <w:start w:val="1"/>
      <w:numFmt w:val="bullet"/>
      <w:lvlText w:val=""/>
      <w:lvlJc w:val="left"/>
      <w:pPr>
        <w:ind w:left="7189" w:hanging="360"/>
      </w:pPr>
      <w:rPr>
        <w:rFonts w:ascii="Calibri" w:hAnsi="Calibri"/>
      </w:rPr>
    </w:lvl>
  </w:abstractNum>
  <w:abstractNum w:abstractNumId="25">
    <w:nsid w:val="244B02A8"/>
    <w:multiLevelType w:val="hybridMultilevel"/>
    <w:tmpl w:val="51B02B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6C45EDC"/>
    <w:multiLevelType w:val="hybridMultilevel"/>
    <w:tmpl w:val="E83A8E76"/>
    <w:lvl w:ilvl="0" w:tplc="E39EE6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8933AC4"/>
    <w:multiLevelType w:val="multilevel"/>
    <w:tmpl w:val="501833A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8">
    <w:nsid w:val="2B4952BF"/>
    <w:multiLevelType w:val="hybridMultilevel"/>
    <w:tmpl w:val="7E5287CA"/>
    <w:lvl w:ilvl="0" w:tplc="45DC7AB4">
      <w:start w:val="1"/>
      <w:numFmt w:val="bullet"/>
      <w:lvlText w:val="−"/>
      <w:lvlJc w:val="left"/>
      <w:pPr>
        <w:ind w:left="720" w:hanging="360"/>
      </w:pPr>
      <w:rPr>
        <w:rFonts w:ascii="Times New Roman" w:hAnsi="Times New Roman" w:hint="default"/>
        <w:sz w:val="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2A44A6"/>
    <w:multiLevelType w:val="hybridMultilevel"/>
    <w:tmpl w:val="8CB2ECC4"/>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30205F8"/>
    <w:multiLevelType w:val="hybridMultilevel"/>
    <w:tmpl w:val="35A8E0F4"/>
    <w:lvl w:ilvl="0" w:tplc="E39EE6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38C2E6E"/>
    <w:multiLevelType w:val="hybridMultilevel"/>
    <w:tmpl w:val="F6EED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D458DC"/>
    <w:multiLevelType w:val="hybridMultilevel"/>
    <w:tmpl w:val="0FF4888A"/>
    <w:lvl w:ilvl="0" w:tplc="831AFE78">
      <w:start w:val="1"/>
      <w:numFmt w:val="decimal"/>
      <w:lvlText w:val="%1."/>
      <w:lvlJc w:val="left"/>
      <w:pPr>
        <w:ind w:left="360" w:hanging="360"/>
      </w:pPr>
      <w:rPr>
        <w:rFonts w:ascii="Times New Roman" w:hAnsi="Times New Roman" w:cs="Times New Roman" w:hint="default"/>
        <w:color w:val="auto"/>
        <w:sz w:val="20"/>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5454346"/>
    <w:multiLevelType w:val="hybridMultilevel"/>
    <w:tmpl w:val="84401456"/>
    <w:lvl w:ilvl="0" w:tplc="A284392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57627D7"/>
    <w:multiLevelType w:val="multilevel"/>
    <w:tmpl w:val="501833A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5">
    <w:nsid w:val="37B44603"/>
    <w:multiLevelType w:val="hybridMultilevel"/>
    <w:tmpl w:val="B13E2DE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CED1CB7"/>
    <w:multiLevelType w:val="hybridMultilevel"/>
    <w:tmpl w:val="77825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E743C2F"/>
    <w:multiLevelType w:val="hybridMultilevel"/>
    <w:tmpl w:val="0C7645B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EDB125D"/>
    <w:multiLevelType w:val="hybridMultilevel"/>
    <w:tmpl w:val="BB962198"/>
    <w:lvl w:ilvl="0" w:tplc="A284392A">
      <w:start w:val="1"/>
      <w:numFmt w:val="decimal"/>
      <w:lvlText w:val="%1."/>
      <w:lvlJc w:val="left"/>
      <w:pPr>
        <w:ind w:left="1117" w:hanging="360"/>
      </w:pPr>
      <w:rPr>
        <w:color w:val="auto"/>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9">
    <w:nsid w:val="403C1013"/>
    <w:multiLevelType w:val="hybridMultilevel"/>
    <w:tmpl w:val="1F3C8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0C6B25"/>
    <w:multiLevelType w:val="hybridMultilevel"/>
    <w:tmpl w:val="630882F8"/>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3925BC"/>
    <w:multiLevelType w:val="hybridMultilevel"/>
    <w:tmpl w:val="70B40204"/>
    <w:lvl w:ilvl="0" w:tplc="B74ECDA0">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B76E7D"/>
    <w:multiLevelType w:val="hybridMultilevel"/>
    <w:tmpl w:val="0F9C252A"/>
    <w:lvl w:ilvl="0" w:tplc="03EA74EC">
      <w:start w:val="1"/>
      <w:numFmt w:val="decimal"/>
      <w:lvlText w:val="%1."/>
      <w:lvlJc w:val="left"/>
      <w:pPr>
        <w:ind w:left="1239" w:hanging="360"/>
      </w:pPr>
      <w:rPr>
        <w:rFonts w:cs="Times New Roman" w:hint="default"/>
      </w:rPr>
    </w:lvl>
    <w:lvl w:ilvl="1" w:tplc="04190019" w:tentative="1">
      <w:start w:val="1"/>
      <w:numFmt w:val="lowerLetter"/>
      <w:lvlText w:val="%2."/>
      <w:lvlJc w:val="left"/>
      <w:pPr>
        <w:ind w:left="1959" w:hanging="360"/>
      </w:pPr>
      <w:rPr>
        <w:rFonts w:cs="Times New Roman"/>
      </w:rPr>
    </w:lvl>
    <w:lvl w:ilvl="2" w:tplc="0419001B" w:tentative="1">
      <w:start w:val="1"/>
      <w:numFmt w:val="lowerRoman"/>
      <w:lvlText w:val="%3."/>
      <w:lvlJc w:val="right"/>
      <w:pPr>
        <w:ind w:left="2679" w:hanging="180"/>
      </w:pPr>
      <w:rPr>
        <w:rFonts w:cs="Times New Roman"/>
      </w:rPr>
    </w:lvl>
    <w:lvl w:ilvl="3" w:tplc="0419000F" w:tentative="1">
      <w:start w:val="1"/>
      <w:numFmt w:val="decimal"/>
      <w:lvlText w:val="%4."/>
      <w:lvlJc w:val="left"/>
      <w:pPr>
        <w:ind w:left="3399" w:hanging="360"/>
      </w:pPr>
      <w:rPr>
        <w:rFonts w:cs="Times New Roman"/>
      </w:rPr>
    </w:lvl>
    <w:lvl w:ilvl="4" w:tplc="04190019" w:tentative="1">
      <w:start w:val="1"/>
      <w:numFmt w:val="lowerLetter"/>
      <w:lvlText w:val="%5."/>
      <w:lvlJc w:val="left"/>
      <w:pPr>
        <w:ind w:left="4119" w:hanging="360"/>
      </w:pPr>
      <w:rPr>
        <w:rFonts w:cs="Times New Roman"/>
      </w:rPr>
    </w:lvl>
    <w:lvl w:ilvl="5" w:tplc="0419001B" w:tentative="1">
      <w:start w:val="1"/>
      <w:numFmt w:val="lowerRoman"/>
      <w:lvlText w:val="%6."/>
      <w:lvlJc w:val="right"/>
      <w:pPr>
        <w:ind w:left="4839" w:hanging="180"/>
      </w:pPr>
      <w:rPr>
        <w:rFonts w:cs="Times New Roman"/>
      </w:rPr>
    </w:lvl>
    <w:lvl w:ilvl="6" w:tplc="0419000F" w:tentative="1">
      <w:start w:val="1"/>
      <w:numFmt w:val="decimal"/>
      <w:lvlText w:val="%7."/>
      <w:lvlJc w:val="left"/>
      <w:pPr>
        <w:ind w:left="5559" w:hanging="360"/>
      </w:pPr>
      <w:rPr>
        <w:rFonts w:cs="Times New Roman"/>
      </w:rPr>
    </w:lvl>
    <w:lvl w:ilvl="7" w:tplc="04190019" w:tentative="1">
      <w:start w:val="1"/>
      <w:numFmt w:val="lowerLetter"/>
      <w:lvlText w:val="%8."/>
      <w:lvlJc w:val="left"/>
      <w:pPr>
        <w:ind w:left="6279" w:hanging="360"/>
      </w:pPr>
      <w:rPr>
        <w:rFonts w:cs="Times New Roman"/>
      </w:rPr>
    </w:lvl>
    <w:lvl w:ilvl="8" w:tplc="0419001B" w:tentative="1">
      <w:start w:val="1"/>
      <w:numFmt w:val="lowerRoman"/>
      <w:lvlText w:val="%9."/>
      <w:lvlJc w:val="right"/>
      <w:pPr>
        <w:ind w:left="6999" w:hanging="180"/>
      </w:pPr>
      <w:rPr>
        <w:rFonts w:cs="Times New Roman"/>
      </w:rPr>
    </w:lvl>
  </w:abstractNum>
  <w:abstractNum w:abstractNumId="43">
    <w:nsid w:val="485C390C"/>
    <w:multiLevelType w:val="hybridMultilevel"/>
    <w:tmpl w:val="8A7AE9E6"/>
    <w:lvl w:ilvl="0" w:tplc="4F70056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9591933"/>
    <w:multiLevelType w:val="hybridMultilevel"/>
    <w:tmpl w:val="A1886B52"/>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9FD42DC"/>
    <w:multiLevelType w:val="hybridMultilevel"/>
    <w:tmpl w:val="5448CD5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6">
    <w:nsid w:val="4D14466E"/>
    <w:multiLevelType w:val="hybridMultilevel"/>
    <w:tmpl w:val="3A1A744E"/>
    <w:lvl w:ilvl="0" w:tplc="6E5AD11E">
      <w:start w:val="1"/>
      <w:numFmt w:val="decimal"/>
      <w:lvlText w:val="%1."/>
      <w:lvlJc w:val="left"/>
      <w:pPr>
        <w:ind w:left="720" w:hanging="360"/>
      </w:pPr>
      <w:rPr>
        <w:rFonts w:cs="Times New Roman"/>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E752072"/>
    <w:multiLevelType w:val="multilevel"/>
    <w:tmpl w:val="C562C5FA"/>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alibri" w:eastAsia="Times New Roman" w:hAnsi="Calibri"/>
      </w:rPr>
    </w:lvl>
    <w:lvl w:ilvl="2">
      <w:start w:val="1"/>
      <w:numFmt w:val="bullet"/>
      <w:lvlText w:val=""/>
      <w:lvlJc w:val="left"/>
      <w:pPr>
        <w:ind w:left="2869" w:hanging="360"/>
      </w:pPr>
      <w:rPr>
        <w:rFonts w:ascii="Calibri" w:hAnsi="Calibri"/>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libri" w:eastAsia="Times New Roman" w:hAnsi="Calibri"/>
      </w:rPr>
    </w:lvl>
    <w:lvl w:ilvl="5">
      <w:start w:val="1"/>
      <w:numFmt w:val="bullet"/>
      <w:lvlText w:val=""/>
      <w:lvlJc w:val="left"/>
      <w:pPr>
        <w:ind w:left="5029" w:hanging="360"/>
      </w:pPr>
      <w:rPr>
        <w:rFonts w:ascii="Calibri" w:hAnsi="Calibri"/>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libri" w:eastAsia="Times New Roman" w:hAnsi="Calibri"/>
      </w:rPr>
    </w:lvl>
    <w:lvl w:ilvl="8">
      <w:start w:val="1"/>
      <w:numFmt w:val="bullet"/>
      <w:lvlText w:val=""/>
      <w:lvlJc w:val="left"/>
      <w:pPr>
        <w:ind w:left="7189" w:hanging="360"/>
      </w:pPr>
      <w:rPr>
        <w:rFonts w:ascii="Calibri" w:hAnsi="Calibri"/>
      </w:rPr>
    </w:lvl>
  </w:abstractNum>
  <w:abstractNum w:abstractNumId="48">
    <w:nsid w:val="52777823"/>
    <w:multiLevelType w:val="hybridMultilevel"/>
    <w:tmpl w:val="75D6070C"/>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B74CF"/>
    <w:multiLevelType w:val="multilevel"/>
    <w:tmpl w:val="5E762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537F71BB"/>
    <w:multiLevelType w:val="hybridMultilevel"/>
    <w:tmpl w:val="CC80D382"/>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51257D8"/>
    <w:multiLevelType w:val="hybridMultilevel"/>
    <w:tmpl w:val="0FC43EF8"/>
    <w:lvl w:ilvl="0" w:tplc="A284392A">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553804FD"/>
    <w:multiLevelType w:val="hybridMultilevel"/>
    <w:tmpl w:val="F7A6567E"/>
    <w:lvl w:ilvl="0" w:tplc="435EF7BC">
      <w:start w:val="1"/>
      <w:numFmt w:val="decimal"/>
      <w:lvlText w:val="%1."/>
      <w:lvlJc w:val="left"/>
      <w:pPr>
        <w:ind w:left="14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62E70E2"/>
    <w:multiLevelType w:val="hybridMultilevel"/>
    <w:tmpl w:val="A0381B10"/>
    <w:lvl w:ilvl="0" w:tplc="0419000F">
      <w:start w:val="1"/>
      <w:numFmt w:val="decimal"/>
      <w:lvlText w:val="%1."/>
      <w:lvlJc w:val="left"/>
      <w:pPr>
        <w:ind w:left="1860" w:hanging="360"/>
      </w:pPr>
      <w:rPr>
        <w:rFonts w:cs="Times New Roman"/>
      </w:rPr>
    </w:lvl>
    <w:lvl w:ilvl="1" w:tplc="04190019" w:tentative="1">
      <w:start w:val="1"/>
      <w:numFmt w:val="lowerLetter"/>
      <w:lvlText w:val="%2."/>
      <w:lvlJc w:val="left"/>
      <w:pPr>
        <w:ind w:left="2580" w:hanging="360"/>
      </w:pPr>
      <w:rPr>
        <w:rFonts w:cs="Times New Roman"/>
      </w:rPr>
    </w:lvl>
    <w:lvl w:ilvl="2" w:tplc="0419001B" w:tentative="1">
      <w:start w:val="1"/>
      <w:numFmt w:val="lowerRoman"/>
      <w:lvlText w:val="%3."/>
      <w:lvlJc w:val="right"/>
      <w:pPr>
        <w:ind w:left="3300" w:hanging="180"/>
      </w:pPr>
      <w:rPr>
        <w:rFonts w:cs="Times New Roman"/>
      </w:rPr>
    </w:lvl>
    <w:lvl w:ilvl="3" w:tplc="0419000F" w:tentative="1">
      <w:start w:val="1"/>
      <w:numFmt w:val="decimal"/>
      <w:lvlText w:val="%4."/>
      <w:lvlJc w:val="left"/>
      <w:pPr>
        <w:ind w:left="4020" w:hanging="360"/>
      </w:pPr>
      <w:rPr>
        <w:rFonts w:cs="Times New Roman"/>
      </w:rPr>
    </w:lvl>
    <w:lvl w:ilvl="4" w:tplc="04190019" w:tentative="1">
      <w:start w:val="1"/>
      <w:numFmt w:val="lowerLetter"/>
      <w:lvlText w:val="%5."/>
      <w:lvlJc w:val="left"/>
      <w:pPr>
        <w:ind w:left="4740" w:hanging="360"/>
      </w:pPr>
      <w:rPr>
        <w:rFonts w:cs="Times New Roman"/>
      </w:rPr>
    </w:lvl>
    <w:lvl w:ilvl="5" w:tplc="0419001B" w:tentative="1">
      <w:start w:val="1"/>
      <w:numFmt w:val="lowerRoman"/>
      <w:lvlText w:val="%6."/>
      <w:lvlJc w:val="right"/>
      <w:pPr>
        <w:ind w:left="5460" w:hanging="180"/>
      </w:pPr>
      <w:rPr>
        <w:rFonts w:cs="Times New Roman"/>
      </w:rPr>
    </w:lvl>
    <w:lvl w:ilvl="6" w:tplc="0419000F" w:tentative="1">
      <w:start w:val="1"/>
      <w:numFmt w:val="decimal"/>
      <w:lvlText w:val="%7."/>
      <w:lvlJc w:val="left"/>
      <w:pPr>
        <w:ind w:left="6180" w:hanging="360"/>
      </w:pPr>
      <w:rPr>
        <w:rFonts w:cs="Times New Roman"/>
      </w:rPr>
    </w:lvl>
    <w:lvl w:ilvl="7" w:tplc="04190019" w:tentative="1">
      <w:start w:val="1"/>
      <w:numFmt w:val="lowerLetter"/>
      <w:lvlText w:val="%8."/>
      <w:lvlJc w:val="left"/>
      <w:pPr>
        <w:ind w:left="6900" w:hanging="360"/>
      </w:pPr>
      <w:rPr>
        <w:rFonts w:cs="Times New Roman"/>
      </w:rPr>
    </w:lvl>
    <w:lvl w:ilvl="8" w:tplc="0419001B" w:tentative="1">
      <w:start w:val="1"/>
      <w:numFmt w:val="lowerRoman"/>
      <w:lvlText w:val="%9."/>
      <w:lvlJc w:val="right"/>
      <w:pPr>
        <w:ind w:left="7620" w:hanging="180"/>
      </w:pPr>
      <w:rPr>
        <w:rFonts w:cs="Times New Roman"/>
      </w:rPr>
    </w:lvl>
  </w:abstractNum>
  <w:abstractNum w:abstractNumId="54">
    <w:nsid w:val="57B2124D"/>
    <w:multiLevelType w:val="multilevel"/>
    <w:tmpl w:val="911C764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nsid w:val="58DC2D27"/>
    <w:multiLevelType w:val="hybridMultilevel"/>
    <w:tmpl w:val="CC0C8764"/>
    <w:lvl w:ilvl="0" w:tplc="0419000F">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8E35150"/>
    <w:multiLevelType w:val="hybridMultilevel"/>
    <w:tmpl w:val="5E8C7E6A"/>
    <w:lvl w:ilvl="0" w:tplc="943AE2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59D75EDB"/>
    <w:multiLevelType w:val="hybridMultilevel"/>
    <w:tmpl w:val="89701E66"/>
    <w:lvl w:ilvl="0" w:tplc="3F4E1EB8">
      <w:start w:val="1"/>
      <w:numFmt w:val="decimal"/>
      <w:lvlText w:val="%1"/>
      <w:lvlJc w:val="left"/>
      <w:pPr>
        <w:ind w:left="1429" w:hanging="360"/>
      </w:pPr>
      <w:rPr>
        <w:rFonts w:ascii="Times New Roman" w:eastAsia="Times New Roman" w:hAnsi="Times New Roman" w:cs="Times New Roman"/>
        <w:vertAlign w:val="baseline"/>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59DA45B6"/>
    <w:multiLevelType w:val="hybridMultilevel"/>
    <w:tmpl w:val="24C065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A331E80"/>
    <w:multiLevelType w:val="hybridMultilevel"/>
    <w:tmpl w:val="66149866"/>
    <w:lvl w:ilvl="0" w:tplc="24D8DFF4">
      <w:start w:val="1"/>
      <w:numFmt w:val="decimal"/>
      <w:lvlText w:val="%1."/>
      <w:lvlJc w:val="left"/>
      <w:pPr>
        <w:ind w:left="14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B0C2BE6"/>
    <w:multiLevelType w:val="hybridMultilevel"/>
    <w:tmpl w:val="59B4CF14"/>
    <w:lvl w:ilvl="0" w:tplc="A284392A">
      <w:start w:val="1"/>
      <w:numFmt w:val="decimal"/>
      <w:lvlText w:val="%1."/>
      <w:lvlJc w:val="left"/>
      <w:pPr>
        <w:ind w:left="1428" w:hanging="360"/>
      </w:pPr>
      <w:rPr>
        <w:color w:val="auto"/>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1">
    <w:nsid w:val="5C1B50D4"/>
    <w:multiLevelType w:val="hybridMultilevel"/>
    <w:tmpl w:val="DE1699F0"/>
    <w:lvl w:ilvl="0" w:tplc="6D42D85E">
      <w:start w:val="1"/>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62">
    <w:nsid w:val="5D9154BB"/>
    <w:multiLevelType w:val="hybridMultilevel"/>
    <w:tmpl w:val="E1CE4AA2"/>
    <w:lvl w:ilvl="0" w:tplc="7A687B5E">
      <w:start w:val="1"/>
      <w:numFmt w:val="decimal"/>
      <w:lvlText w:val="%1."/>
      <w:lvlJc w:val="left"/>
      <w:pPr>
        <w:ind w:left="1395" w:hanging="360"/>
      </w:pPr>
      <w:rPr>
        <w:rFonts w:cs="Times New Roman" w:hint="default"/>
        <w:sz w:val="20"/>
        <w:szCs w:val="24"/>
      </w:rPr>
    </w:lvl>
    <w:lvl w:ilvl="1" w:tplc="04190019" w:tentative="1">
      <w:start w:val="1"/>
      <w:numFmt w:val="lowerLetter"/>
      <w:lvlText w:val="%2."/>
      <w:lvlJc w:val="left"/>
      <w:pPr>
        <w:ind w:left="2115" w:hanging="360"/>
      </w:pPr>
      <w:rPr>
        <w:rFonts w:cs="Times New Roman"/>
      </w:rPr>
    </w:lvl>
    <w:lvl w:ilvl="2" w:tplc="0419001B" w:tentative="1">
      <w:start w:val="1"/>
      <w:numFmt w:val="lowerRoman"/>
      <w:lvlText w:val="%3."/>
      <w:lvlJc w:val="right"/>
      <w:pPr>
        <w:ind w:left="2835" w:hanging="180"/>
      </w:pPr>
      <w:rPr>
        <w:rFonts w:cs="Times New Roman"/>
      </w:rPr>
    </w:lvl>
    <w:lvl w:ilvl="3" w:tplc="0419000F" w:tentative="1">
      <w:start w:val="1"/>
      <w:numFmt w:val="decimal"/>
      <w:lvlText w:val="%4."/>
      <w:lvlJc w:val="left"/>
      <w:pPr>
        <w:ind w:left="3555" w:hanging="360"/>
      </w:pPr>
      <w:rPr>
        <w:rFonts w:cs="Times New Roman"/>
      </w:rPr>
    </w:lvl>
    <w:lvl w:ilvl="4" w:tplc="04190019" w:tentative="1">
      <w:start w:val="1"/>
      <w:numFmt w:val="lowerLetter"/>
      <w:lvlText w:val="%5."/>
      <w:lvlJc w:val="left"/>
      <w:pPr>
        <w:ind w:left="4275" w:hanging="360"/>
      </w:pPr>
      <w:rPr>
        <w:rFonts w:cs="Times New Roman"/>
      </w:rPr>
    </w:lvl>
    <w:lvl w:ilvl="5" w:tplc="0419001B" w:tentative="1">
      <w:start w:val="1"/>
      <w:numFmt w:val="lowerRoman"/>
      <w:lvlText w:val="%6."/>
      <w:lvlJc w:val="right"/>
      <w:pPr>
        <w:ind w:left="4995" w:hanging="180"/>
      </w:pPr>
      <w:rPr>
        <w:rFonts w:cs="Times New Roman"/>
      </w:rPr>
    </w:lvl>
    <w:lvl w:ilvl="6" w:tplc="0419000F" w:tentative="1">
      <w:start w:val="1"/>
      <w:numFmt w:val="decimal"/>
      <w:lvlText w:val="%7."/>
      <w:lvlJc w:val="left"/>
      <w:pPr>
        <w:ind w:left="5715" w:hanging="360"/>
      </w:pPr>
      <w:rPr>
        <w:rFonts w:cs="Times New Roman"/>
      </w:rPr>
    </w:lvl>
    <w:lvl w:ilvl="7" w:tplc="04190019" w:tentative="1">
      <w:start w:val="1"/>
      <w:numFmt w:val="lowerLetter"/>
      <w:lvlText w:val="%8."/>
      <w:lvlJc w:val="left"/>
      <w:pPr>
        <w:ind w:left="6435" w:hanging="360"/>
      </w:pPr>
      <w:rPr>
        <w:rFonts w:cs="Times New Roman"/>
      </w:rPr>
    </w:lvl>
    <w:lvl w:ilvl="8" w:tplc="0419001B" w:tentative="1">
      <w:start w:val="1"/>
      <w:numFmt w:val="lowerRoman"/>
      <w:lvlText w:val="%9."/>
      <w:lvlJc w:val="right"/>
      <w:pPr>
        <w:ind w:left="7155" w:hanging="180"/>
      </w:pPr>
      <w:rPr>
        <w:rFonts w:cs="Times New Roman"/>
      </w:rPr>
    </w:lvl>
  </w:abstractNum>
  <w:abstractNum w:abstractNumId="63">
    <w:nsid w:val="5EFC2D7E"/>
    <w:multiLevelType w:val="hybridMultilevel"/>
    <w:tmpl w:val="DF1A7B66"/>
    <w:lvl w:ilvl="0" w:tplc="F76A6A2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F5F1A5D"/>
    <w:multiLevelType w:val="hybridMultilevel"/>
    <w:tmpl w:val="31667FC6"/>
    <w:lvl w:ilvl="0" w:tplc="2FD0AD6A">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65">
    <w:nsid w:val="60061C1C"/>
    <w:multiLevelType w:val="hybridMultilevel"/>
    <w:tmpl w:val="66704DE8"/>
    <w:lvl w:ilvl="0" w:tplc="532C3B0E">
      <w:start w:val="1"/>
      <w:numFmt w:val="decimal"/>
      <w:lvlText w:val="%1."/>
      <w:lvlJc w:val="left"/>
      <w:pPr>
        <w:ind w:left="1429" w:hanging="360"/>
      </w:pPr>
      <w:rPr>
        <w:rFonts w:ascii="Times New Roman" w:eastAsiaTheme="minorEastAsia" w:hAnsi="Times New Roman" w:cs="Times New Roman"/>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226171E"/>
    <w:multiLevelType w:val="hybridMultilevel"/>
    <w:tmpl w:val="24C065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648D3261"/>
    <w:multiLevelType w:val="hybridMultilevel"/>
    <w:tmpl w:val="09960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4F717EC"/>
    <w:multiLevelType w:val="hybridMultilevel"/>
    <w:tmpl w:val="FCD29508"/>
    <w:lvl w:ilvl="0" w:tplc="4F04A8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5F81C73"/>
    <w:multiLevelType w:val="hybridMultilevel"/>
    <w:tmpl w:val="2D300C5E"/>
    <w:lvl w:ilvl="0" w:tplc="16CCFB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6E77DA7"/>
    <w:multiLevelType w:val="hybridMultilevel"/>
    <w:tmpl w:val="AA6A51C0"/>
    <w:lvl w:ilvl="0" w:tplc="B9AC9A62">
      <w:start w:val="1"/>
      <w:numFmt w:val="bullet"/>
      <w:lvlText w:val=""/>
      <w:lvlJc w:val="left"/>
      <w:pPr>
        <w:ind w:left="720" w:hanging="360"/>
      </w:pPr>
      <w:rPr>
        <w:rFonts w:ascii="Symbol" w:hAnsi="Symbol" w:hint="default"/>
      </w:rPr>
    </w:lvl>
    <w:lvl w:ilvl="1" w:tplc="479EC8E4">
      <w:start w:val="1"/>
      <w:numFmt w:val="bullet"/>
      <w:lvlText w:val="o"/>
      <w:lvlJc w:val="left"/>
      <w:pPr>
        <w:ind w:left="1440" w:hanging="360"/>
      </w:pPr>
      <w:rPr>
        <w:rFonts w:ascii="Courier New" w:hAnsi="Courier New" w:hint="default"/>
      </w:rPr>
    </w:lvl>
    <w:lvl w:ilvl="2" w:tplc="7CDC8DDA">
      <w:start w:val="1"/>
      <w:numFmt w:val="bullet"/>
      <w:lvlText w:val=""/>
      <w:lvlJc w:val="left"/>
      <w:pPr>
        <w:ind w:left="2160" w:hanging="360"/>
      </w:pPr>
      <w:rPr>
        <w:rFonts w:ascii="Wingdings" w:hAnsi="Wingdings" w:hint="default"/>
      </w:rPr>
    </w:lvl>
    <w:lvl w:ilvl="3" w:tplc="5840EEBA">
      <w:start w:val="1"/>
      <w:numFmt w:val="bullet"/>
      <w:lvlText w:val=""/>
      <w:lvlJc w:val="left"/>
      <w:pPr>
        <w:ind w:left="2880" w:hanging="360"/>
      </w:pPr>
      <w:rPr>
        <w:rFonts w:ascii="Symbol" w:hAnsi="Symbol" w:hint="default"/>
      </w:rPr>
    </w:lvl>
    <w:lvl w:ilvl="4" w:tplc="F828B074">
      <w:start w:val="1"/>
      <w:numFmt w:val="bullet"/>
      <w:lvlText w:val="o"/>
      <w:lvlJc w:val="left"/>
      <w:pPr>
        <w:ind w:left="3600" w:hanging="360"/>
      </w:pPr>
      <w:rPr>
        <w:rFonts w:ascii="Courier New" w:hAnsi="Courier New" w:hint="default"/>
      </w:rPr>
    </w:lvl>
    <w:lvl w:ilvl="5" w:tplc="C74A16C4">
      <w:start w:val="1"/>
      <w:numFmt w:val="bullet"/>
      <w:lvlText w:val=""/>
      <w:lvlJc w:val="left"/>
      <w:pPr>
        <w:ind w:left="4320" w:hanging="360"/>
      </w:pPr>
      <w:rPr>
        <w:rFonts w:ascii="Wingdings" w:hAnsi="Wingdings" w:hint="default"/>
      </w:rPr>
    </w:lvl>
    <w:lvl w:ilvl="6" w:tplc="DE609322">
      <w:start w:val="1"/>
      <w:numFmt w:val="bullet"/>
      <w:lvlText w:val=""/>
      <w:lvlJc w:val="left"/>
      <w:pPr>
        <w:ind w:left="5040" w:hanging="360"/>
      </w:pPr>
      <w:rPr>
        <w:rFonts w:ascii="Symbol" w:hAnsi="Symbol" w:hint="default"/>
      </w:rPr>
    </w:lvl>
    <w:lvl w:ilvl="7" w:tplc="1F60EA0C">
      <w:start w:val="1"/>
      <w:numFmt w:val="bullet"/>
      <w:lvlText w:val="o"/>
      <w:lvlJc w:val="left"/>
      <w:pPr>
        <w:ind w:left="5760" w:hanging="360"/>
      </w:pPr>
      <w:rPr>
        <w:rFonts w:ascii="Courier New" w:hAnsi="Courier New" w:hint="default"/>
      </w:rPr>
    </w:lvl>
    <w:lvl w:ilvl="8" w:tplc="8AD8126A">
      <w:start w:val="1"/>
      <w:numFmt w:val="bullet"/>
      <w:lvlText w:val=""/>
      <w:lvlJc w:val="left"/>
      <w:pPr>
        <w:ind w:left="6480" w:hanging="360"/>
      </w:pPr>
      <w:rPr>
        <w:rFonts w:ascii="Wingdings" w:hAnsi="Wingdings" w:hint="default"/>
      </w:rPr>
    </w:lvl>
  </w:abstractNum>
  <w:abstractNum w:abstractNumId="71">
    <w:nsid w:val="67D1041F"/>
    <w:multiLevelType w:val="hybridMultilevel"/>
    <w:tmpl w:val="1AC20A52"/>
    <w:lvl w:ilvl="0" w:tplc="A284392A">
      <w:start w:val="1"/>
      <w:numFmt w:val="decimal"/>
      <w:lvlText w:val="%1."/>
      <w:lvlJc w:val="left"/>
      <w:pPr>
        <w:ind w:left="1117" w:hanging="360"/>
      </w:pPr>
      <w:rPr>
        <w:color w:val="auto"/>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72">
    <w:nsid w:val="68554472"/>
    <w:multiLevelType w:val="hybridMultilevel"/>
    <w:tmpl w:val="489CD78A"/>
    <w:lvl w:ilvl="0" w:tplc="A284392A">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AB57DFF"/>
    <w:multiLevelType w:val="hybridMultilevel"/>
    <w:tmpl w:val="D3283AF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4">
    <w:nsid w:val="6C913542"/>
    <w:multiLevelType w:val="hybridMultilevel"/>
    <w:tmpl w:val="E6CE0E36"/>
    <w:lvl w:ilvl="0" w:tplc="943AE2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C9B478A"/>
    <w:multiLevelType w:val="hybridMultilevel"/>
    <w:tmpl w:val="A088F3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D5F3487"/>
    <w:multiLevelType w:val="hybridMultilevel"/>
    <w:tmpl w:val="0A5CD4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F264633"/>
    <w:multiLevelType w:val="hybridMultilevel"/>
    <w:tmpl w:val="B2526CC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8">
    <w:nsid w:val="74C45A52"/>
    <w:multiLevelType w:val="hybridMultilevel"/>
    <w:tmpl w:val="C0BC8D6A"/>
    <w:lvl w:ilvl="0" w:tplc="94B67C2A">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9">
    <w:nsid w:val="74DB34E3"/>
    <w:multiLevelType w:val="multilevel"/>
    <w:tmpl w:val="63AA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5336E38"/>
    <w:multiLevelType w:val="hybridMultilevel"/>
    <w:tmpl w:val="9E443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B608AB"/>
    <w:multiLevelType w:val="hybridMultilevel"/>
    <w:tmpl w:val="8A487C64"/>
    <w:lvl w:ilvl="0" w:tplc="06D45D3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CD1E2A"/>
    <w:multiLevelType w:val="hybridMultilevel"/>
    <w:tmpl w:val="CE58AA98"/>
    <w:lvl w:ilvl="0" w:tplc="2F124D96">
      <w:start w:val="1"/>
      <w:numFmt w:val="bullet"/>
      <w:lvlText w:val=""/>
      <w:lvlJc w:val="left"/>
      <w:pPr>
        <w:ind w:left="720" w:hanging="360"/>
      </w:pPr>
      <w:rPr>
        <w:rFonts w:ascii="Symbol" w:hAnsi="Symbol" w:hint="default"/>
      </w:rPr>
    </w:lvl>
    <w:lvl w:ilvl="1" w:tplc="ED488C58">
      <w:start w:val="1"/>
      <w:numFmt w:val="bullet"/>
      <w:lvlText w:val="o"/>
      <w:lvlJc w:val="left"/>
      <w:pPr>
        <w:ind w:left="1440" w:hanging="360"/>
      </w:pPr>
      <w:rPr>
        <w:rFonts w:ascii="Courier New" w:hAnsi="Courier New" w:hint="default"/>
      </w:rPr>
    </w:lvl>
    <w:lvl w:ilvl="2" w:tplc="B52C0316">
      <w:start w:val="1"/>
      <w:numFmt w:val="bullet"/>
      <w:lvlText w:val=""/>
      <w:lvlJc w:val="left"/>
      <w:pPr>
        <w:ind w:left="2160" w:hanging="360"/>
      </w:pPr>
      <w:rPr>
        <w:rFonts w:ascii="Wingdings" w:hAnsi="Wingdings" w:hint="default"/>
      </w:rPr>
    </w:lvl>
    <w:lvl w:ilvl="3" w:tplc="DF3C89DC">
      <w:start w:val="1"/>
      <w:numFmt w:val="bullet"/>
      <w:lvlText w:val=""/>
      <w:lvlJc w:val="left"/>
      <w:pPr>
        <w:ind w:left="2880" w:hanging="360"/>
      </w:pPr>
      <w:rPr>
        <w:rFonts w:ascii="Symbol" w:hAnsi="Symbol" w:hint="default"/>
      </w:rPr>
    </w:lvl>
    <w:lvl w:ilvl="4" w:tplc="66E85B5E">
      <w:start w:val="1"/>
      <w:numFmt w:val="bullet"/>
      <w:lvlText w:val="o"/>
      <w:lvlJc w:val="left"/>
      <w:pPr>
        <w:ind w:left="3600" w:hanging="360"/>
      </w:pPr>
      <w:rPr>
        <w:rFonts w:ascii="Courier New" w:hAnsi="Courier New" w:hint="default"/>
      </w:rPr>
    </w:lvl>
    <w:lvl w:ilvl="5" w:tplc="BF8C1718">
      <w:start w:val="1"/>
      <w:numFmt w:val="bullet"/>
      <w:lvlText w:val=""/>
      <w:lvlJc w:val="left"/>
      <w:pPr>
        <w:ind w:left="4320" w:hanging="360"/>
      </w:pPr>
      <w:rPr>
        <w:rFonts w:ascii="Wingdings" w:hAnsi="Wingdings" w:hint="default"/>
      </w:rPr>
    </w:lvl>
    <w:lvl w:ilvl="6" w:tplc="4386E150">
      <w:start w:val="1"/>
      <w:numFmt w:val="bullet"/>
      <w:lvlText w:val=""/>
      <w:lvlJc w:val="left"/>
      <w:pPr>
        <w:ind w:left="5040" w:hanging="360"/>
      </w:pPr>
      <w:rPr>
        <w:rFonts w:ascii="Symbol" w:hAnsi="Symbol" w:hint="default"/>
      </w:rPr>
    </w:lvl>
    <w:lvl w:ilvl="7" w:tplc="5C42C08E">
      <w:start w:val="1"/>
      <w:numFmt w:val="bullet"/>
      <w:lvlText w:val="o"/>
      <w:lvlJc w:val="left"/>
      <w:pPr>
        <w:ind w:left="5760" w:hanging="360"/>
      </w:pPr>
      <w:rPr>
        <w:rFonts w:ascii="Courier New" w:hAnsi="Courier New" w:hint="default"/>
      </w:rPr>
    </w:lvl>
    <w:lvl w:ilvl="8" w:tplc="84C2849E">
      <w:start w:val="1"/>
      <w:numFmt w:val="bullet"/>
      <w:lvlText w:val=""/>
      <w:lvlJc w:val="left"/>
      <w:pPr>
        <w:ind w:left="6480" w:hanging="360"/>
      </w:pPr>
      <w:rPr>
        <w:rFonts w:ascii="Wingdings" w:hAnsi="Wingdings" w:hint="default"/>
      </w:rPr>
    </w:lvl>
  </w:abstractNum>
  <w:abstractNum w:abstractNumId="83">
    <w:nsid w:val="7795687F"/>
    <w:multiLevelType w:val="hybridMultilevel"/>
    <w:tmpl w:val="18F609C2"/>
    <w:lvl w:ilvl="0" w:tplc="57BC2782">
      <w:start w:val="1"/>
      <w:numFmt w:val="decimal"/>
      <w:lvlText w:val="%1"/>
      <w:lvlJc w:val="left"/>
      <w:pPr>
        <w:ind w:left="928"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4">
    <w:nsid w:val="7B1C3A23"/>
    <w:multiLevelType w:val="hybridMultilevel"/>
    <w:tmpl w:val="06BCC246"/>
    <w:lvl w:ilvl="0" w:tplc="E39EE6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BFD61D6"/>
    <w:multiLevelType w:val="hybridMultilevel"/>
    <w:tmpl w:val="25DE1F64"/>
    <w:lvl w:ilvl="0" w:tplc="B0600266">
      <w:start w:val="1"/>
      <w:numFmt w:val="decimal"/>
      <w:lvlText w:val="%1."/>
      <w:lvlJc w:val="left"/>
      <w:pPr>
        <w:ind w:left="720" w:hanging="360"/>
      </w:pPr>
    </w:lvl>
    <w:lvl w:ilvl="1" w:tplc="5F42FA02">
      <w:start w:val="1"/>
      <w:numFmt w:val="lowerLetter"/>
      <w:lvlText w:val="%2."/>
      <w:lvlJc w:val="left"/>
      <w:pPr>
        <w:ind w:left="1440" w:hanging="360"/>
      </w:pPr>
    </w:lvl>
    <w:lvl w:ilvl="2" w:tplc="E2381EEA">
      <w:start w:val="1"/>
      <w:numFmt w:val="lowerRoman"/>
      <w:lvlText w:val="%3."/>
      <w:lvlJc w:val="right"/>
      <w:pPr>
        <w:ind w:left="2160" w:hanging="180"/>
      </w:pPr>
    </w:lvl>
    <w:lvl w:ilvl="3" w:tplc="3DC04196">
      <w:start w:val="1"/>
      <w:numFmt w:val="decimal"/>
      <w:lvlText w:val="%4."/>
      <w:lvlJc w:val="left"/>
      <w:pPr>
        <w:ind w:left="2880" w:hanging="360"/>
      </w:pPr>
    </w:lvl>
    <w:lvl w:ilvl="4" w:tplc="A1B4DD32">
      <w:start w:val="1"/>
      <w:numFmt w:val="lowerLetter"/>
      <w:lvlText w:val="%5."/>
      <w:lvlJc w:val="left"/>
      <w:pPr>
        <w:ind w:left="3600" w:hanging="360"/>
      </w:pPr>
    </w:lvl>
    <w:lvl w:ilvl="5" w:tplc="7FCE6D5E">
      <w:start w:val="1"/>
      <w:numFmt w:val="lowerRoman"/>
      <w:lvlText w:val="%6."/>
      <w:lvlJc w:val="right"/>
      <w:pPr>
        <w:ind w:left="4320" w:hanging="180"/>
      </w:pPr>
    </w:lvl>
    <w:lvl w:ilvl="6" w:tplc="1F347BC6">
      <w:start w:val="1"/>
      <w:numFmt w:val="decimal"/>
      <w:lvlText w:val="%7."/>
      <w:lvlJc w:val="left"/>
      <w:pPr>
        <w:ind w:left="5040" w:hanging="360"/>
      </w:pPr>
    </w:lvl>
    <w:lvl w:ilvl="7" w:tplc="E18EA986">
      <w:start w:val="1"/>
      <w:numFmt w:val="lowerLetter"/>
      <w:lvlText w:val="%8."/>
      <w:lvlJc w:val="left"/>
      <w:pPr>
        <w:ind w:left="5760" w:hanging="360"/>
      </w:pPr>
    </w:lvl>
    <w:lvl w:ilvl="8" w:tplc="08D42944">
      <w:start w:val="1"/>
      <w:numFmt w:val="lowerRoman"/>
      <w:lvlText w:val="%9."/>
      <w:lvlJc w:val="right"/>
      <w:pPr>
        <w:ind w:left="6480" w:hanging="180"/>
      </w:pPr>
    </w:lvl>
  </w:abstractNum>
  <w:abstractNum w:abstractNumId="86">
    <w:nsid w:val="7C337E8E"/>
    <w:multiLevelType w:val="hybridMultilevel"/>
    <w:tmpl w:val="7C337E8E"/>
    <w:lvl w:ilvl="0" w:tplc="FFFFFFFF">
      <w:start w:val="1"/>
      <w:numFmt w:val="decimal"/>
      <w:lvlText w:val="%1."/>
      <w:lvlJc w:val="left"/>
      <w:pPr>
        <w:ind w:left="660" w:hanging="360"/>
      </w:pPr>
      <w:rPr>
        <w:rFonts w:ascii="Times New Roman" w:eastAsia="SimSun" w:hAnsi="Times New Roman" w:cs="Times New Roman"/>
      </w:rPr>
    </w:lvl>
    <w:lvl w:ilvl="1" w:tplc="FFFFFFFF">
      <w:start w:val="1"/>
      <w:numFmt w:val="lowerLetter"/>
      <w:lvlText w:val="%2."/>
      <w:lvlJc w:val="left"/>
      <w:pPr>
        <w:ind w:left="1380" w:hanging="360"/>
      </w:pPr>
      <w:rPr>
        <w:rFonts w:ascii="Times New Roman" w:eastAsia="SimSun" w:hAnsi="Times New Roman" w:cs="Times New Roman"/>
      </w:rPr>
    </w:lvl>
    <w:lvl w:ilvl="2" w:tplc="FFFFFFFF">
      <w:start w:val="1"/>
      <w:numFmt w:val="lowerRoman"/>
      <w:lvlText w:val="%3."/>
      <w:lvlJc w:val="right"/>
      <w:pPr>
        <w:ind w:left="2100" w:hanging="180"/>
      </w:pPr>
      <w:rPr>
        <w:rFonts w:ascii="Times New Roman" w:eastAsia="SimSun" w:hAnsi="Times New Roman" w:cs="Times New Roman"/>
      </w:rPr>
    </w:lvl>
    <w:lvl w:ilvl="3" w:tplc="FFFFFFFF">
      <w:start w:val="1"/>
      <w:numFmt w:val="decimal"/>
      <w:lvlText w:val="%4."/>
      <w:lvlJc w:val="left"/>
      <w:pPr>
        <w:ind w:left="2820" w:hanging="360"/>
      </w:pPr>
      <w:rPr>
        <w:rFonts w:ascii="Times New Roman" w:eastAsia="SimSun" w:hAnsi="Times New Roman" w:cs="Times New Roman"/>
      </w:rPr>
    </w:lvl>
    <w:lvl w:ilvl="4" w:tplc="FFFFFFFF">
      <w:start w:val="1"/>
      <w:numFmt w:val="lowerLetter"/>
      <w:lvlText w:val="%5."/>
      <w:lvlJc w:val="left"/>
      <w:pPr>
        <w:ind w:left="3540" w:hanging="360"/>
      </w:pPr>
      <w:rPr>
        <w:rFonts w:ascii="Times New Roman" w:eastAsia="SimSun" w:hAnsi="Times New Roman" w:cs="Times New Roman"/>
      </w:rPr>
    </w:lvl>
    <w:lvl w:ilvl="5" w:tplc="FFFFFFFF">
      <w:start w:val="1"/>
      <w:numFmt w:val="lowerRoman"/>
      <w:lvlText w:val="%6."/>
      <w:lvlJc w:val="right"/>
      <w:pPr>
        <w:ind w:left="4260" w:hanging="180"/>
      </w:pPr>
      <w:rPr>
        <w:rFonts w:ascii="Times New Roman" w:eastAsia="SimSun" w:hAnsi="Times New Roman" w:cs="Times New Roman"/>
      </w:rPr>
    </w:lvl>
    <w:lvl w:ilvl="6" w:tplc="FFFFFFFF">
      <w:start w:val="1"/>
      <w:numFmt w:val="decimal"/>
      <w:lvlText w:val="%7."/>
      <w:lvlJc w:val="left"/>
      <w:pPr>
        <w:ind w:left="4980" w:hanging="360"/>
      </w:pPr>
      <w:rPr>
        <w:rFonts w:ascii="Times New Roman" w:eastAsia="SimSun" w:hAnsi="Times New Roman" w:cs="Times New Roman"/>
      </w:rPr>
    </w:lvl>
    <w:lvl w:ilvl="7" w:tplc="FFFFFFFF">
      <w:start w:val="1"/>
      <w:numFmt w:val="lowerLetter"/>
      <w:lvlText w:val="%8."/>
      <w:lvlJc w:val="left"/>
      <w:pPr>
        <w:ind w:left="5700" w:hanging="360"/>
      </w:pPr>
      <w:rPr>
        <w:rFonts w:ascii="Times New Roman" w:eastAsia="SimSun" w:hAnsi="Times New Roman" w:cs="Times New Roman"/>
      </w:rPr>
    </w:lvl>
    <w:lvl w:ilvl="8" w:tplc="FFFFFFFF">
      <w:start w:val="1"/>
      <w:numFmt w:val="lowerRoman"/>
      <w:lvlText w:val="%9."/>
      <w:lvlJc w:val="right"/>
      <w:pPr>
        <w:ind w:left="6420" w:hanging="180"/>
      </w:pPr>
      <w:rPr>
        <w:rFonts w:ascii="Times New Roman" w:eastAsia="SimSun" w:hAnsi="Times New Roman" w:cs="Times New Roman"/>
      </w:rPr>
    </w:lvl>
  </w:abstractNum>
  <w:num w:numId="1">
    <w:abstractNumId w:val="85"/>
  </w:num>
  <w:num w:numId="2">
    <w:abstractNumId w:val="67"/>
  </w:num>
  <w:num w:numId="3">
    <w:abstractNumId w:val="41"/>
  </w:num>
  <w:num w:numId="4">
    <w:abstractNumId w:val="20"/>
  </w:num>
  <w:num w:numId="5">
    <w:abstractNumId w:val="37"/>
  </w:num>
  <w:num w:numId="6">
    <w:abstractNumId w:val="25"/>
  </w:num>
  <w:num w:numId="7">
    <w:abstractNumId w:val="45"/>
  </w:num>
  <w:num w:numId="8">
    <w:abstractNumId w:val="0"/>
  </w:num>
  <w:num w:numId="9">
    <w:abstractNumId w:val="1"/>
  </w:num>
  <w:num w:numId="10">
    <w:abstractNumId w:val="47"/>
  </w:num>
  <w:num w:numId="11">
    <w:abstractNumId w:val="68"/>
  </w:num>
  <w:num w:numId="12">
    <w:abstractNumId w:val="24"/>
  </w:num>
  <w:num w:numId="13">
    <w:abstractNumId w:val="62"/>
  </w:num>
  <w:num w:numId="14">
    <w:abstractNumId w:val="63"/>
  </w:num>
  <w:num w:numId="15">
    <w:abstractNumId w:val="58"/>
  </w:num>
  <w:num w:numId="16">
    <w:abstractNumId w:val="26"/>
  </w:num>
  <w:num w:numId="17">
    <w:abstractNumId w:val="84"/>
  </w:num>
  <w:num w:numId="18">
    <w:abstractNumId w:val="30"/>
  </w:num>
  <w:num w:numId="19">
    <w:abstractNumId w:val="32"/>
  </w:num>
  <w:num w:numId="20">
    <w:abstractNumId w:val="77"/>
  </w:num>
  <w:num w:numId="21">
    <w:abstractNumId w:val="21"/>
  </w:num>
  <w:num w:numId="22">
    <w:abstractNumId w:val="6"/>
  </w:num>
  <w:num w:numId="23">
    <w:abstractNumId w:val="5"/>
  </w:num>
  <w:num w:numId="24">
    <w:abstractNumId w:val="75"/>
  </w:num>
  <w:num w:numId="25">
    <w:abstractNumId w:val="61"/>
  </w:num>
  <w:num w:numId="26">
    <w:abstractNumId w:val="42"/>
  </w:num>
  <w:num w:numId="27">
    <w:abstractNumId w:val="39"/>
  </w:num>
  <w:num w:numId="28">
    <w:abstractNumId w:val="55"/>
  </w:num>
  <w:num w:numId="29">
    <w:abstractNumId w:val="80"/>
  </w:num>
  <w:num w:numId="30">
    <w:abstractNumId w:val="36"/>
  </w:num>
  <w:num w:numId="31">
    <w:abstractNumId w:val="76"/>
  </w:num>
  <w:num w:numId="32">
    <w:abstractNumId w:val="2"/>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73"/>
  </w:num>
  <w:num w:numId="40">
    <w:abstractNumId w:val="34"/>
  </w:num>
  <w:num w:numId="41">
    <w:abstractNumId w:val="33"/>
  </w:num>
  <w:num w:numId="42">
    <w:abstractNumId w:val="71"/>
  </w:num>
  <w:num w:numId="43">
    <w:abstractNumId w:val="66"/>
  </w:num>
  <w:num w:numId="44">
    <w:abstractNumId w:val="38"/>
  </w:num>
  <w:num w:numId="45">
    <w:abstractNumId w:val="60"/>
  </w:num>
  <w:num w:numId="46">
    <w:abstractNumId w:val="72"/>
  </w:num>
  <w:num w:numId="47">
    <w:abstractNumId w:val="51"/>
  </w:num>
  <w:num w:numId="48">
    <w:abstractNumId w:val="43"/>
  </w:num>
  <w:num w:numId="49">
    <w:abstractNumId w:val="65"/>
  </w:num>
  <w:num w:numId="50">
    <w:abstractNumId w:val="19"/>
  </w:num>
  <w:num w:numId="51">
    <w:abstractNumId w:val="52"/>
  </w:num>
  <w:num w:numId="52">
    <w:abstractNumId w:val="3"/>
  </w:num>
  <w:num w:numId="53">
    <w:abstractNumId w:val="7"/>
  </w:num>
  <w:num w:numId="54">
    <w:abstractNumId w:val="59"/>
  </w:num>
  <w:num w:numId="55">
    <w:abstractNumId w:val="4"/>
  </w:num>
  <w:num w:numId="56">
    <w:abstractNumId w:val="31"/>
  </w:num>
  <w:num w:numId="57">
    <w:abstractNumId w:val="57"/>
  </w:num>
  <w:num w:numId="58">
    <w:abstractNumId w:val="53"/>
  </w:num>
  <w:num w:numId="59">
    <w:abstractNumId w:val="48"/>
  </w:num>
  <w:num w:numId="60">
    <w:abstractNumId w:val="50"/>
  </w:num>
  <w:num w:numId="61">
    <w:abstractNumId w:val="29"/>
  </w:num>
  <w:num w:numId="62">
    <w:abstractNumId w:val="12"/>
  </w:num>
  <w:num w:numId="63">
    <w:abstractNumId w:val="81"/>
  </w:num>
  <w:num w:numId="64">
    <w:abstractNumId w:val="14"/>
  </w:num>
  <w:num w:numId="65">
    <w:abstractNumId w:val="13"/>
  </w:num>
  <w:num w:numId="66">
    <w:abstractNumId w:val="44"/>
  </w:num>
  <w:num w:numId="67">
    <w:abstractNumId w:val="40"/>
  </w:num>
  <w:num w:numId="68">
    <w:abstractNumId w:val="83"/>
  </w:num>
  <w:num w:numId="69">
    <w:abstractNumId w:val="78"/>
  </w:num>
  <w:num w:numId="70">
    <w:abstractNumId w:val="79"/>
  </w:num>
  <w:num w:numId="71">
    <w:abstractNumId w:val="74"/>
  </w:num>
  <w:num w:numId="72">
    <w:abstractNumId w:val="56"/>
  </w:num>
  <w:num w:numId="73">
    <w:abstractNumId w:val="8"/>
  </w:num>
  <w:num w:numId="74">
    <w:abstractNumId w:val="69"/>
  </w:num>
  <w:num w:numId="75">
    <w:abstractNumId w:val="11"/>
  </w:num>
  <w:num w:numId="76">
    <w:abstractNumId w:val="23"/>
  </w:num>
  <w:num w:numId="77">
    <w:abstractNumId w:val="64"/>
  </w:num>
  <w:num w:numId="78">
    <w:abstractNumId w:val="35"/>
  </w:num>
  <w:num w:numId="79">
    <w:abstractNumId w:val="17"/>
  </w:num>
  <w:num w:numId="80">
    <w:abstractNumId w:val="18"/>
  </w:num>
  <w:num w:numId="81">
    <w:abstractNumId w:val="28"/>
  </w:num>
  <w:num w:numId="82">
    <w:abstractNumId w:val="49"/>
  </w:num>
  <w:num w:numId="83">
    <w:abstractNumId w:val="54"/>
  </w:num>
  <w:num w:numId="84">
    <w:abstractNumId w:val="86"/>
  </w:num>
  <w:num w:numId="85">
    <w:abstractNumId w:val="9"/>
  </w:num>
  <w:num w:numId="86">
    <w:abstractNumId w:val="16"/>
  </w:num>
  <w:num w:numId="87">
    <w:abstractNumId w:val="70"/>
  </w:num>
  <w:num w:numId="88">
    <w:abstractNumId w:val="82"/>
  </w:num>
  <w:num w:numId="89">
    <w:abstractNumId w:val="15"/>
  </w:num>
  <w:num w:numId="90">
    <w:abstractNumId w:val="4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85FB9"/>
    <w:rsid w:val="00001DF4"/>
    <w:rsid w:val="00014FAB"/>
    <w:rsid w:val="000428CE"/>
    <w:rsid w:val="00043298"/>
    <w:rsid w:val="000474BB"/>
    <w:rsid w:val="00061F62"/>
    <w:rsid w:val="000871A2"/>
    <w:rsid w:val="000B1300"/>
    <w:rsid w:val="000B7981"/>
    <w:rsid w:val="000D55E4"/>
    <w:rsid w:val="00100B26"/>
    <w:rsid w:val="00103976"/>
    <w:rsid w:val="00117149"/>
    <w:rsid w:val="00154913"/>
    <w:rsid w:val="00154926"/>
    <w:rsid w:val="00163E4B"/>
    <w:rsid w:val="00173C65"/>
    <w:rsid w:val="0018409B"/>
    <w:rsid w:val="001973E4"/>
    <w:rsid w:val="001D2A79"/>
    <w:rsid w:val="001E01E0"/>
    <w:rsid w:val="001F333E"/>
    <w:rsid w:val="00202D58"/>
    <w:rsid w:val="00212D0F"/>
    <w:rsid w:val="002245D5"/>
    <w:rsid w:val="00234480"/>
    <w:rsid w:val="0025305A"/>
    <w:rsid w:val="002756AE"/>
    <w:rsid w:val="0029521A"/>
    <w:rsid w:val="002D456C"/>
    <w:rsid w:val="002E196C"/>
    <w:rsid w:val="002E4814"/>
    <w:rsid w:val="002E64B1"/>
    <w:rsid w:val="002F08F2"/>
    <w:rsid w:val="002F11DE"/>
    <w:rsid w:val="00310A16"/>
    <w:rsid w:val="00316335"/>
    <w:rsid w:val="00345965"/>
    <w:rsid w:val="003505E7"/>
    <w:rsid w:val="00376F6E"/>
    <w:rsid w:val="00384E6D"/>
    <w:rsid w:val="003A5615"/>
    <w:rsid w:val="003B3622"/>
    <w:rsid w:val="003C5526"/>
    <w:rsid w:val="003D4715"/>
    <w:rsid w:val="003D7553"/>
    <w:rsid w:val="003E2C73"/>
    <w:rsid w:val="003F5BC0"/>
    <w:rsid w:val="00410DEE"/>
    <w:rsid w:val="004127D7"/>
    <w:rsid w:val="00452B5C"/>
    <w:rsid w:val="0047795F"/>
    <w:rsid w:val="00481B98"/>
    <w:rsid w:val="00486065"/>
    <w:rsid w:val="004B7031"/>
    <w:rsid w:val="004E48F7"/>
    <w:rsid w:val="004E7526"/>
    <w:rsid w:val="004F56F3"/>
    <w:rsid w:val="005446FA"/>
    <w:rsid w:val="005507F6"/>
    <w:rsid w:val="00571E8D"/>
    <w:rsid w:val="00581A42"/>
    <w:rsid w:val="00586ED6"/>
    <w:rsid w:val="00591C00"/>
    <w:rsid w:val="00596BA1"/>
    <w:rsid w:val="005E2077"/>
    <w:rsid w:val="005E757C"/>
    <w:rsid w:val="00621FA2"/>
    <w:rsid w:val="006350AC"/>
    <w:rsid w:val="00653D02"/>
    <w:rsid w:val="0065587D"/>
    <w:rsid w:val="00664C0F"/>
    <w:rsid w:val="00667197"/>
    <w:rsid w:val="006A10F6"/>
    <w:rsid w:val="006A266D"/>
    <w:rsid w:val="006B07E9"/>
    <w:rsid w:val="006C55CF"/>
    <w:rsid w:val="006D6C94"/>
    <w:rsid w:val="006D6F5D"/>
    <w:rsid w:val="006E2AD7"/>
    <w:rsid w:val="006E6CFD"/>
    <w:rsid w:val="007014C7"/>
    <w:rsid w:val="00743F3E"/>
    <w:rsid w:val="00754F71"/>
    <w:rsid w:val="0076600D"/>
    <w:rsid w:val="00770DF4"/>
    <w:rsid w:val="00773DD3"/>
    <w:rsid w:val="00780B30"/>
    <w:rsid w:val="007B3F02"/>
    <w:rsid w:val="007D611B"/>
    <w:rsid w:val="007E1000"/>
    <w:rsid w:val="007E1183"/>
    <w:rsid w:val="007E1ABB"/>
    <w:rsid w:val="00820CA1"/>
    <w:rsid w:val="0082342D"/>
    <w:rsid w:val="008249EF"/>
    <w:rsid w:val="008511E0"/>
    <w:rsid w:val="00866DED"/>
    <w:rsid w:val="00885FB9"/>
    <w:rsid w:val="00896A94"/>
    <w:rsid w:val="008B6E87"/>
    <w:rsid w:val="00924800"/>
    <w:rsid w:val="00933455"/>
    <w:rsid w:val="0094417B"/>
    <w:rsid w:val="00953A0C"/>
    <w:rsid w:val="0096417A"/>
    <w:rsid w:val="009715A6"/>
    <w:rsid w:val="00974179"/>
    <w:rsid w:val="00975281"/>
    <w:rsid w:val="00996F30"/>
    <w:rsid w:val="009A321C"/>
    <w:rsid w:val="009A7F3C"/>
    <w:rsid w:val="009C350E"/>
    <w:rsid w:val="009E0E1A"/>
    <w:rsid w:val="009E17A2"/>
    <w:rsid w:val="009F248C"/>
    <w:rsid w:val="00A1001E"/>
    <w:rsid w:val="00A20AF2"/>
    <w:rsid w:val="00A2411C"/>
    <w:rsid w:val="00A261E7"/>
    <w:rsid w:val="00A454E5"/>
    <w:rsid w:val="00A57174"/>
    <w:rsid w:val="00A93A9F"/>
    <w:rsid w:val="00AA14F5"/>
    <w:rsid w:val="00AA1FF8"/>
    <w:rsid w:val="00AD2A2E"/>
    <w:rsid w:val="00AD6080"/>
    <w:rsid w:val="00AE4791"/>
    <w:rsid w:val="00B10279"/>
    <w:rsid w:val="00B207CD"/>
    <w:rsid w:val="00B407BE"/>
    <w:rsid w:val="00B62919"/>
    <w:rsid w:val="00B7659B"/>
    <w:rsid w:val="00B76C7F"/>
    <w:rsid w:val="00B84787"/>
    <w:rsid w:val="00B92001"/>
    <w:rsid w:val="00BA309A"/>
    <w:rsid w:val="00C030A9"/>
    <w:rsid w:val="00C06F39"/>
    <w:rsid w:val="00C23563"/>
    <w:rsid w:val="00C350AE"/>
    <w:rsid w:val="00C61813"/>
    <w:rsid w:val="00C763F4"/>
    <w:rsid w:val="00CA07B0"/>
    <w:rsid w:val="00CA5051"/>
    <w:rsid w:val="00CB3F9D"/>
    <w:rsid w:val="00CD13A8"/>
    <w:rsid w:val="00D03294"/>
    <w:rsid w:val="00D209F3"/>
    <w:rsid w:val="00DB7483"/>
    <w:rsid w:val="00DD4C2E"/>
    <w:rsid w:val="00DF4546"/>
    <w:rsid w:val="00E16E3C"/>
    <w:rsid w:val="00E21FE4"/>
    <w:rsid w:val="00E2206E"/>
    <w:rsid w:val="00E7256F"/>
    <w:rsid w:val="00E80F64"/>
    <w:rsid w:val="00E867BE"/>
    <w:rsid w:val="00E96D36"/>
    <w:rsid w:val="00EA6EB3"/>
    <w:rsid w:val="00EB232C"/>
    <w:rsid w:val="00EC5A3C"/>
    <w:rsid w:val="00ED705D"/>
    <w:rsid w:val="00F025EC"/>
    <w:rsid w:val="00F04EDC"/>
    <w:rsid w:val="00F43DFA"/>
    <w:rsid w:val="00F46A43"/>
    <w:rsid w:val="00F85A55"/>
    <w:rsid w:val="00F92C3C"/>
    <w:rsid w:val="00FC64DD"/>
    <w:rsid w:val="27F01EED"/>
    <w:rsid w:val="630840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39"/>
    <o:shapelayout v:ext="edit">
      <o:idmap v:ext="edit" data="1"/>
      <o:rules v:ext="edit">
        <o:r id="V:Rule41" type="connector" idref="#Прямая со стрелкой 23"/>
        <o:r id="V:Rule42" type="connector" idref="#Прямая со стрелкой 24"/>
        <o:r id="V:Rule43" type="connector" idref="#Прямая со стрелкой 25"/>
        <o:r id="V:Rule44" type="connector" idref="#Прямая со стрелкой 26"/>
        <o:r id="V:Rule45" type="connector" idref="#Прямая со стрелкой 27"/>
        <o:r id="V:Rule46" type="connector" idref="#Прямая со стрелкой 28"/>
        <o:r id="V:Rule47" type="connector" idref="#Прямая со стрелкой 29"/>
        <o:r id="V:Rule48" type="connector" idref="#Прямая со стрелкой 30"/>
        <o:r id="V:Rule50" type="connector" idref="#Прямая со стрелкой 32"/>
        <o:r id="V:Rule60" type="connector" idref="#_x0000_s1233"/>
        <o:r id="V:Rule61" type="connector" idref="#_x0000_s1224"/>
        <o:r id="V:Rule63" type="connector" idref="#Прямая со стрелкой 105"/>
        <o:r id="V:Rule65" type="connector" idref="#Прямая со стрелкой 104"/>
        <o:r id="V:Rule66" type="connector" idref="#_x0000_s1189"/>
        <o:r id="V:Rule69" type="connector" idref="#Прямая со стрелкой 102"/>
        <o:r id="V:Rule71" type="connector" idref="#_x0000_s1227"/>
        <o:r id="V:Rule72" type="connector" idref="#Прямая со стрелкой 65"/>
        <o:r id="V:Rule73" type="connector" idref="#Прямая со стрелкой 113"/>
        <o:r id="V:Rule74" type="connector" idref="#Прямая со стрелкой 43"/>
        <o:r id="V:Rule75" type="connector" idref="#Прямая со стрелкой 29"/>
        <o:r id="V:Rule76" type="connector" idref="#_x0000_s1228"/>
        <o:r id="V:Rule77" type="connector" idref="#Прямая со стрелкой 45"/>
        <o:r id="V:Rule79" type="connector" idref="#Прямая со стрелкой 37"/>
        <o:r id="V:Rule80" type="connector" idref="#Прямая со стрелкой 110"/>
        <o:r id="V:Rule81" type="connector" idref="#_x0000_s1223"/>
        <o:r id="V:Rule82" type="connector" idref="#Прямая со стрелкой 21"/>
        <o:r id="V:Rule84" type="connector" idref="#Прямая со стрелкой 28"/>
        <o:r id="V:Rule85" type="connector" idref="#Прямая со стрелкой 23"/>
        <o:r id="V:Rule86" type="connector" idref="#_x0000_s1226"/>
        <o:r id="V:Rule87" type="connector" idref="#Прямая со стрелкой 27"/>
        <o:r id="V:Rule88" type="connector" idref="#Прямая со стрелкой 111"/>
        <o:r id="V:Rule89" type="connector" idref="#Прямая со стрелкой 109"/>
        <o:r id="V:Rule90" type="connector" idref="#_x0000_s1225"/>
        <o:r id="V:Rule91" type="connector" idref="#Прямая со стрелкой 79"/>
        <o:r id="V:Rule92" type="connector" idref="#Прямая со стрелкой 22"/>
        <o:r id="V:Rule93" type="connector" idref="#Прямая со стрелкой 80"/>
        <o:r id="V:Rule94" type="connector" idref="#Прямая со стрелкой 33"/>
        <o:r id="V:Rule95" type="connector" idref="#Прямая со стрелкой 88"/>
        <o:r id="V:Rule96" type="connector" idref="#Прямая со стрелкой 56"/>
        <o:r id="V:Rule97" type="connector" idref="#Прямая со стрелкой 86"/>
        <o:r id="V:Rule98" type="connector" idref="#Прямая со стрелкой 40"/>
        <o:r id="V:Rule99" type="connector" idref="#_x0000_s1083"/>
        <o:r id="V:Rule100" type="connector" idref="#Прямая со стрелкой 38"/>
        <o:r id="V:Rule101" type="connector" idref="#Прямая со стрелкой 97"/>
        <o:r id="V:Rule102" type="connector" idref="#Прямая со стрелкой 24"/>
        <o:r id="V:Rule103" type="connector" idref="#Прямая со стрелкой 81"/>
        <o:r id="V:Rule104" type="connector" idref="#Прямая со стрелкой 71"/>
        <o:r id="V:Rule105" type="connector" idref="#Прямая со стрелкой 82"/>
        <o:r id="V:Rule107" type="connector" idref="#Прямая со стрелкой 112"/>
        <o:r id="V:Rule109" type="connector" idref="#Прямая со стрелкой 26"/>
        <o:r id="V:Rule110" type="connector" idref="#Прямая со стрелкой 32"/>
        <o:r id="V:Rule111" type="connector" idref="#Прямая со стрелкой 83"/>
        <o:r id="V:Rule112" type="connector" idref="#Прямая со стрелкой 20"/>
        <o:r id="V:Rule113" type="connector" idref="#Прямая со стрелкой 67"/>
        <o:r id="V:Rule114" type="connector" idref="#Прямая со стрелкой 25"/>
        <o:r id="V:Rule115" type="connector" idref="#Прямая со стрелкой 39"/>
        <o:r id="V:Rule116" type="connector" idref="#Прямая со стрелкой 31"/>
        <o:r id="V:Rule117" type="connector" idref="#Прямая со стрелкой 96"/>
        <o:r id="V:Rule118" type="connector" idref="#Прямая со стрелкой 118"/>
        <o:r id="V:Rule119" type="connector" idref="#Прямая со стрелкой 30"/>
      </o:rules>
    </o:shapelayout>
  </w:shapeDefaults>
  <w:decimalSymbol w:val=","/>
  <w:listSeparator w:val=";"/>
  <w14:docId w14:val="55DD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E87"/>
  </w:style>
  <w:style w:type="paragraph" w:styleId="1">
    <w:name w:val="heading 1"/>
    <w:basedOn w:val="a"/>
    <w:next w:val="a"/>
    <w:link w:val="10"/>
    <w:qFormat/>
    <w:rsid w:val="006A10F6"/>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24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245D5"/>
    <w:rPr>
      <w:color w:val="0000FF" w:themeColor="hyperlink"/>
      <w:u w:val="single"/>
    </w:rPr>
  </w:style>
  <w:style w:type="paragraph" w:styleId="a5">
    <w:name w:val="Balloon Text"/>
    <w:basedOn w:val="a"/>
    <w:link w:val="a6"/>
    <w:uiPriority w:val="99"/>
    <w:semiHidden/>
    <w:unhideWhenUsed/>
    <w:rsid w:val="002245D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245D5"/>
    <w:rPr>
      <w:rFonts w:ascii="Tahoma" w:hAnsi="Tahoma" w:cs="Tahoma"/>
      <w:sz w:val="16"/>
      <w:szCs w:val="16"/>
    </w:rPr>
  </w:style>
  <w:style w:type="paragraph" w:styleId="a7">
    <w:name w:val="List Paragraph"/>
    <w:basedOn w:val="a"/>
    <w:link w:val="a8"/>
    <w:uiPriority w:val="34"/>
    <w:qFormat/>
    <w:rsid w:val="002245D5"/>
    <w:pPr>
      <w:spacing w:after="0" w:line="240" w:lineRule="auto"/>
      <w:ind w:left="720"/>
      <w:contextualSpacing/>
    </w:pPr>
    <w:rPr>
      <w:sz w:val="24"/>
      <w:szCs w:val="24"/>
    </w:rPr>
  </w:style>
  <w:style w:type="paragraph" w:styleId="a9">
    <w:name w:val="Normal (Web)"/>
    <w:aliases w:val="Обычный (Web),Обычный (веб) Знак Знак Знак,Обычный (веб) Знак Знак"/>
    <w:basedOn w:val="a"/>
    <w:link w:val="aa"/>
    <w:uiPriority w:val="99"/>
    <w:unhideWhenUsed/>
    <w:rsid w:val="002245D5"/>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b">
    <w:name w:val="Текст примечания Знак"/>
    <w:basedOn w:val="a0"/>
    <w:link w:val="ac"/>
    <w:uiPriority w:val="99"/>
    <w:semiHidden/>
    <w:locked/>
    <w:rsid w:val="002245D5"/>
    <w:rPr>
      <w:rFonts w:cs="Times New Roman"/>
      <w:sz w:val="20"/>
      <w:szCs w:val="20"/>
    </w:rPr>
  </w:style>
  <w:style w:type="paragraph" w:styleId="ac">
    <w:name w:val="annotation text"/>
    <w:basedOn w:val="a"/>
    <w:link w:val="ab"/>
    <w:uiPriority w:val="99"/>
    <w:semiHidden/>
    <w:unhideWhenUsed/>
    <w:rsid w:val="002245D5"/>
    <w:pPr>
      <w:spacing w:after="160" w:line="240" w:lineRule="auto"/>
    </w:pPr>
    <w:rPr>
      <w:rFonts w:cs="Times New Roman"/>
      <w:sz w:val="20"/>
      <w:szCs w:val="20"/>
    </w:rPr>
  </w:style>
  <w:style w:type="character" w:customStyle="1" w:styleId="11">
    <w:name w:val="Текст примечания Знак1"/>
    <w:basedOn w:val="a0"/>
    <w:uiPriority w:val="99"/>
    <w:semiHidden/>
    <w:rsid w:val="002245D5"/>
    <w:rPr>
      <w:sz w:val="20"/>
      <w:szCs w:val="20"/>
    </w:rPr>
  </w:style>
  <w:style w:type="paragraph" w:styleId="ad">
    <w:name w:val="caption"/>
    <w:basedOn w:val="a"/>
    <w:next w:val="a"/>
    <w:uiPriority w:val="35"/>
    <w:unhideWhenUsed/>
    <w:qFormat/>
    <w:rsid w:val="002245D5"/>
    <w:pPr>
      <w:spacing w:line="240" w:lineRule="auto"/>
    </w:pPr>
    <w:rPr>
      <w:rFonts w:eastAsia="Times New Roman" w:cs="Times New Roman"/>
      <w:i/>
      <w:iCs/>
      <w:color w:val="1F497D" w:themeColor="text2"/>
      <w:sz w:val="18"/>
      <w:szCs w:val="18"/>
    </w:rPr>
  </w:style>
  <w:style w:type="character" w:customStyle="1" w:styleId="ae">
    <w:name w:val="Тема примечания Знак"/>
    <w:basedOn w:val="ab"/>
    <w:link w:val="af"/>
    <w:uiPriority w:val="99"/>
    <w:semiHidden/>
    <w:locked/>
    <w:rsid w:val="002245D5"/>
    <w:rPr>
      <w:rFonts w:cs="Times New Roman"/>
      <w:b/>
      <w:bCs/>
      <w:sz w:val="20"/>
      <w:szCs w:val="20"/>
    </w:rPr>
  </w:style>
  <w:style w:type="paragraph" w:styleId="af">
    <w:name w:val="annotation subject"/>
    <w:basedOn w:val="ac"/>
    <w:next w:val="ac"/>
    <w:link w:val="ae"/>
    <w:uiPriority w:val="99"/>
    <w:semiHidden/>
    <w:unhideWhenUsed/>
    <w:rsid w:val="002245D5"/>
    <w:rPr>
      <w:b/>
      <w:bCs/>
    </w:rPr>
  </w:style>
  <w:style w:type="character" w:customStyle="1" w:styleId="12">
    <w:name w:val="Тема примечания Знак1"/>
    <w:basedOn w:val="11"/>
    <w:uiPriority w:val="99"/>
    <w:semiHidden/>
    <w:rsid w:val="002245D5"/>
    <w:rPr>
      <w:b/>
      <w:bCs/>
      <w:sz w:val="20"/>
      <w:szCs w:val="20"/>
    </w:rPr>
  </w:style>
  <w:style w:type="character" w:styleId="af0">
    <w:name w:val="Intense Emphasis"/>
    <w:basedOn w:val="a0"/>
    <w:uiPriority w:val="21"/>
    <w:qFormat/>
    <w:rsid w:val="002245D5"/>
    <w:rPr>
      <w:rFonts w:cs="Times New Roman"/>
      <w:i/>
      <w:iCs/>
      <w:color w:val="4F81BD" w:themeColor="accent1"/>
    </w:rPr>
  </w:style>
  <w:style w:type="paragraph" w:customStyle="1" w:styleId="Default">
    <w:name w:val="Default"/>
    <w:rsid w:val="002245D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f1">
    <w:name w:val="Strong"/>
    <w:basedOn w:val="a0"/>
    <w:qFormat/>
    <w:rsid w:val="002245D5"/>
    <w:rPr>
      <w:rFonts w:cs="Times New Roman"/>
      <w:b/>
      <w:bCs/>
    </w:rPr>
  </w:style>
  <w:style w:type="paragraph" w:styleId="af2">
    <w:name w:val="header"/>
    <w:basedOn w:val="a"/>
    <w:link w:val="af3"/>
    <w:uiPriority w:val="99"/>
    <w:unhideWhenUsed/>
    <w:rsid w:val="00173C65"/>
    <w:pPr>
      <w:tabs>
        <w:tab w:val="center" w:pos="4677"/>
        <w:tab w:val="right" w:pos="9355"/>
      </w:tabs>
      <w:spacing w:after="0" w:line="240" w:lineRule="auto"/>
    </w:pPr>
    <w:rPr>
      <w:rFonts w:eastAsia="Times New Roman" w:cs="Times New Roman"/>
    </w:rPr>
  </w:style>
  <w:style w:type="character" w:customStyle="1" w:styleId="af3">
    <w:name w:val="Верхний колонтитул Знак"/>
    <w:basedOn w:val="a0"/>
    <w:link w:val="af2"/>
    <w:uiPriority w:val="99"/>
    <w:rsid w:val="00173C65"/>
    <w:rPr>
      <w:rFonts w:eastAsia="Times New Roman" w:cs="Times New Roman"/>
    </w:rPr>
  </w:style>
  <w:style w:type="character" w:customStyle="1" w:styleId="blk">
    <w:name w:val="blk"/>
    <w:basedOn w:val="a0"/>
    <w:rsid w:val="00173C65"/>
    <w:rPr>
      <w:rFonts w:cs="Times New Roman"/>
    </w:rPr>
  </w:style>
  <w:style w:type="paragraph" w:customStyle="1" w:styleId="13">
    <w:name w:val="Стиль1"/>
    <w:basedOn w:val="a"/>
    <w:link w:val="14"/>
    <w:qFormat/>
    <w:rsid w:val="00173C65"/>
    <w:pPr>
      <w:spacing w:after="0" w:line="240" w:lineRule="auto"/>
      <w:ind w:firstLine="709"/>
      <w:jc w:val="both"/>
    </w:pPr>
    <w:rPr>
      <w:rFonts w:ascii="Times New Roman" w:eastAsia="Times New Roman" w:hAnsi="Times New Roman" w:cs="Times New Roman"/>
      <w:sz w:val="24"/>
      <w:szCs w:val="24"/>
    </w:rPr>
  </w:style>
  <w:style w:type="character" w:customStyle="1" w:styleId="14">
    <w:name w:val="Стиль1 Знак"/>
    <w:basedOn w:val="a0"/>
    <w:link w:val="13"/>
    <w:locked/>
    <w:rsid w:val="00173C65"/>
    <w:rPr>
      <w:rFonts w:ascii="Times New Roman" w:eastAsia="Times New Roman" w:hAnsi="Times New Roman" w:cs="Times New Roman"/>
      <w:sz w:val="24"/>
      <w:szCs w:val="24"/>
    </w:rPr>
  </w:style>
  <w:style w:type="character" w:customStyle="1" w:styleId="FontStyle85">
    <w:name w:val="Font Style85"/>
    <w:basedOn w:val="a0"/>
    <w:uiPriority w:val="99"/>
    <w:rsid w:val="00173C65"/>
    <w:rPr>
      <w:rFonts w:ascii="Times New Roman" w:hAnsi="Times New Roman" w:cs="Times New Roman"/>
      <w:sz w:val="24"/>
      <w:szCs w:val="24"/>
    </w:rPr>
  </w:style>
  <w:style w:type="paragraph" w:styleId="HTML">
    <w:name w:val="HTML Preformatted"/>
    <w:basedOn w:val="a"/>
    <w:link w:val="HTML0"/>
    <w:uiPriority w:val="99"/>
    <w:unhideWhenUsed/>
    <w:rsid w:val="00173C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73C65"/>
    <w:rPr>
      <w:rFonts w:ascii="Courier New" w:eastAsia="Times New Roman" w:hAnsi="Courier New" w:cs="Courier New"/>
      <w:sz w:val="20"/>
      <w:szCs w:val="20"/>
      <w:lang w:eastAsia="ru-RU"/>
    </w:rPr>
  </w:style>
  <w:style w:type="paragraph" w:customStyle="1" w:styleId="af4">
    <w:name w:val="ттекст"/>
    <w:basedOn w:val="a"/>
    <w:rsid w:val="00173C65"/>
    <w:pPr>
      <w:widowControl w:val="0"/>
      <w:spacing w:after="0" w:line="360" w:lineRule="auto"/>
      <w:ind w:firstLine="709"/>
      <w:jc w:val="both"/>
    </w:pPr>
    <w:rPr>
      <w:rFonts w:ascii="Times New Roman" w:eastAsia="Times New Roman" w:hAnsi="Times New Roman" w:cs="Times New Roman"/>
      <w:sz w:val="28"/>
      <w:szCs w:val="28"/>
    </w:rPr>
  </w:style>
  <w:style w:type="paragraph" w:customStyle="1" w:styleId="af5">
    <w:name w:val="таблица"/>
    <w:basedOn w:val="a"/>
    <w:autoRedefine/>
    <w:rsid w:val="00173C65"/>
    <w:pPr>
      <w:widowControl w:val="0"/>
      <w:spacing w:after="0" w:line="240" w:lineRule="auto"/>
      <w:jc w:val="both"/>
    </w:pPr>
    <w:rPr>
      <w:rFonts w:ascii="Times New Roman" w:eastAsia="Times New Roman" w:hAnsi="Times New Roman" w:cs="Times New Roman"/>
      <w:sz w:val="24"/>
      <w:szCs w:val="24"/>
      <w:lang w:eastAsia="ru-RU"/>
    </w:rPr>
  </w:style>
  <w:style w:type="paragraph" w:styleId="af6">
    <w:name w:val="Body Text"/>
    <w:aliases w:val="Знак Знак"/>
    <w:basedOn w:val="a"/>
    <w:link w:val="af7"/>
    <w:uiPriority w:val="99"/>
    <w:semiHidden/>
    <w:rsid w:val="00173C65"/>
    <w:pPr>
      <w:spacing w:after="120" w:line="240" w:lineRule="auto"/>
      <w:ind w:firstLine="737"/>
      <w:jc w:val="both"/>
    </w:pPr>
    <w:rPr>
      <w:rFonts w:ascii="Times New Roman" w:eastAsia="Times New Roman" w:hAnsi="Times New Roman" w:cs="Times New Roman"/>
      <w:kern w:val="28"/>
      <w:sz w:val="28"/>
      <w:szCs w:val="24"/>
      <w:lang w:eastAsia="ru-RU"/>
    </w:rPr>
  </w:style>
  <w:style w:type="character" w:customStyle="1" w:styleId="af7">
    <w:name w:val="Основной текст Знак"/>
    <w:aliases w:val="Знак Знак Знак"/>
    <w:basedOn w:val="a0"/>
    <w:link w:val="af6"/>
    <w:uiPriority w:val="99"/>
    <w:semiHidden/>
    <w:rsid w:val="00173C65"/>
    <w:rPr>
      <w:rFonts w:ascii="Times New Roman" w:eastAsia="Times New Roman" w:hAnsi="Times New Roman" w:cs="Times New Roman"/>
      <w:kern w:val="28"/>
      <w:sz w:val="28"/>
      <w:szCs w:val="24"/>
      <w:lang w:eastAsia="ru-RU"/>
    </w:rPr>
  </w:style>
  <w:style w:type="paragraph" w:customStyle="1" w:styleId="Style24">
    <w:name w:val="Style24"/>
    <w:basedOn w:val="a"/>
    <w:rsid w:val="00173C6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8">
    <w:name w:val="Заголовок"/>
    <w:basedOn w:val="a"/>
    <w:qFormat/>
    <w:rsid w:val="00173C65"/>
    <w:pPr>
      <w:spacing w:after="0" w:line="240" w:lineRule="auto"/>
      <w:ind w:firstLine="567"/>
      <w:jc w:val="center"/>
    </w:pPr>
    <w:rPr>
      <w:rFonts w:ascii="Times New Roman" w:eastAsia="Times New Roman" w:hAnsi="Times New Roman" w:cs="Times New Roman"/>
      <w:sz w:val="28"/>
      <w:szCs w:val="20"/>
      <w:lang w:eastAsia="ru-RU"/>
    </w:rPr>
  </w:style>
  <w:style w:type="paragraph" w:styleId="2">
    <w:name w:val="Body Text Indent 2"/>
    <w:aliases w:val="Знак"/>
    <w:basedOn w:val="a"/>
    <w:link w:val="20"/>
    <w:autoRedefine/>
    <w:uiPriority w:val="99"/>
    <w:rsid w:val="00173C65"/>
    <w:pPr>
      <w:spacing w:after="160" w:line="240" w:lineRule="exact"/>
      <w:jc w:val="both"/>
    </w:pPr>
    <w:rPr>
      <w:rFonts w:ascii="Times New Roman" w:eastAsia="SimSun" w:hAnsi="Times New Roman" w:cs="Times New Roman"/>
      <w:b/>
      <w:sz w:val="28"/>
      <w:szCs w:val="24"/>
      <w:lang w:val="en-US"/>
    </w:rPr>
  </w:style>
  <w:style w:type="character" w:customStyle="1" w:styleId="20">
    <w:name w:val="Основной текст с отступом 2 Знак"/>
    <w:aliases w:val="Знак Знак1"/>
    <w:basedOn w:val="a0"/>
    <w:link w:val="2"/>
    <w:uiPriority w:val="99"/>
    <w:rsid w:val="00173C65"/>
    <w:rPr>
      <w:rFonts w:ascii="Times New Roman" w:eastAsia="SimSun" w:hAnsi="Times New Roman" w:cs="Times New Roman"/>
      <w:b/>
      <w:sz w:val="28"/>
      <w:szCs w:val="24"/>
      <w:lang w:val="en-US"/>
    </w:rPr>
  </w:style>
  <w:style w:type="character" w:customStyle="1" w:styleId="10">
    <w:name w:val="Заголовок 1 Знак"/>
    <w:basedOn w:val="a0"/>
    <w:link w:val="1"/>
    <w:rsid w:val="006A10F6"/>
    <w:rPr>
      <w:rFonts w:ascii="Arial" w:eastAsia="Times New Roman" w:hAnsi="Arial" w:cs="Arial"/>
      <w:b/>
      <w:bCs/>
      <w:kern w:val="32"/>
      <w:sz w:val="32"/>
      <w:szCs w:val="32"/>
      <w:lang w:eastAsia="ru-RU"/>
    </w:rPr>
  </w:style>
  <w:style w:type="paragraph" w:customStyle="1" w:styleId="af9">
    <w:name w:val="Нормальный"/>
    <w:basedOn w:val="a"/>
    <w:rsid w:val="006A10F6"/>
    <w:pPr>
      <w:spacing w:after="0" w:line="250" w:lineRule="exact"/>
      <w:ind w:firstLine="397"/>
      <w:jc w:val="both"/>
    </w:pPr>
    <w:rPr>
      <w:rFonts w:ascii="Times New Roman" w:eastAsiaTheme="minorEastAsia" w:hAnsi="Times New Roman" w:cs="Times New Roman"/>
      <w:sz w:val="20"/>
      <w:szCs w:val="20"/>
    </w:rPr>
  </w:style>
  <w:style w:type="paragraph" w:customStyle="1" w:styleId="afa">
    <w:name w:val="табличный"/>
    <w:basedOn w:val="a"/>
    <w:rsid w:val="00AD2A2E"/>
    <w:pPr>
      <w:keepNext/>
      <w:spacing w:before="120" w:after="120" w:line="240" w:lineRule="auto"/>
      <w:jc w:val="right"/>
      <w:outlineLvl w:val="0"/>
    </w:pPr>
    <w:rPr>
      <w:rFonts w:ascii="Times New Roman" w:eastAsia="Times New Roman" w:hAnsi="Times New Roman" w:cs="Arial"/>
      <w:bCs/>
      <w:i/>
      <w:kern w:val="28"/>
      <w:sz w:val="20"/>
      <w:szCs w:val="20"/>
      <w:lang w:eastAsia="ru-RU"/>
    </w:rPr>
  </w:style>
  <w:style w:type="paragraph" w:customStyle="1" w:styleId="15">
    <w:name w:val="табл1"/>
    <w:basedOn w:val="a"/>
    <w:rsid w:val="00AD2A2E"/>
    <w:pPr>
      <w:keepNext/>
      <w:spacing w:before="120" w:after="120" w:line="240" w:lineRule="auto"/>
      <w:jc w:val="center"/>
    </w:pPr>
    <w:rPr>
      <w:rFonts w:ascii="Times New Roman" w:eastAsia="Times New Roman" w:hAnsi="Times New Roman" w:cs="Times New Roman"/>
      <w:sz w:val="18"/>
      <w:szCs w:val="20"/>
      <w:lang w:eastAsia="ru-RU"/>
    </w:rPr>
  </w:style>
  <w:style w:type="paragraph" w:customStyle="1" w:styleId="afb">
    <w:name w:val="табл."/>
    <w:basedOn w:val="af5"/>
    <w:rsid w:val="00AD2A2E"/>
    <w:pPr>
      <w:widowControl/>
      <w:spacing w:before="60" w:after="60"/>
      <w:jc w:val="left"/>
      <w:outlineLvl w:val="0"/>
    </w:pPr>
    <w:rPr>
      <w:kern w:val="28"/>
      <w:sz w:val="18"/>
      <w:szCs w:val="20"/>
    </w:rPr>
  </w:style>
  <w:style w:type="character" w:customStyle="1" w:styleId="16">
    <w:name w:val="Обычный1"/>
    <w:basedOn w:val="a0"/>
    <w:rsid w:val="00202D58"/>
    <w:rPr>
      <w:rFonts w:cs="Times New Roman"/>
    </w:rPr>
  </w:style>
  <w:style w:type="character" w:customStyle="1" w:styleId="plagiat">
    <w:name w:val="plagiat"/>
    <w:basedOn w:val="a0"/>
    <w:rsid w:val="00202D58"/>
    <w:rPr>
      <w:rFonts w:cs="Times New Roman"/>
    </w:rPr>
  </w:style>
  <w:style w:type="character" w:customStyle="1" w:styleId="shorttext">
    <w:name w:val="short_text"/>
    <w:basedOn w:val="a0"/>
    <w:rsid w:val="00202D58"/>
    <w:rPr>
      <w:rFonts w:cs="Times New Roman"/>
    </w:rPr>
  </w:style>
  <w:style w:type="table" w:customStyle="1" w:styleId="NormalTable0">
    <w:name w:val="Normal Table0"/>
    <w:uiPriority w:val="2"/>
    <w:semiHidden/>
    <w:unhideWhenUsed/>
    <w:qFormat/>
    <w:rsid w:val="00103976"/>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03976"/>
    <w:pPr>
      <w:widowControl w:val="0"/>
      <w:autoSpaceDE w:val="0"/>
      <w:autoSpaceDN w:val="0"/>
      <w:spacing w:after="0" w:line="164" w:lineRule="exact"/>
      <w:jc w:val="center"/>
    </w:pPr>
    <w:rPr>
      <w:rFonts w:ascii="Times New Roman" w:eastAsia="Times New Roman" w:hAnsi="Times New Roman" w:cs="Times New Roman"/>
      <w:lang w:val="en-US"/>
    </w:rPr>
  </w:style>
  <w:style w:type="character" w:customStyle="1" w:styleId="a8">
    <w:name w:val="Абзац списка Знак"/>
    <w:basedOn w:val="a0"/>
    <w:link w:val="a7"/>
    <w:uiPriority w:val="34"/>
    <w:locked/>
    <w:rsid w:val="00212D0F"/>
    <w:rPr>
      <w:sz w:val="24"/>
      <w:szCs w:val="24"/>
    </w:rPr>
  </w:style>
  <w:style w:type="paragraph" w:styleId="afc">
    <w:name w:val="No Spacing"/>
    <w:uiPriority w:val="1"/>
    <w:qFormat/>
    <w:rsid w:val="00212D0F"/>
    <w:pPr>
      <w:spacing w:after="0" w:line="240" w:lineRule="auto"/>
    </w:pPr>
    <w:rPr>
      <w:rFonts w:ascii="Calibri" w:eastAsia="Times New Roman" w:hAnsi="Calibri" w:cs="Times New Roman"/>
    </w:rPr>
  </w:style>
  <w:style w:type="paragraph" w:customStyle="1" w:styleId="Pa0">
    <w:name w:val="Pa0"/>
    <w:basedOn w:val="Default"/>
    <w:next w:val="Default"/>
    <w:uiPriority w:val="99"/>
    <w:rsid w:val="00376F6E"/>
    <w:pPr>
      <w:spacing w:line="221" w:lineRule="atLeast"/>
    </w:pPr>
    <w:rPr>
      <w:color w:val="auto"/>
    </w:rPr>
  </w:style>
  <w:style w:type="paragraph" w:customStyle="1" w:styleId="Pa19">
    <w:name w:val="Pa19"/>
    <w:basedOn w:val="Default"/>
    <w:next w:val="Default"/>
    <w:uiPriority w:val="99"/>
    <w:rsid w:val="00376F6E"/>
    <w:pPr>
      <w:spacing w:line="181" w:lineRule="atLeast"/>
    </w:pPr>
    <w:rPr>
      <w:color w:val="auto"/>
    </w:rPr>
  </w:style>
  <w:style w:type="character" w:customStyle="1" w:styleId="A50">
    <w:name w:val="A5"/>
    <w:uiPriority w:val="99"/>
    <w:rsid w:val="00376F6E"/>
    <w:rPr>
      <w:color w:val="000000"/>
      <w:sz w:val="22"/>
    </w:rPr>
  </w:style>
  <w:style w:type="paragraph" w:customStyle="1" w:styleId="Pa21">
    <w:name w:val="Pa21"/>
    <w:basedOn w:val="Default"/>
    <w:next w:val="Default"/>
    <w:uiPriority w:val="99"/>
    <w:rsid w:val="00376F6E"/>
    <w:pPr>
      <w:spacing w:line="181" w:lineRule="atLeast"/>
    </w:pPr>
    <w:rPr>
      <w:color w:val="auto"/>
    </w:rPr>
  </w:style>
  <w:style w:type="paragraph" w:styleId="afd">
    <w:name w:val="footer"/>
    <w:basedOn w:val="a"/>
    <w:link w:val="afe"/>
    <w:uiPriority w:val="99"/>
    <w:unhideWhenUsed/>
    <w:rsid w:val="004E48F7"/>
    <w:pPr>
      <w:tabs>
        <w:tab w:val="center" w:pos="4677"/>
        <w:tab w:val="right" w:pos="9355"/>
      </w:tabs>
      <w:spacing w:after="0" w:line="240" w:lineRule="auto"/>
    </w:pPr>
    <w:rPr>
      <w:rFonts w:eastAsia="Times New Roman" w:cs="Times New Roman"/>
    </w:rPr>
  </w:style>
  <w:style w:type="character" w:customStyle="1" w:styleId="afe">
    <w:name w:val="Нижний колонтитул Знак"/>
    <w:basedOn w:val="a0"/>
    <w:link w:val="afd"/>
    <w:uiPriority w:val="99"/>
    <w:rsid w:val="004E48F7"/>
    <w:rPr>
      <w:rFonts w:eastAsia="Times New Roman" w:cs="Times New Roman"/>
    </w:rPr>
  </w:style>
  <w:style w:type="paragraph" w:styleId="aff">
    <w:name w:val="Body Text Indent"/>
    <w:basedOn w:val="a"/>
    <w:link w:val="aff0"/>
    <w:uiPriority w:val="99"/>
    <w:semiHidden/>
    <w:unhideWhenUsed/>
    <w:rsid w:val="004E48F7"/>
    <w:pPr>
      <w:spacing w:after="120"/>
      <w:ind w:left="283"/>
    </w:pPr>
  </w:style>
  <w:style w:type="character" w:customStyle="1" w:styleId="aff0">
    <w:name w:val="Основной текст с отступом Знак"/>
    <w:basedOn w:val="a0"/>
    <w:link w:val="aff"/>
    <w:uiPriority w:val="99"/>
    <w:semiHidden/>
    <w:rsid w:val="004E48F7"/>
  </w:style>
  <w:style w:type="character" w:styleId="aff1">
    <w:name w:val="Subtle Emphasis"/>
    <w:basedOn w:val="a0"/>
    <w:uiPriority w:val="19"/>
    <w:qFormat/>
    <w:rsid w:val="004E48F7"/>
    <w:rPr>
      <w:i/>
      <w:color w:val="808080"/>
    </w:rPr>
  </w:style>
  <w:style w:type="character" w:customStyle="1" w:styleId="apple-converted-space">
    <w:name w:val="apple-converted-space"/>
    <w:rsid w:val="004E48F7"/>
    <w:rPr>
      <w:rFonts w:ascii="Times New Roman" w:hAnsi="Times New Roman"/>
    </w:rPr>
  </w:style>
  <w:style w:type="paragraph" w:customStyle="1" w:styleId="aff2">
    <w:name w:val="Основной_статья"/>
    <w:basedOn w:val="a"/>
    <w:rsid w:val="00A261E7"/>
    <w:pPr>
      <w:autoSpaceDE w:val="0"/>
      <w:autoSpaceDN w:val="0"/>
      <w:adjustRightInd w:val="0"/>
      <w:spacing w:after="0" w:line="288" w:lineRule="auto"/>
      <w:ind w:firstLine="340"/>
      <w:jc w:val="both"/>
      <w:textAlignment w:val="center"/>
    </w:pPr>
    <w:rPr>
      <w:rFonts w:ascii="Times New Roman" w:eastAsia="Calibri" w:hAnsi="Times New Roman" w:cs="Times New Roman"/>
      <w:color w:val="000000"/>
    </w:rPr>
  </w:style>
  <w:style w:type="character" w:customStyle="1" w:styleId="aa">
    <w:name w:val="Обычный (веб) Знак"/>
    <w:aliases w:val="Обычный (Web) Знак,Обычный (веб) Знак Знак Знак Знак,Обычный (веб) Знак Знак Знак1"/>
    <w:link w:val="a9"/>
    <w:rsid w:val="00A261E7"/>
    <w:rPr>
      <w:rFonts w:ascii="Times New Roman" w:hAnsi="Times New Roman" w:cs="Times New Roman"/>
      <w:sz w:val="24"/>
      <w:szCs w:val="24"/>
      <w:lang w:eastAsia="ru-RU"/>
    </w:rPr>
  </w:style>
  <w:style w:type="paragraph" w:styleId="aff3">
    <w:name w:val="footnote text"/>
    <w:basedOn w:val="a"/>
    <w:link w:val="aff4"/>
    <w:semiHidden/>
    <w:rsid w:val="00A261E7"/>
    <w:pPr>
      <w:spacing w:after="0" w:line="240" w:lineRule="auto"/>
    </w:pPr>
    <w:rPr>
      <w:rFonts w:ascii="Times New Roman" w:eastAsia="Times New Roman" w:hAnsi="Times New Roman" w:cs="Times New Roman"/>
      <w:sz w:val="20"/>
      <w:szCs w:val="20"/>
      <w:lang w:eastAsia="ru-RU"/>
    </w:rPr>
  </w:style>
  <w:style w:type="character" w:customStyle="1" w:styleId="aff4">
    <w:name w:val="Текст сноски Знак"/>
    <w:basedOn w:val="a0"/>
    <w:link w:val="aff3"/>
    <w:semiHidden/>
    <w:rsid w:val="00A261E7"/>
    <w:rPr>
      <w:rFonts w:ascii="Times New Roman" w:eastAsia="Times New Roman" w:hAnsi="Times New Roman" w:cs="Times New Roman"/>
      <w:sz w:val="20"/>
      <w:szCs w:val="20"/>
      <w:lang w:eastAsia="ru-RU"/>
    </w:rPr>
  </w:style>
  <w:style w:type="numbering" w:customStyle="1" w:styleId="17">
    <w:name w:val="Нет списка1"/>
    <w:next w:val="a2"/>
    <w:uiPriority w:val="99"/>
    <w:semiHidden/>
    <w:unhideWhenUsed/>
    <w:rsid w:val="007E1000"/>
  </w:style>
  <w:style w:type="character" w:customStyle="1" w:styleId="UnresolvedMention">
    <w:name w:val="Unresolved Mention"/>
    <w:basedOn w:val="a0"/>
    <w:uiPriority w:val="99"/>
    <w:semiHidden/>
    <w:unhideWhenUsed/>
    <w:rsid w:val="007E1000"/>
    <w:rPr>
      <w:rFonts w:cs="Times New Roman"/>
      <w:color w:val="808080"/>
      <w:shd w:val="clear" w:color="auto" w:fill="E6E6E6"/>
    </w:rPr>
  </w:style>
  <w:style w:type="table" w:customStyle="1" w:styleId="18">
    <w:name w:val="Сетка таблицы1"/>
    <w:basedOn w:val="a1"/>
    <w:next w:val="a3"/>
    <w:uiPriority w:val="39"/>
    <w:rsid w:val="007E100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7E1000"/>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new.forbes.ru/rating/350675-200-krupneyshih-rossiyskih-kompaniy-2017" TargetMode="External"/><Relationship Id="rId117" Type="http://schemas.openxmlformats.org/officeDocument/2006/relationships/image" Target="media/image12.jpeg"/><Relationship Id="rId21" Type="http://schemas.openxmlformats.org/officeDocument/2006/relationships/hyperlink" Target="https://www.sifma.org/resources/research/us-sf-trading-volume/" TargetMode="External"/><Relationship Id="rId42" Type="http://schemas.openxmlformats.org/officeDocument/2006/relationships/hyperlink" Target="https://www.nalog.ru/rn77/about_fts/docs/3997100/" TargetMode="External"/><Relationship Id="rId47" Type="http://schemas.openxmlformats.org/officeDocument/2006/relationships/hyperlink" Target="mailto:katyusha98@mail.ru" TargetMode="External"/><Relationship Id="rId63" Type="http://schemas.openxmlformats.org/officeDocument/2006/relationships/hyperlink" Target="https://ru.wikihow.com/&#1091;&#1084;&#1077;&#1085;&#1100;&#1096;&#1080;&#1090;&#1100;-&#1079;&#1072;&#1075;&#1088;&#1103;&#1079;&#1085;&#1077;&#1085;&#1080;&#1077;-&#1074;&#1086;&#1079;&#1076;&#1091;&#1093;&#1072;" TargetMode="External"/><Relationship Id="rId68" Type="http://schemas.openxmlformats.org/officeDocument/2006/relationships/hyperlink" Target="http://www.consultant.ru/" TargetMode="External"/><Relationship Id="rId84" Type="http://schemas.openxmlformats.org/officeDocument/2006/relationships/hyperlink" Target="mailto:ministrelia_1998@mail.ru" TargetMode="External"/><Relationship Id="rId89" Type="http://schemas.openxmlformats.org/officeDocument/2006/relationships/hyperlink" Target="https://cyberleninka.ru/article/n/novatsii-v-kontraktnoy-sisteme-v-sfere-zakupok-tovarov-rabot-uslug-dlya-obespecheniya-gosudarstvennyh-i-munitsipalnyh-nuzhd" TargetMode="External"/><Relationship Id="rId112" Type="http://schemas.openxmlformats.org/officeDocument/2006/relationships/hyperlink" Target="mailto:vlada-prim@mail.ru" TargetMode="External"/><Relationship Id="rId133" Type="http://schemas.openxmlformats.org/officeDocument/2006/relationships/hyperlink" Target="mailto:ykaptereva@mail.ru" TargetMode="External"/><Relationship Id="rId138" Type="http://schemas.openxmlformats.org/officeDocument/2006/relationships/image" Target="media/image16.png"/><Relationship Id="rId16" Type="http://schemas.openxmlformats.org/officeDocument/2006/relationships/hyperlink" Target="http://rusipoteka.ru/profi/securitization/sek_yuritizaciya_ipotechnyh_kreditov/" TargetMode="External"/><Relationship Id="rId107" Type="http://schemas.openxmlformats.org/officeDocument/2006/relationships/hyperlink" Target="https://ru.wikipedia.org/wiki/%D0%9F%D1%80%D0%B8%D0%B1%D1%8B%D0%BB%D1%8C" TargetMode="External"/><Relationship Id="rId11" Type="http://schemas.openxmlformats.org/officeDocument/2006/relationships/chart" Target="charts/chart1.xml"/><Relationship Id="rId32" Type="http://schemas.openxmlformats.org/officeDocument/2006/relationships/hyperlink" Target="http://www.seinstitute.ru/Files/Veh6-04_Mun.pdf" TargetMode="External"/><Relationship Id="rId37" Type="http://schemas.openxmlformats.org/officeDocument/2006/relationships/hyperlink" Target="mailto:karagusovanastya.nastya@mail.ru" TargetMode="External"/><Relationship Id="rId53" Type="http://schemas.openxmlformats.org/officeDocument/2006/relationships/hyperlink" Target="https://primorsky.ru/authorities/executive-agencies/departments/health/organizatsiya-okazaniya-meditsinskoy-pomoshchi/%D0%BF%D1%80%D0%B8%D0%BA%D0%B0%D0%B7%20854-%D0%BE%20%D0%BE%D1%82%2003.10.2014%20%D0%B3..pdf" TargetMode="External"/><Relationship Id="rId58" Type="http://schemas.openxmlformats.org/officeDocument/2006/relationships/image" Target="media/image7.png"/><Relationship Id="rId74" Type="http://schemas.openxmlformats.org/officeDocument/2006/relationships/hyperlink" Target="http://www.consultant.ru/." TargetMode="External"/><Relationship Id="rId79" Type="http://schemas.openxmlformats.org/officeDocument/2006/relationships/hyperlink" Target="http://www.consultant.ru/document/cons_doc_LAW_199427/148952d741cfbd1c73818bbc5e6b291a9c4cf299/" TargetMode="External"/><Relationship Id="rId102" Type="http://schemas.openxmlformats.org/officeDocument/2006/relationships/hyperlink" Target="https://www.offbank.ru/banki/_primorskogo-kraya.html" TargetMode="External"/><Relationship Id="rId123" Type="http://schemas.openxmlformats.org/officeDocument/2006/relationships/hyperlink" Target="https://moiarussia.ru/glavnye-dostizheniya-rossii-v-nauke-za-poslednie-20-let/" TargetMode="External"/><Relationship Id="rId128" Type="http://schemas.openxmlformats.org/officeDocument/2006/relationships/hyperlink" Target="https://finacademy.net/materials/article/perehod-msfo-rossii-2018" TargetMode="External"/><Relationship Id="rId144" Type="http://schemas.openxmlformats.org/officeDocument/2006/relationships/glossaryDocument" Target="glossary/document.xml"/><Relationship Id="rId5" Type="http://schemas.openxmlformats.org/officeDocument/2006/relationships/settings" Target="settings.xml"/><Relationship Id="rId90" Type="http://schemas.openxmlformats.org/officeDocument/2006/relationships/hyperlink" Target="http://zakupki.gov.ru/epz/main/public/home.html" TargetMode="External"/><Relationship Id="rId95" Type="http://schemas.openxmlformats.org/officeDocument/2006/relationships/hyperlink" Target="https://www.gd.ru/articles/9039-qqq-17-m2-22-02-2017-finansovyy-kontrol" TargetMode="External"/><Relationship Id="rId22" Type="http://schemas.openxmlformats.org/officeDocument/2006/relationships/hyperlink" Target="mailto:sabinka_s@bk.ru" TargetMode="External"/><Relationship Id="rId27" Type="http://schemas.openxmlformats.org/officeDocument/2006/relationships/hyperlink" Target="http://fortune.com/global500/" TargetMode="External"/><Relationship Id="rId43" Type="http://schemas.openxmlformats.org/officeDocument/2006/relationships/hyperlink" Target="http://base.consultant.ru" TargetMode="External"/><Relationship Id="rId48" Type="http://schemas.openxmlformats.org/officeDocument/2006/relationships/chart" Target="charts/chart5.xml"/><Relationship Id="rId64" Type="http://schemas.openxmlformats.org/officeDocument/2006/relationships/hyperlink" Target="http://mvf.klerk.ru/nb/343_02.htm" TargetMode="External"/><Relationship Id="rId69" Type="http://schemas.openxmlformats.org/officeDocument/2006/relationships/hyperlink" Target="http://www.consultant.ru/document/cons_doc_LAW_220276/3d0cac60971a511280cbba229d9b6329c07731f7/" TargetMode="External"/><Relationship Id="rId113" Type="http://schemas.openxmlformats.org/officeDocument/2006/relationships/chart" Target="charts/chart11.xml"/><Relationship Id="rId118" Type="http://schemas.openxmlformats.org/officeDocument/2006/relationships/image" Target="media/image13.png"/><Relationship Id="rId134" Type="http://schemas.openxmlformats.org/officeDocument/2006/relationships/hyperlink" Target="http://school26.pupils.ru" TargetMode="External"/><Relationship Id="rId139" Type="http://schemas.openxmlformats.org/officeDocument/2006/relationships/image" Target="media/image17.png"/><Relationship Id="rId80" Type="http://schemas.openxmlformats.org/officeDocument/2006/relationships/hyperlink" Target="http://www.consultant.ru/." TargetMode="External"/><Relationship Id="rId85" Type="http://schemas.openxmlformats.org/officeDocument/2006/relationships/hyperlink" Target="mailto:ekaterina.ohmaniyk2013@ya.ru"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www.cbr.ru/finmarkets/files/supervision/Scen_NPF.pdf" TargetMode="External"/><Relationship Id="rId25" Type="http://schemas.openxmlformats.org/officeDocument/2006/relationships/hyperlink" Target="http://www.riarating.ru/infografika/20180130/630080911.html" TargetMode="External"/><Relationship Id="rId33" Type="http://schemas.openxmlformats.org/officeDocument/2006/relationships/hyperlink" Target="http://www.customs.ru" TargetMode="External"/><Relationship Id="rId38" Type="http://schemas.openxmlformats.org/officeDocument/2006/relationships/image" Target="media/image5.png"/><Relationship Id="rId46" Type="http://schemas.openxmlformats.org/officeDocument/2006/relationships/hyperlink" Target="http://legalacts.ru/doc/FZ-o-nekommercheskih-organizacijah/" TargetMode="External"/><Relationship Id="rId59" Type="http://schemas.openxmlformats.org/officeDocument/2006/relationships/hyperlink" Target="http://www.sgqconsulting.ru/systema-pokazateley.htm" TargetMode="External"/><Relationship Id="rId67" Type="http://schemas.openxmlformats.org/officeDocument/2006/relationships/hyperlink" Target="http://www.consultant.ru/" TargetMode="External"/><Relationship Id="rId103" Type="http://schemas.openxmlformats.org/officeDocument/2006/relationships/hyperlink" Target="https://applied-research.ru/ru/article/view?id=9811" TargetMode="External"/><Relationship Id="rId108" Type="http://schemas.openxmlformats.org/officeDocument/2006/relationships/hyperlink" Target="https://ru.wikipedia.org/wiki/%D0%A6%D0%B5%D0%BD%D0%BD%D1%8B%D0%B5_%D0%B1%D1%83%D0%BC%D0%B0%D0%B3%D0%B8" TargetMode="External"/><Relationship Id="rId116" Type="http://schemas.openxmlformats.org/officeDocument/2006/relationships/image" Target="media/image11.png"/><Relationship Id="rId124" Type="http://schemas.openxmlformats.org/officeDocument/2006/relationships/hyperlink" Target="https://sibac.info/studconf/econom/xxiii/39013" TargetMode="External"/><Relationship Id="rId129" Type="http://schemas.openxmlformats.org/officeDocument/2006/relationships/hyperlink" Target="https://www.consultant.ru/law/podborki/perehod_na_msfo/" TargetMode="External"/><Relationship Id="rId137" Type="http://schemas.openxmlformats.org/officeDocument/2006/relationships/image" Target="media/image15.png"/><Relationship Id="rId20" Type="http://schemas.openxmlformats.org/officeDocument/2006/relationships/hyperlink" Target="https://www.sifma.org/wp-content/uploads/2017/05/us-securitization-2016-year-in-review.pdf" TargetMode="External"/><Relationship Id="rId41" Type="http://schemas.openxmlformats.org/officeDocument/2006/relationships/hyperlink" Target="https://elibrary.ru/contents.asp?titleid=30498" TargetMode="External"/><Relationship Id="rId54" Type="http://schemas.openxmlformats.org/officeDocument/2006/relationships/hyperlink" Target="http://www.consultant.ru/cons/cgi/online.cgi?req=doc&amp;base=LAW&amp;n=286470&amp;fld=134&amp;dst=1000000001,0&amp;rnd=0.5027197317445953" TargetMode="External"/><Relationship Id="rId62" Type="http://schemas.openxmlformats.org/officeDocument/2006/relationships/chart" Target="charts/chart9.xml"/><Relationship Id="rId70" Type="http://schemas.openxmlformats.org/officeDocument/2006/relationships/hyperlink" Target="http://www.consultant.ru/" TargetMode="External"/><Relationship Id="rId75" Type="http://schemas.openxmlformats.org/officeDocument/2006/relationships/hyperlink" Target="http://www.consultant.ru/." TargetMode="External"/><Relationship Id="rId83" Type="http://schemas.openxmlformats.org/officeDocument/2006/relationships/image" Target="media/image8.png"/><Relationship Id="rId88" Type="http://schemas.openxmlformats.org/officeDocument/2006/relationships/hyperlink" Target="http://www.consultant.ru/document/cons_doc_LAW_144624/" TargetMode="External"/><Relationship Id="rId91" Type="http://schemas.openxmlformats.org/officeDocument/2006/relationships/hyperlink" Target="http://www.science-education.ru/" TargetMode="External"/><Relationship Id="rId96" Type="http://schemas.openxmlformats.org/officeDocument/2006/relationships/hyperlink" Target="https://cyberleninka.ru/article/n/sistema-vnutrennego-kontrolya-kak-sredstvo-vyyavleniya-riskov-organizatsii" TargetMode="External"/><Relationship Id="rId111" Type="http://schemas.openxmlformats.org/officeDocument/2006/relationships/hyperlink" Target="http://www.consultant.ru/cons/cgi/online.cgi?req=doc&amp;base=LAW&amp;n=287030&amp;fld=134&amp;dst=1000000001,0&amp;rnd=0.8694754244817058" TargetMode="External"/><Relationship Id="rId132" Type="http://schemas.openxmlformats.org/officeDocument/2006/relationships/hyperlink" Target="mailto:ykaptereva@mail.ru" TargetMode="External"/><Relationship Id="rId140" Type="http://schemas.openxmlformats.org/officeDocument/2006/relationships/hyperlink" Target="https://novostivl.ru/msg/26721.htm"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1076;&#1086;&#1084;.&#1088;&#1092;/wp-content/uploads/2016/11/Rynok-ITSB-SSHA.pdf" TargetMode="External"/><Relationship Id="rId23" Type="http://schemas.openxmlformats.org/officeDocument/2006/relationships/image" Target="media/image3.png"/><Relationship Id="rId28" Type="http://schemas.openxmlformats.org/officeDocument/2006/relationships/hyperlink" Target="http://worldinvestmentreport.unctad.org/" TargetMode="External"/><Relationship Id="rId36" Type="http://schemas.openxmlformats.org/officeDocument/2006/relationships/hyperlink" Target="mailto:vika.shlyamova@mail.ru" TargetMode="External"/><Relationship Id="rId49" Type="http://schemas.openxmlformats.org/officeDocument/2006/relationships/chart" Target="charts/chart6.xml"/><Relationship Id="rId57" Type="http://schemas.openxmlformats.org/officeDocument/2006/relationships/image" Target="media/image6.png"/><Relationship Id="rId106" Type="http://schemas.openxmlformats.org/officeDocument/2006/relationships/hyperlink" Target="https://ru.wikipedia.org/wiki/%D0%9F%D1%80%D0%B5%D0%B4%D0%BF%D1%80%D0%B8%D0%BD%D0%B8%D0%BC%D0%B0%D1%82%D0%B5%D0%BB%D1%8C%D1%81%D1%82%D0%B2%D0%BE" TargetMode="External"/><Relationship Id="rId114" Type="http://schemas.openxmlformats.org/officeDocument/2006/relationships/hyperlink" Target="http://www.gks.ru/wps/wcm/connect/rosstat/" TargetMode="External"/><Relationship Id="rId119" Type="http://schemas.openxmlformats.org/officeDocument/2006/relationships/hyperlink" Target="https://www.minfin.ru/ru/om/fingram/directions/evaluation/" TargetMode="External"/><Relationship Id="rId127" Type="http://schemas.openxmlformats.org/officeDocument/2006/relationships/hyperlink" Target="https://www.bibliofond.ru/view.aspx?id=516237" TargetMode="External"/><Relationship Id="rId10" Type="http://schemas.openxmlformats.org/officeDocument/2006/relationships/image" Target="media/image2.png"/><Relationship Id="rId31" Type="http://schemas.openxmlformats.org/officeDocument/2006/relationships/hyperlink" Target="mailto:E-mail%20%20lambadamel1994@gmail.com" TargetMode="External"/><Relationship Id="rId44" Type="http://schemas.openxmlformats.org/officeDocument/2006/relationships/hyperlink" Target="http://base.consultant.ru" TargetMode="External"/><Relationship Id="rId52" Type="http://schemas.openxmlformats.org/officeDocument/2006/relationships/hyperlink" Target="http://www.gks.ru/wps/wcm/connect/rosstat_main/rosstat/ru/statistics/publications/catalog/doc_1138623506156" TargetMode="External"/><Relationship Id="rId60" Type="http://schemas.openxmlformats.org/officeDocument/2006/relationships/hyperlink" Target="mailto:anna.chist.98@mail.ru" TargetMode="External"/><Relationship Id="rId65" Type="http://schemas.openxmlformats.org/officeDocument/2006/relationships/hyperlink" Target="http://mvf.klerk.ru/nb/343_02.htm" TargetMode="External"/><Relationship Id="rId73" Type="http://schemas.openxmlformats.org/officeDocument/2006/relationships/hyperlink" Target="http://www.consultant.ru/." TargetMode="External"/><Relationship Id="rId78" Type="http://schemas.openxmlformats.org/officeDocument/2006/relationships/hyperlink" Target="http://www.consultant.ru/." TargetMode="External"/><Relationship Id="rId81" Type="http://schemas.openxmlformats.org/officeDocument/2006/relationships/hyperlink" Target="mailto:tatiana_shchukina@inbox.ru" TargetMode="External"/><Relationship Id="rId86" Type="http://schemas.openxmlformats.org/officeDocument/2006/relationships/hyperlink" Target="http://base.garant.ru/12154854/" TargetMode="External"/><Relationship Id="rId94" Type="http://schemas.openxmlformats.org/officeDocument/2006/relationships/hyperlink" Target="https://vk.com/away.php?utf=1&amp;to=https%3A%2F%2Felibrary.ru%2Fitem.asp%3Fid%3D24818365" TargetMode="External"/><Relationship Id="rId99" Type="http://schemas.openxmlformats.org/officeDocument/2006/relationships/image" Target="media/image9.png"/><Relationship Id="rId101" Type="http://schemas.openxmlformats.org/officeDocument/2006/relationships/hyperlink" Target="http://www.banki.ru" TargetMode="External"/><Relationship Id="rId122" Type="http://schemas.openxmlformats.org/officeDocument/2006/relationships/hyperlink" Target="https://www.refnews.ru/read/article/1380939" TargetMode="External"/><Relationship Id="rId130" Type="http://schemas.openxmlformats.org/officeDocument/2006/relationships/hyperlink" Target="http://www.consultant.ru/document/cons_doc_LAW_103021/" TargetMode="External"/><Relationship Id="rId135" Type="http://schemas.openxmlformats.org/officeDocument/2006/relationships/hyperlink" Target="mailto:KristinaOlegovna98@mail.ru" TargetMode="External"/><Relationship Id="rId14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fred.stlouisfed.org/series/WSHOMCB" TargetMode="External"/><Relationship Id="rId39" Type="http://schemas.openxmlformats.org/officeDocument/2006/relationships/hyperlink" Target="https://elibrary.ru/author_items.asp?refid=332387347&amp;fam=%D0%97%D0%B0%D0%BC%D1%83%D0%BB%D0%B0&amp;init=%D0%95+%D0%92" TargetMode="External"/><Relationship Id="rId109" Type="http://schemas.openxmlformats.org/officeDocument/2006/relationships/hyperlink" Target="https://ru.wikipedia.org/w/index.php?title=%D0%98%D0%BC%D1%83%D1%89%D0%B5%D1%81%D1%82%D0%B2%D0%B5%D0%BD%D0%BD%D0%BE%D0%B5_%D0%BF%D1%80%D0%B0%D0%B2%D0%BE&amp;action=edit&amp;redlink=1" TargetMode="External"/><Relationship Id="rId34" Type="http://schemas.openxmlformats.org/officeDocument/2006/relationships/image" Target="media/image4.jpeg"/><Relationship Id="rId50" Type="http://schemas.openxmlformats.org/officeDocument/2006/relationships/chart" Target="charts/chart7.xml"/><Relationship Id="rId55" Type="http://schemas.openxmlformats.org/officeDocument/2006/relationships/hyperlink" Target="mailto:Valeriya.Spichak96@vvsu.ru" TargetMode="External"/><Relationship Id="rId76" Type="http://schemas.openxmlformats.org/officeDocument/2006/relationships/hyperlink" Target="http://www.consultant.ru/." TargetMode="External"/><Relationship Id="rId97" Type="http://schemas.openxmlformats.org/officeDocument/2006/relationships/hyperlink" Target="http://www.consultant.ru/document/cons_doc_LAW_156407/" TargetMode="External"/><Relationship Id="rId104" Type="http://schemas.openxmlformats.org/officeDocument/2006/relationships/hyperlink" Target="https://ru.wikipedia.org/wiki/%D0%98%D0%BD%D0%B2%D0%B5%D1%81%D1%82%D0%B8%D1%86%D0%B8%D0%B8" TargetMode="External"/><Relationship Id="rId120" Type="http://schemas.openxmlformats.org/officeDocument/2006/relationships/hyperlink" Target="http://www.consultant.ru/document/cons_doc_LAW_28399/" TargetMode="External"/><Relationship Id="rId125" Type="http://schemas.openxmlformats.org/officeDocument/2006/relationships/hyperlink" Target="http://www.consultant.ru/document/cons_doc_LAW_82134/a9b016dd1e6fd0de3b2783fee55aa8a0483d0a77/" TargetMode="External"/><Relationship Id="rId141" Type="http://schemas.openxmlformats.org/officeDocument/2006/relationships/hyperlink" Target="http://soc-work.ru/article/707" TargetMode="External"/><Relationship Id="rId7" Type="http://schemas.openxmlformats.org/officeDocument/2006/relationships/footnotes" Target="footnotes.xml"/><Relationship Id="rId71" Type="http://schemas.openxmlformats.org/officeDocument/2006/relationships/hyperlink" Target="http://www.consultant.ru/" TargetMode="External"/><Relationship Id="rId92" Type="http://schemas.openxmlformats.org/officeDocument/2006/relationships/hyperlink" Target="https://vk.com/away.php?to=https%3A%2F%2Felibrary.ru%2Fitem.asp%3Fid%3D26848707&amp;cc_key=" TargetMode="External"/><Relationship Id="rId2" Type="http://schemas.openxmlformats.org/officeDocument/2006/relationships/numbering" Target="numbering.xml"/><Relationship Id="rId29" Type="http://schemas.openxmlformats.org/officeDocument/2006/relationships/hyperlink" Target="mailto:moe_vld@mail.ru" TargetMode="External"/><Relationship Id="rId24" Type="http://schemas.openxmlformats.org/officeDocument/2006/relationships/hyperlink" Target="http://global-finances.ru/krupneyshie-kompanii-mira-2017/" TargetMode="External"/><Relationship Id="rId40" Type="http://schemas.openxmlformats.org/officeDocument/2006/relationships/hyperlink" Target="https://elibrary.ru/author_items.asp?refid=332387347&amp;fam=%D0%9A%D1%83%D0%B7%D1%8C%D0%BC%D0%B8%D1%87%D0%B5%D0%B2%D0%B0&amp;init=%D0%98+%D0%90" TargetMode="External"/><Relationship Id="rId45" Type="http://schemas.openxmlformats.org/officeDocument/2006/relationships/hyperlink" Target="mailto:kuskova.yuliya@mail.ru" TargetMode="External"/><Relationship Id="rId66" Type="http://schemas.openxmlformats.org/officeDocument/2006/relationships/hyperlink" Target="http://www.consultant.ru/document/cons_doc_LAW_220280/3d0cac60971a511280cbba229d9b6329c07731f7/" TargetMode="External"/><Relationship Id="rId87" Type="http://schemas.openxmlformats.org/officeDocument/2006/relationships/chart" Target="charts/chart10.xml"/><Relationship Id="rId110" Type="http://schemas.openxmlformats.org/officeDocument/2006/relationships/hyperlink" Target="http://primorsky.ru/authorities/executive-agencies/departments/economics/development/results/results2017.php" TargetMode="External"/><Relationship Id="rId115" Type="http://schemas.openxmlformats.org/officeDocument/2006/relationships/hyperlink" Target="http://minfin.ru/ru/document/?id_4=116794/" TargetMode="External"/><Relationship Id="rId131" Type="http://schemas.openxmlformats.org/officeDocument/2006/relationships/hyperlink" Target="https://elibrary.ru/item.asp?id=17950259" TargetMode="External"/><Relationship Id="rId136" Type="http://schemas.openxmlformats.org/officeDocument/2006/relationships/image" Target="media/image14.png"/><Relationship Id="rId61" Type="http://schemas.openxmlformats.org/officeDocument/2006/relationships/chart" Target="charts/chart8.xml"/><Relationship Id="rId82" Type="http://schemas.openxmlformats.org/officeDocument/2006/relationships/hyperlink" Target="mailto:angelina_kopai@mail.ru" TargetMode="External"/><Relationship Id="rId19" Type="http://schemas.openxmlformats.org/officeDocument/2006/relationships/hyperlink" Target="https://www.sifma.org/resources/research/us-mortgage-related-issuance-and-outstanding/" TargetMode="External"/><Relationship Id="rId14" Type="http://schemas.openxmlformats.org/officeDocument/2006/relationships/chart" Target="charts/chart4.xml"/><Relationship Id="rId30" Type="http://schemas.openxmlformats.org/officeDocument/2006/relationships/hyperlink" Target="http://www.rattanpr.ru/pochemu-ne-vypuskayutsya-otechestvennye-podguzniki-dlya-detey" TargetMode="External"/><Relationship Id="rId35" Type="http://schemas.openxmlformats.org/officeDocument/2006/relationships/hyperlink" Target="http://www.grandars.ru/college/ekonomika-firmy/finansovo-promyshlennaya-gruppa.html" TargetMode="External"/><Relationship Id="rId56" Type="http://schemas.openxmlformats.org/officeDocument/2006/relationships/hyperlink" Target="http://works.doklad.ru/view/PtMQIwUW6js.html" TargetMode="External"/><Relationship Id="rId77" Type="http://schemas.openxmlformats.org/officeDocument/2006/relationships/hyperlink" Target="http://www.consultant.ru/." TargetMode="External"/><Relationship Id="rId100" Type="http://schemas.openxmlformats.org/officeDocument/2006/relationships/image" Target="media/image10.png"/><Relationship Id="rId105" Type="http://schemas.openxmlformats.org/officeDocument/2006/relationships/hyperlink" Target="https://ru.wikipedia.org/w/index.php?title=%D0%98%D0%BD%D0%BE%D1%81%D1%82%D1%80%D0%B0%D0%BD%D0%BD%D1%8B%D0%B9_%D0%B8%D0%BD%D0%B2%D0%B5%D1%81%D1%82%D0%BE%D1%80&amp;action=edit&amp;redlink=1" TargetMode="External"/><Relationship Id="rId126" Type="http://schemas.openxmlformats.org/officeDocument/2006/relationships/hyperlink" Target="mailto:isedalishcheva@mail.ru" TargetMode="External"/><Relationship Id="rId8" Type="http://schemas.openxmlformats.org/officeDocument/2006/relationships/endnotes" Target="endnotes.xml"/><Relationship Id="rId51" Type="http://schemas.openxmlformats.org/officeDocument/2006/relationships/hyperlink" Target="http://kremlin.ru/events/president/news/56228" TargetMode="External"/><Relationship Id="rId72" Type="http://schemas.openxmlformats.org/officeDocument/2006/relationships/hyperlink" Target="http://www.consultant.ru/document/cons_doc_LAW_107962/7eee8dc2927979997135beed9156951f3a1df849/" TargetMode="External"/><Relationship Id="rId93" Type="http://schemas.openxmlformats.org/officeDocument/2006/relationships/hyperlink" Target="https://vk.com/away.php?utf=1&amp;to=https%3A%2F%2Futmagazine.ru%2Fposts%2F8938-finansovaya-sluzhba" TargetMode="External"/><Relationship Id="rId98" Type="http://schemas.openxmlformats.org/officeDocument/2006/relationships/hyperlink" Target="mailto:polovnikova.sveta2016@yandex.ru" TargetMode="External"/><Relationship Id="rId121" Type="http://schemas.openxmlformats.org/officeDocument/2006/relationships/hyperlink" Target="mailto:tolya.vasilev.197@mail.ru" TargetMode="External"/><Relationship Id="rId142" Type="http://schemas.openxmlformats.org/officeDocument/2006/relationships/hyperlink" Target="https://cyberleninka.ru/article/n/problemy-formirovaniya-effektivnoy-pensionnoy-sistemy-rossii"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r0ndo\Downloads\sf-us-mortgage-related-sifm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0ndo\Downloads\sf-us-mortgage-related-sifm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0ndo\Downloads\MBST.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r0ndo\Desktop\&#1055;&#1086;%20&#1091;&#1095;&#1077;&#1073;&#1077;\&#1069;&#1082;&#1086;&#1085;&#1086;&#1084;&#1080;&#1095;&#1077;&#1089;&#1082;&#1080;&#1077;%20&#1087;&#1088;&#1077;&#1076;&#1084;&#1077;&#1090;&#1099;\&#1058;&#1077;&#1086;&#1088;&#1080;&#1103;%20&#1101;&#1082;&#1086;&#1085;&#1086;&#1084;&#1080;&#1095;&#1077;&#1089;&#1082;&#1086;&#1075;&#1086;%20&#1072;&#1085;&#1072;&#1083;&#1080;&#1079;&#1072;\&#1048;&#1062;&#1041;%20&#1074;%20&#1056;&#1086;&#1089;&#1089;&#1080;&#1080;.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C:\Users\&#1040;&#1083;&#1080;&#1085;&#1072;\Desktop\&#1044;&#1086;&#1082;&#1083;&#1072;&#1076;\&#1050;&#1085;&#1080;&#1075;&#1072;1.xlsx" TargetMode="External"/><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1040;&#1083;&#1080;&#1085;&#1072;\Desktop\&#1044;&#1086;&#1082;&#1083;&#1072;&#1076;\&#1050;&#1085;&#1080;&#1075;&#1072;1.xlsx" TargetMode="External"/><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1040;&#1083;&#1080;&#1085;&#1072;\Desktop\&#1044;&#1086;&#1082;&#1083;&#1072;&#1076;\&#1050;&#1085;&#1080;&#1075;&#1072;1.xlsx" TargetMode="External"/><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4.xml"/></Relationships>
</file>

<file path=word/charts/_rels/chart9.xml.rels><?xml version="1.0" encoding="UTF-8" standalone="yes"?>
<Relationships xmlns="http://schemas.openxmlformats.org/package/2006/relationships"><Relationship Id="rId2" Type="http://schemas.openxmlformats.org/officeDocument/2006/relationships/oleObject" Target="file:///G:\&#1059;&#1095;&#1077;&#1073;&#1085;&#1099;&#1077;%20&#1084;&#1072;&#1090;&#1077;&#1088;&#1080;&#1072;&#1083;&#1099;\4%20&#1089;&#1077;&#1084;&#1077;&#1089;&#1090;&#1088;\&#1058;&#1077;&#1086;&#1088;&#1080;&#1103;%20&#1101;&#1082;&#1086;&#1085;&#1086;&#1084;&#1080;&#1095;&#1077;&#1089;&#1082;&#1086;&#1075;&#1086;%20&#1072;&#1085;&#1072;&#1083;&#1080;&#1079;&#1072;\&#1050;&#1085;&#1080;&#1075;&#1072;1.xlsx" TargetMode="External"/><Relationship Id="rId1" Type="http://schemas.openxmlformats.org/officeDocument/2006/relationships/themeOverride" Target="../theme/themeOverride5.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6.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'Mortgage-Related Issuance'!$I$4</c:f>
              <c:strCache>
                <c:ptCount val="1"/>
                <c:pt idx="0">
                  <c:v>Agency</c:v>
                </c:pt>
              </c:strCache>
            </c:strRef>
          </c:tx>
          <c:spPr>
            <a:ln w="28575" cap="rnd">
              <a:solidFill>
                <a:schemeClr val="tx1"/>
              </a:solidFill>
              <a:prstDash val="sysDot"/>
              <a:round/>
            </a:ln>
            <a:effectLst/>
          </c:spPr>
          <c:marker>
            <c:symbol val="none"/>
          </c:marker>
          <c:cat>
            <c:numRef>
              <c:f>'Mortgage-Related Issuance'!$A$5:$A$26</c:f>
              <c:numCache>
                <c:formatCode>General</c:formatCode>
                <c:ptCount val="22"/>
                <c:pt idx="0">
                  <c:v>1996</c:v>
                </c:pt>
                <c:pt idx="1">
                  <c:v>1997</c:v>
                </c:pt>
                <c:pt idx="2">
                  <c:v>1998</c:v>
                </c:pt>
                <c:pt idx="3">
                  <c:v>1999</c:v>
                </c:pt>
                <c:pt idx="4">
                  <c:v>2000</c:v>
                </c:pt>
                <c:pt idx="5">
                  <c:v>2001</c:v>
                </c:pt>
                <c:pt idx="6">
                  <c:v>2002</c:v>
                </c:pt>
                <c:pt idx="7">
                  <c:v>2003</c:v>
                </c:pt>
                <c:pt idx="8">
                  <c:v>2004</c:v>
                </c:pt>
                <c:pt idx="9">
                  <c:v>2005</c:v>
                </c:pt>
                <c:pt idx="10">
                  <c:v>2006</c:v>
                </c:pt>
                <c:pt idx="11">
                  <c:v>2007</c:v>
                </c:pt>
                <c:pt idx="12">
                  <c:v>2008</c:v>
                </c:pt>
                <c:pt idx="13">
                  <c:v>2009</c:v>
                </c:pt>
                <c:pt idx="14">
                  <c:v>2010</c:v>
                </c:pt>
                <c:pt idx="15">
                  <c:v>2011</c:v>
                </c:pt>
                <c:pt idx="16">
                  <c:v>2012</c:v>
                </c:pt>
                <c:pt idx="17">
                  <c:v>2013</c:v>
                </c:pt>
                <c:pt idx="18">
                  <c:v>2014</c:v>
                </c:pt>
                <c:pt idx="19">
                  <c:v>2015</c:v>
                </c:pt>
                <c:pt idx="20">
                  <c:v>2016</c:v>
                </c:pt>
                <c:pt idx="21">
                  <c:v>2017</c:v>
                </c:pt>
              </c:numCache>
            </c:numRef>
          </c:cat>
          <c:val>
            <c:numRef>
              <c:f>'Mortgage-Related Issuance'!$I$5:$I$26</c:f>
              <c:numCache>
                <c:formatCode>#,##0.0</c:formatCode>
                <c:ptCount val="22"/>
                <c:pt idx="0">
                  <c:v>443.43556878799961</c:v>
                </c:pt>
                <c:pt idx="1">
                  <c:v>546.12253222000004</c:v>
                </c:pt>
                <c:pt idx="2">
                  <c:v>954.22080572000004</c:v>
                </c:pt>
                <c:pt idx="3">
                  <c:v>883.59869948199946</c:v>
                </c:pt>
                <c:pt idx="4">
                  <c:v>584.37308340100003</c:v>
                </c:pt>
                <c:pt idx="5">
                  <c:v>1479.001426571999</c:v>
                </c:pt>
                <c:pt idx="6">
                  <c:v>2039.4550453290001</c:v>
                </c:pt>
                <c:pt idx="7">
                  <c:v>2789.0916478320014</c:v>
                </c:pt>
                <c:pt idx="8">
                  <c:v>1409.87225145</c:v>
                </c:pt>
                <c:pt idx="9">
                  <c:v>1329.810294838999</c:v>
                </c:pt>
                <c:pt idx="10">
                  <c:v>1199.3237923969998</c:v>
                </c:pt>
                <c:pt idx="11">
                  <c:v>1405.4529273359999</c:v>
                </c:pt>
                <c:pt idx="12">
                  <c:v>1323.9478006480001</c:v>
                </c:pt>
                <c:pt idx="13">
                  <c:v>2088.587808463998</c:v>
                </c:pt>
                <c:pt idx="14">
                  <c:v>1921.3297516520001</c:v>
                </c:pt>
                <c:pt idx="15">
                  <c:v>1653.1508683860002</c:v>
                </c:pt>
                <c:pt idx="16">
                  <c:v>2119.168644733998</c:v>
                </c:pt>
                <c:pt idx="17">
                  <c:v>1982.0146948549998</c:v>
                </c:pt>
                <c:pt idx="18">
                  <c:v>1265.1616434709999</c:v>
                </c:pt>
                <c:pt idx="19">
                  <c:v>1601.4171956320001</c:v>
                </c:pt>
                <c:pt idx="20">
                  <c:v>1880.2392974210006</c:v>
                </c:pt>
                <c:pt idx="21">
                  <c:v>1710.7899232489999</c:v>
                </c:pt>
              </c:numCache>
            </c:numRef>
          </c:val>
          <c:smooth val="0"/>
          <c:extLst xmlns:c16r2="http://schemas.microsoft.com/office/drawing/2015/06/chart">
            <c:ext xmlns:c16="http://schemas.microsoft.com/office/drawing/2014/chart" uri="{C3380CC4-5D6E-409C-BE32-E72D297353CC}">
              <c16:uniqueId val="{00000000-67C5-47EB-B87C-1F70EA57A729}"/>
            </c:ext>
          </c:extLst>
        </c:ser>
        <c:ser>
          <c:idx val="1"/>
          <c:order val="1"/>
          <c:tx>
            <c:strRef>
              <c:f>'Mortgage-Related Issuance'!$J$4</c:f>
              <c:strCache>
                <c:ptCount val="1"/>
                <c:pt idx="0">
                  <c:v>Non-Agency</c:v>
                </c:pt>
              </c:strCache>
            </c:strRef>
          </c:tx>
          <c:spPr>
            <a:ln w="28575" cap="rnd">
              <a:solidFill>
                <a:schemeClr val="tx1"/>
              </a:solidFill>
              <a:prstDash val="dash"/>
              <a:round/>
            </a:ln>
            <a:effectLst/>
          </c:spPr>
          <c:marker>
            <c:symbol val="none"/>
          </c:marker>
          <c:cat>
            <c:numRef>
              <c:f>'Mortgage-Related Issuance'!$A$5:$A$26</c:f>
              <c:numCache>
                <c:formatCode>General</c:formatCode>
                <c:ptCount val="22"/>
                <c:pt idx="0">
                  <c:v>1996</c:v>
                </c:pt>
                <c:pt idx="1">
                  <c:v>1997</c:v>
                </c:pt>
                <c:pt idx="2">
                  <c:v>1998</c:v>
                </c:pt>
                <c:pt idx="3">
                  <c:v>1999</c:v>
                </c:pt>
                <c:pt idx="4">
                  <c:v>2000</c:v>
                </c:pt>
                <c:pt idx="5">
                  <c:v>2001</c:v>
                </c:pt>
                <c:pt idx="6">
                  <c:v>2002</c:v>
                </c:pt>
                <c:pt idx="7">
                  <c:v>2003</c:v>
                </c:pt>
                <c:pt idx="8">
                  <c:v>2004</c:v>
                </c:pt>
                <c:pt idx="9">
                  <c:v>2005</c:v>
                </c:pt>
                <c:pt idx="10">
                  <c:v>2006</c:v>
                </c:pt>
                <c:pt idx="11">
                  <c:v>2007</c:v>
                </c:pt>
                <c:pt idx="12">
                  <c:v>2008</c:v>
                </c:pt>
                <c:pt idx="13">
                  <c:v>2009</c:v>
                </c:pt>
                <c:pt idx="14">
                  <c:v>2010</c:v>
                </c:pt>
                <c:pt idx="15">
                  <c:v>2011</c:v>
                </c:pt>
                <c:pt idx="16">
                  <c:v>2012</c:v>
                </c:pt>
                <c:pt idx="17">
                  <c:v>2013</c:v>
                </c:pt>
                <c:pt idx="18">
                  <c:v>2014</c:v>
                </c:pt>
                <c:pt idx="19">
                  <c:v>2015</c:v>
                </c:pt>
                <c:pt idx="20">
                  <c:v>2016</c:v>
                </c:pt>
                <c:pt idx="21">
                  <c:v>2017</c:v>
                </c:pt>
              </c:numCache>
            </c:numRef>
          </c:cat>
          <c:val>
            <c:numRef>
              <c:f>'Mortgage-Related Issuance'!$J$5:$J$26</c:f>
              <c:numCache>
                <c:formatCode>#,##0.0</c:formatCode>
                <c:ptCount val="22"/>
                <c:pt idx="0">
                  <c:v>108.257374</c:v>
                </c:pt>
                <c:pt idx="1">
                  <c:v>177.463268</c:v>
                </c:pt>
                <c:pt idx="2">
                  <c:v>301.20431899999966</c:v>
                </c:pt>
                <c:pt idx="3">
                  <c:v>235.49121100000008</c:v>
                </c:pt>
                <c:pt idx="4">
                  <c:v>195.51131300000003</c:v>
                </c:pt>
                <c:pt idx="5">
                  <c:v>337.71202199999999</c:v>
                </c:pt>
                <c:pt idx="6">
                  <c:v>475.09622399999978</c:v>
                </c:pt>
                <c:pt idx="7">
                  <c:v>747.80695669999955</c:v>
                </c:pt>
                <c:pt idx="8">
                  <c:v>1018.4465872170001</c:v>
                </c:pt>
                <c:pt idx="9">
                  <c:v>1434.3338339999998</c:v>
                </c:pt>
                <c:pt idx="10">
                  <c:v>1491.7976187000011</c:v>
                </c:pt>
                <c:pt idx="11">
                  <c:v>1028.7209640000001</c:v>
                </c:pt>
                <c:pt idx="12">
                  <c:v>70.025590999999949</c:v>
                </c:pt>
                <c:pt idx="13">
                  <c:v>83.497757000000036</c:v>
                </c:pt>
                <c:pt idx="14">
                  <c:v>91.257870999999952</c:v>
                </c:pt>
                <c:pt idx="15">
                  <c:v>71.636900000000011</c:v>
                </c:pt>
                <c:pt idx="16">
                  <c:v>75.952956000000029</c:v>
                </c:pt>
                <c:pt idx="17">
                  <c:v>138.19196600000024</c:v>
                </c:pt>
                <c:pt idx="18">
                  <c:v>174.48000100000004</c:v>
                </c:pt>
                <c:pt idx="19">
                  <c:v>199.26581760350018</c:v>
                </c:pt>
                <c:pt idx="20">
                  <c:v>163.95180200000021</c:v>
                </c:pt>
                <c:pt idx="21">
                  <c:v>219.88381100000001</c:v>
                </c:pt>
              </c:numCache>
            </c:numRef>
          </c:val>
          <c:smooth val="0"/>
          <c:extLst xmlns:c16r2="http://schemas.microsoft.com/office/drawing/2015/06/chart">
            <c:ext xmlns:c16="http://schemas.microsoft.com/office/drawing/2014/chart" uri="{C3380CC4-5D6E-409C-BE32-E72D297353CC}">
              <c16:uniqueId val="{00000001-67C5-47EB-B87C-1F70EA57A729}"/>
            </c:ext>
          </c:extLst>
        </c:ser>
        <c:dLbls>
          <c:showLegendKey val="0"/>
          <c:showVal val="0"/>
          <c:showCatName val="0"/>
          <c:showSerName val="0"/>
          <c:showPercent val="0"/>
          <c:showBubbleSize val="0"/>
        </c:dLbls>
        <c:marker val="1"/>
        <c:smooth val="0"/>
        <c:axId val="116182016"/>
        <c:axId val="116187904"/>
      </c:lineChart>
      <c:catAx>
        <c:axId val="11618201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6187904"/>
        <c:crosses val="autoZero"/>
        <c:auto val="1"/>
        <c:lblAlgn val="ctr"/>
        <c:lblOffset val="100"/>
        <c:noMultiLvlLbl val="0"/>
      </c:catAx>
      <c:valAx>
        <c:axId val="1161879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6182016"/>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bg1">
          <a:lumMod val="85000"/>
        </a:schemeClr>
      </a:solidFill>
      <a:prstDash val="solid"/>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'Mortgage-Related Outstanding'!$I$5</c:f>
              <c:strCache>
                <c:ptCount val="1"/>
                <c:pt idx="0">
                  <c:v>Agency</c:v>
                </c:pt>
              </c:strCache>
            </c:strRef>
          </c:tx>
          <c:spPr>
            <a:ln w="28575" cap="rnd">
              <a:solidFill>
                <a:schemeClr val="tx1"/>
              </a:solidFill>
              <a:prstDash val="lgDashDotDot"/>
              <a:round/>
            </a:ln>
            <a:effectLst/>
          </c:spPr>
          <c:marker>
            <c:symbol val="none"/>
          </c:marker>
          <c:cat>
            <c:numRef>
              <c:f>'Mortgage-Related Outstanding'!$A$6:$A$21</c:f>
              <c:numCache>
                <c:formatCode>General</c:formatCode>
                <c:ptCount val="16"/>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numCache>
            </c:numRef>
          </c:cat>
          <c:val>
            <c:numRef>
              <c:f>'Mortgage-Related Outstanding'!$I$6:$I$21</c:f>
              <c:numCache>
                <c:formatCode>#,##0.0</c:formatCode>
                <c:ptCount val="16"/>
                <c:pt idx="0">
                  <c:v>4080.9396999999999</c:v>
                </c:pt>
                <c:pt idx="1">
                  <c:v>4348.7923000000001</c:v>
                </c:pt>
                <c:pt idx="2">
                  <c:v>4405.1991000000035</c:v>
                </c:pt>
                <c:pt idx="3">
                  <c:v>4661.9426000000003</c:v>
                </c:pt>
                <c:pt idx="4">
                  <c:v>5091.2315000000008</c:v>
                </c:pt>
                <c:pt idx="5">
                  <c:v>5801.0056000000004</c:v>
                </c:pt>
                <c:pt idx="6">
                  <c:v>6279.3333000000002</c:v>
                </c:pt>
                <c:pt idx="7">
                  <c:v>6636.4236000000001</c:v>
                </c:pt>
                <c:pt idx="8">
                  <c:v>6834.7189999999991</c:v>
                </c:pt>
                <c:pt idx="9">
                  <c:v>6947.7376999999997</c:v>
                </c:pt>
                <c:pt idx="10">
                  <c:v>6960.4033999999992</c:v>
                </c:pt>
                <c:pt idx="11">
                  <c:v>7039.6150000000034</c:v>
                </c:pt>
                <c:pt idx="12">
                  <c:v>7218.8047782146405</c:v>
                </c:pt>
                <c:pt idx="13">
                  <c:v>7366.9496406955814</c:v>
                </c:pt>
                <c:pt idx="14">
                  <c:v>7638.3741287206703</c:v>
                </c:pt>
                <c:pt idx="15">
                  <c:v>8005.0850373479998</c:v>
                </c:pt>
              </c:numCache>
            </c:numRef>
          </c:val>
          <c:smooth val="0"/>
          <c:extLst xmlns:c16r2="http://schemas.microsoft.com/office/drawing/2015/06/chart">
            <c:ext xmlns:c16="http://schemas.microsoft.com/office/drawing/2014/chart" uri="{C3380CC4-5D6E-409C-BE32-E72D297353CC}">
              <c16:uniqueId val="{00000000-1835-43EB-84F7-49670DA698F1}"/>
            </c:ext>
          </c:extLst>
        </c:ser>
        <c:ser>
          <c:idx val="1"/>
          <c:order val="1"/>
          <c:tx>
            <c:strRef>
              <c:f>'Mortgage-Related Outstanding'!$J$5</c:f>
              <c:strCache>
                <c:ptCount val="1"/>
                <c:pt idx="0">
                  <c:v>Non-Agency</c:v>
                </c:pt>
              </c:strCache>
            </c:strRef>
          </c:tx>
          <c:spPr>
            <a:ln w="28575" cap="rnd">
              <a:solidFill>
                <a:schemeClr val="tx1"/>
              </a:solidFill>
              <a:prstDash val="sysDot"/>
              <a:round/>
            </a:ln>
            <a:effectLst/>
          </c:spPr>
          <c:marker>
            <c:symbol val="none"/>
          </c:marker>
          <c:cat>
            <c:numRef>
              <c:f>'Mortgage-Related Outstanding'!$A$6:$A$21</c:f>
              <c:numCache>
                <c:formatCode>General</c:formatCode>
                <c:ptCount val="16"/>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numCache>
            </c:numRef>
          </c:cat>
          <c:val>
            <c:numRef>
              <c:f>'Mortgage-Related Outstanding'!$J$6:$J$21</c:f>
              <c:numCache>
                <c:formatCode>#,##0.0</c:formatCode>
                <c:ptCount val="16"/>
                <c:pt idx="0">
                  <c:v>1208.4551000000001</c:v>
                </c:pt>
                <c:pt idx="1">
                  <c:v>1365.7009</c:v>
                </c:pt>
                <c:pt idx="2">
                  <c:v>1896.4908</c:v>
                </c:pt>
                <c:pt idx="3">
                  <c:v>2556.1345000000001</c:v>
                </c:pt>
                <c:pt idx="4">
                  <c:v>3298.6993000000002</c:v>
                </c:pt>
                <c:pt idx="5">
                  <c:v>3584.9687000000004</c:v>
                </c:pt>
                <c:pt idx="6">
                  <c:v>3188.0325000000012</c:v>
                </c:pt>
                <c:pt idx="7">
                  <c:v>2716.0495000000001</c:v>
                </c:pt>
                <c:pt idx="8">
                  <c:v>2423.6504999999997</c:v>
                </c:pt>
                <c:pt idx="9">
                  <c:v>2127.7467999999981</c:v>
                </c:pt>
                <c:pt idx="10">
                  <c:v>1877.6659</c:v>
                </c:pt>
                <c:pt idx="11">
                  <c:v>1701.9398000000001</c:v>
                </c:pt>
                <c:pt idx="12">
                  <c:v>1623.1919999999998</c:v>
                </c:pt>
                <c:pt idx="13">
                  <c:v>1527.8636999999999</c:v>
                </c:pt>
                <c:pt idx="14">
                  <c:v>1377.8920999999998</c:v>
                </c:pt>
                <c:pt idx="15">
                  <c:v>1290.2655167741186</c:v>
                </c:pt>
              </c:numCache>
            </c:numRef>
          </c:val>
          <c:smooth val="0"/>
          <c:extLst xmlns:c16r2="http://schemas.microsoft.com/office/drawing/2015/06/chart">
            <c:ext xmlns:c16="http://schemas.microsoft.com/office/drawing/2014/chart" uri="{C3380CC4-5D6E-409C-BE32-E72D297353CC}">
              <c16:uniqueId val="{00000001-1835-43EB-84F7-49670DA698F1}"/>
            </c:ext>
          </c:extLst>
        </c:ser>
        <c:dLbls>
          <c:showLegendKey val="0"/>
          <c:showVal val="0"/>
          <c:showCatName val="0"/>
          <c:showSerName val="0"/>
          <c:showPercent val="0"/>
          <c:showBubbleSize val="0"/>
        </c:dLbls>
        <c:marker val="1"/>
        <c:smooth val="0"/>
        <c:axId val="112611712"/>
        <c:axId val="112613248"/>
      </c:lineChart>
      <c:catAx>
        <c:axId val="112611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613248"/>
        <c:crosses val="autoZero"/>
        <c:auto val="1"/>
        <c:lblAlgn val="ctr"/>
        <c:lblOffset val="100"/>
        <c:noMultiLvlLbl val="0"/>
      </c:catAx>
      <c:valAx>
        <c:axId val="1126132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611712"/>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cmpd="sng">
              <a:solidFill>
                <a:schemeClr val="tx1"/>
              </a:solidFill>
              <a:round/>
            </a:ln>
            <a:effectLst/>
          </c:spPr>
          <c:marker>
            <c:symbol val="none"/>
          </c:marker>
          <c:cat>
            <c:numRef>
              <c:f>'[MBST.xls]FRED Graph'!$A$12:$A$75</c:f>
              <c:numCache>
                <c:formatCode>yyyy\-mm\-dd</c:formatCode>
                <c:ptCount val="64"/>
                <c:pt idx="0">
                  <c:v>42746</c:v>
                </c:pt>
                <c:pt idx="1">
                  <c:v>42753</c:v>
                </c:pt>
                <c:pt idx="2">
                  <c:v>42760</c:v>
                </c:pt>
                <c:pt idx="3">
                  <c:v>42767</c:v>
                </c:pt>
                <c:pt idx="4">
                  <c:v>42774</c:v>
                </c:pt>
                <c:pt idx="5">
                  <c:v>42781</c:v>
                </c:pt>
                <c:pt idx="6">
                  <c:v>42788</c:v>
                </c:pt>
                <c:pt idx="7">
                  <c:v>42795</c:v>
                </c:pt>
                <c:pt idx="8">
                  <c:v>42802</c:v>
                </c:pt>
                <c:pt idx="9">
                  <c:v>42809</c:v>
                </c:pt>
                <c:pt idx="10">
                  <c:v>42816</c:v>
                </c:pt>
                <c:pt idx="11">
                  <c:v>42823</c:v>
                </c:pt>
                <c:pt idx="12">
                  <c:v>42830</c:v>
                </c:pt>
                <c:pt idx="13">
                  <c:v>42837</c:v>
                </c:pt>
                <c:pt idx="14">
                  <c:v>42844</c:v>
                </c:pt>
                <c:pt idx="15">
                  <c:v>42851</c:v>
                </c:pt>
                <c:pt idx="16">
                  <c:v>42858</c:v>
                </c:pt>
                <c:pt idx="17">
                  <c:v>42865</c:v>
                </c:pt>
                <c:pt idx="18">
                  <c:v>42872</c:v>
                </c:pt>
                <c:pt idx="19">
                  <c:v>42879</c:v>
                </c:pt>
                <c:pt idx="20">
                  <c:v>42886</c:v>
                </c:pt>
                <c:pt idx="21">
                  <c:v>42893</c:v>
                </c:pt>
                <c:pt idx="22">
                  <c:v>42900</c:v>
                </c:pt>
                <c:pt idx="23">
                  <c:v>42907</c:v>
                </c:pt>
                <c:pt idx="24">
                  <c:v>42914</c:v>
                </c:pt>
                <c:pt idx="25">
                  <c:v>42921</c:v>
                </c:pt>
                <c:pt idx="26">
                  <c:v>42928</c:v>
                </c:pt>
                <c:pt idx="27">
                  <c:v>42935</c:v>
                </c:pt>
                <c:pt idx="28">
                  <c:v>42942</c:v>
                </c:pt>
                <c:pt idx="29">
                  <c:v>42949</c:v>
                </c:pt>
                <c:pt idx="30">
                  <c:v>42956</c:v>
                </c:pt>
                <c:pt idx="31">
                  <c:v>42963</c:v>
                </c:pt>
                <c:pt idx="32">
                  <c:v>42970</c:v>
                </c:pt>
                <c:pt idx="33">
                  <c:v>42977</c:v>
                </c:pt>
                <c:pt idx="34">
                  <c:v>42984</c:v>
                </c:pt>
                <c:pt idx="35">
                  <c:v>42991</c:v>
                </c:pt>
                <c:pt idx="36">
                  <c:v>42998</c:v>
                </c:pt>
                <c:pt idx="37">
                  <c:v>43005</c:v>
                </c:pt>
                <c:pt idx="38">
                  <c:v>43012</c:v>
                </c:pt>
                <c:pt idx="39">
                  <c:v>43019</c:v>
                </c:pt>
                <c:pt idx="40">
                  <c:v>43026</c:v>
                </c:pt>
                <c:pt idx="41">
                  <c:v>43033</c:v>
                </c:pt>
                <c:pt idx="42">
                  <c:v>43040</c:v>
                </c:pt>
                <c:pt idx="43">
                  <c:v>43047</c:v>
                </c:pt>
                <c:pt idx="44">
                  <c:v>43054</c:v>
                </c:pt>
                <c:pt idx="45">
                  <c:v>43061</c:v>
                </c:pt>
                <c:pt idx="46">
                  <c:v>43068</c:v>
                </c:pt>
                <c:pt idx="47">
                  <c:v>43075</c:v>
                </c:pt>
                <c:pt idx="48">
                  <c:v>43082</c:v>
                </c:pt>
                <c:pt idx="49">
                  <c:v>43089</c:v>
                </c:pt>
                <c:pt idx="50">
                  <c:v>43096</c:v>
                </c:pt>
                <c:pt idx="51">
                  <c:v>43103</c:v>
                </c:pt>
                <c:pt idx="52">
                  <c:v>43110</c:v>
                </c:pt>
                <c:pt idx="53">
                  <c:v>43117</c:v>
                </c:pt>
                <c:pt idx="54">
                  <c:v>43124</c:v>
                </c:pt>
                <c:pt idx="55">
                  <c:v>43131</c:v>
                </c:pt>
                <c:pt idx="56">
                  <c:v>43138</c:v>
                </c:pt>
                <c:pt idx="57">
                  <c:v>43145</c:v>
                </c:pt>
                <c:pt idx="58">
                  <c:v>43152</c:v>
                </c:pt>
                <c:pt idx="59">
                  <c:v>43159</c:v>
                </c:pt>
                <c:pt idx="60">
                  <c:v>43166</c:v>
                </c:pt>
                <c:pt idx="61">
                  <c:v>43173</c:v>
                </c:pt>
                <c:pt idx="62">
                  <c:v>43180</c:v>
                </c:pt>
                <c:pt idx="63">
                  <c:v>43187</c:v>
                </c:pt>
              </c:numCache>
            </c:numRef>
          </c:cat>
          <c:val>
            <c:numRef>
              <c:f>'[MBST.xls]FRED Graph'!$B$12:$B$75</c:f>
              <c:numCache>
                <c:formatCode>0</c:formatCode>
                <c:ptCount val="64"/>
                <c:pt idx="0">
                  <c:v>1741398</c:v>
                </c:pt>
                <c:pt idx="1">
                  <c:v>1750940</c:v>
                </c:pt>
                <c:pt idx="2">
                  <c:v>1744594</c:v>
                </c:pt>
                <c:pt idx="3">
                  <c:v>1744636</c:v>
                </c:pt>
                <c:pt idx="4">
                  <c:v>1744642</c:v>
                </c:pt>
                <c:pt idx="5">
                  <c:v>1759700</c:v>
                </c:pt>
                <c:pt idx="6">
                  <c:v>1773621</c:v>
                </c:pt>
                <c:pt idx="7">
                  <c:v>1763186</c:v>
                </c:pt>
                <c:pt idx="8">
                  <c:v>1763191</c:v>
                </c:pt>
                <c:pt idx="9">
                  <c:v>1771184</c:v>
                </c:pt>
                <c:pt idx="10">
                  <c:v>1777645</c:v>
                </c:pt>
                <c:pt idx="11">
                  <c:v>1769118</c:v>
                </c:pt>
                <c:pt idx="12">
                  <c:v>1769122</c:v>
                </c:pt>
                <c:pt idx="13">
                  <c:v>1781091</c:v>
                </c:pt>
                <c:pt idx="14">
                  <c:v>1776917</c:v>
                </c:pt>
                <c:pt idx="15">
                  <c:v>1769013</c:v>
                </c:pt>
                <c:pt idx="16">
                  <c:v>1769015</c:v>
                </c:pt>
                <c:pt idx="17">
                  <c:v>1769016</c:v>
                </c:pt>
                <c:pt idx="18">
                  <c:v>1778109</c:v>
                </c:pt>
                <c:pt idx="19">
                  <c:v>1780383</c:v>
                </c:pt>
                <c:pt idx="20">
                  <c:v>1770958</c:v>
                </c:pt>
                <c:pt idx="21">
                  <c:v>1770958</c:v>
                </c:pt>
                <c:pt idx="22">
                  <c:v>1782601</c:v>
                </c:pt>
                <c:pt idx="23">
                  <c:v>1781099</c:v>
                </c:pt>
                <c:pt idx="24">
                  <c:v>1770280</c:v>
                </c:pt>
                <c:pt idx="25">
                  <c:v>1770281</c:v>
                </c:pt>
                <c:pt idx="26">
                  <c:v>1770281</c:v>
                </c:pt>
                <c:pt idx="27">
                  <c:v>1779394</c:v>
                </c:pt>
                <c:pt idx="28">
                  <c:v>1768999</c:v>
                </c:pt>
                <c:pt idx="29">
                  <c:v>1769026</c:v>
                </c:pt>
                <c:pt idx="30">
                  <c:v>1769029</c:v>
                </c:pt>
                <c:pt idx="31">
                  <c:v>1777975</c:v>
                </c:pt>
                <c:pt idx="32">
                  <c:v>1778699</c:v>
                </c:pt>
                <c:pt idx="33">
                  <c:v>1767553</c:v>
                </c:pt>
                <c:pt idx="34">
                  <c:v>1767553</c:v>
                </c:pt>
                <c:pt idx="35">
                  <c:v>1782346</c:v>
                </c:pt>
                <c:pt idx="36">
                  <c:v>1770524</c:v>
                </c:pt>
                <c:pt idx="37">
                  <c:v>1768160</c:v>
                </c:pt>
                <c:pt idx="38">
                  <c:v>1768160</c:v>
                </c:pt>
                <c:pt idx="39">
                  <c:v>1768160</c:v>
                </c:pt>
                <c:pt idx="40">
                  <c:v>1777945</c:v>
                </c:pt>
                <c:pt idx="41">
                  <c:v>1770563</c:v>
                </c:pt>
                <c:pt idx="42">
                  <c:v>1770630</c:v>
                </c:pt>
                <c:pt idx="43">
                  <c:v>1770630</c:v>
                </c:pt>
                <c:pt idx="44">
                  <c:v>1775854</c:v>
                </c:pt>
                <c:pt idx="45">
                  <c:v>1778683</c:v>
                </c:pt>
                <c:pt idx="46">
                  <c:v>1767095</c:v>
                </c:pt>
                <c:pt idx="47">
                  <c:v>1767096</c:v>
                </c:pt>
                <c:pt idx="48">
                  <c:v>1780237</c:v>
                </c:pt>
                <c:pt idx="49">
                  <c:v>1775451</c:v>
                </c:pt>
                <c:pt idx="50">
                  <c:v>1764926</c:v>
                </c:pt>
                <c:pt idx="51">
                  <c:v>1764929</c:v>
                </c:pt>
                <c:pt idx="52">
                  <c:v>1764930</c:v>
                </c:pt>
                <c:pt idx="53">
                  <c:v>1770349</c:v>
                </c:pt>
                <c:pt idx="54">
                  <c:v>1771054</c:v>
                </c:pt>
                <c:pt idx="55">
                  <c:v>1760743</c:v>
                </c:pt>
                <c:pt idx="56">
                  <c:v>1760743</c:v>
                </c:pt>
                <c:pt idx="57">
                  <c:v>1771927</c:v>
                </c:pt>
                <c:pt idx="58">
                  <c:v>1769298</c:v>
                </c:pt>
                <c:pt idx="59">
                  <c:v>1759972</c:v>
                </c:pt>
                <c:pt idx="60">
                  <c:v>1759991</c:v>
                </c:pt>
                <c:pt idx="61">
                  <c:v>1768588</c:v>
                </c:pt>
                <c:pt idx="62">
                  <c:v>1763171</c:v>
                </c:pt>
                <c:pt idx="63">
                  <c:v>1754368</c:v>
                </c:pt>
              </c:numCache>
            </c:numRef>
          </c:val>
          <c:smooth val="0"/>
          <c:extLst xmlns:c16r2="http://schemas.microsoft.com/office/drawing/2015/06/chart">
            <c:ext xmlns:c16="http://schemas.microsoft.com/office/drawing/2014/chart" uri="{C3380CC4-5D6E-409C-BE32-E72D297353CC}">
              <c16:uniqueId val="{00000000-85F3-4CDB-B222-76CC24FE9333}"/>
            </c:ext>
          </c:extLst>
        </c:ser>
        <c:dLbls>
          <c:showLegendKey val="0"/>
          <c:showVal val="0"/>
          <c:showCatName val="0"/>
          <c:showSerName val="0"/>
          <c:showPercent val="0"/>
          <c:showBubbleSize val="0"/>
        </c:dLbls>
        <c:marker val="1"/>
        <c:smooth val="0"/>
        <c:axId val="112625920"/>
        <c:axId val="112635904"/>
      </c:lineChart>
      <c:dateAx>
        <c:axId val="112625920"/>
        <c:scaling>
          <c:orientation val="minMax"/>
        </c:scaling>
        <c:delete val="0"/>
        <c:axPos val="b"/>
        <c:numFmt formatCode="yyyy\-mm\-dd"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635904"/>
        <c:crosses val="autoZero"/>
        <c:auto val="1"/>
        <c:lblOffset val="100"/>
        <c:baseTimeUnit val="days"/>
      </c:dateAx>
      <c:valAx>
        <c:axId val="1126359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625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tx1"/>
              </a:solidFill>
              <a:round/>
            </a:ln>
            <a:effectLst/>
          </c:spPr>
          <c:marker>
            <c:symbol val="none"/>
          </c:marker>
          <c:cat>
            <c:numRef>
              <c:f>Лист1!$A$1:$L$1</c:f>
              <c:numCache>
                <c:formatCode>General</c:formatCode>
                <c:ptCount val="12"/>
                <c:pt idx="0">
                  <c:v>2006</c:v>
                </c:pt>
                <c:pt idx="1">
                  <c:v>2007</c:v>
                </c:pt>
                <c:pt idx="2">
                  <c:v>2008</c:v>
                </c:pt>
                <c:pt idx="3">
                  <c:v>2009</c:v>
                </c:pt>
                <c:pt idx="4">
                  <c:v>2010</c:v>
                </c:pt>
                <c:pt idx="5">
                  <c:v>2011</c:v>
                </c:pt>
                <c:pt idx="6">
                  <c:v>2012</c:v>
                </c:pt>
                <c:pt idx="7">
                  <c:v>2013</c:v>
                </c:pt>
                <c:pt idx="8">
                  <c:v>2014</c:v>
                </c:pt>
                <c:pt idx="9">
                  <c:v>2015</c:v>
                </c:pt>
                <c:pt idx="10">
                  <c:v>2016</c:v>
                </c:pt>
                <c:pt idx="11">
                  <c:v>2017</c:v>
                </c:pt>
              </c:numCache>
            </c:numRef>
          </c:cat>
          <c:val>
            <c:numRef>
              <c:f>Лист1!$A$67:$L$67</c:f>
              <c:numCache>
                <c:formatCode>General</c:formatCode>
                <c:ptCount val="12"/>
                <c:pt idx="0">
                  <c:v>3000</c:v>
                </c:pt>
                <c:pt idx="1">
                  <c:v>5294.7940000000008</c:v>
                </c:pt>
                <c:pt idx="2">
                  <c:v>22058.616999999984</c:v>
                </c:pt>
                <c:pt idx="3">
                  <c:v>29669.466000000015</c:v>
                </c:pt>
                <c:pt idx="4">
                  <c:v>7450</c:v>
                </c:pt>
                <c:pt idx="5">
                  <c:v>30677.113999999987</c:v>
                </c:pt>
                <c:pt idx="6">
                  <c:v>60799.069000000003</c:v>
                </c:pt>
                <c:pt idx="7">
                  <c:v>110504.531</c:v>
                </c:pt>
                <c:pt idx="8">
                  <c:v>252812.01899999994</c:v>
                </c:pt>
                <c:pt idx="9">
                  <c:v>75736.600000000006</c:v>
                </c:pt>
                <c:pt idx="10">
                  <c:v>77811.92</c:v>
                </c:pt>
                <c:pt idx="11">
                  <c:v>125292.84</c:v>
                </c:pt>
              </c:numCache>
            </c:numRef>
          </c:val>
          <c:smooth val="0"/>
          <c:extLst xmlns:c16r2="http://schemas.microsoft.com/office/drawing/2015/06/chart">
            <c:ext xmlns:c16="http://schemas.microsoft.com/office/drawing/2014/chart" uri="{C3380CC4-5D6E-409C-BE32-E72D297353CC}">
              <c16:uniqueId val="{00000000-CA65-40CB-8344-BD26BFF770ED}"/>
            </c:ext>
          </c:extLst>
        </c:ser>
        <c:dLbls>
          <c:showLegendKey val="0"/>
          <c:showVal val="0"/>
          <c:showCatName val="0"/>
          <c:showSerName val="0"/>
          <c:showPercent val="0"/>
          <c:showBubbleSize val="0"/>
        </c:dLbls>
        <c:marker val="1"/>
        <c:smooth val="0"/>
        <c:axId val="116207616"/>
        <c:axId val="116209152"/>
      </c:lineChart>
      <c:catAx>
        <c:axId val="11620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6209152"/>
        <c:crosses val="autoZero"/>
        <c:auto val="1"/>
        <c:lblAlgn val="ctr"/>
        <c:lblOffset val="100"/>
        <c:noMultiLvlLbl val="0"/>
      </c:catAx>
      <c:valAx>
        <c:axId val="116209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6207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7"/>
    </mc:Choice>
    <mc:Fallback>
      <c:style val="1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Лист1!$A$4</c:f>
              <c:strCache>
                <c:ptCount val="1"/>
                <c:pt idx="0">
                  <c:v>Приморский край</c:v>
                </c:pt>
              </c:strCache>
            </c:strRef>
          </c:tx>
          <c:spPr>
            <a:ln>
              <a:solidFill>
                <a:schemeClr val="tx1"/>
              </a:solidFill>
            </a:ln>
          </c:spPr>
          <c:invertIfNegative val="0"/>
          <c:cat>
            <c:numRef>
              <c:f>Лист1!$C$3:$I$3</c:f>
              <c:numCache>
                <c:formatCode>General</c:formatCode>
                <c:ptCount val="7"/>
                <c:pt idx="0">
                  <c:v>2010</c:v>
                </c:pt>
                <c:pt idx="1">
                  <c:v>2011</c:v>
                </c:pt>
                <c:pt idx="2">
                  <c:v>2012</c:v>
                </c:pt>
                <c:pt idx="3">
                  <c:v>2013</c:v>
                </c:pt>
                <c:pt idx="4">
                  <c:v>2014</c:v>
                </c:pt>
                <c:pt idx="5">
                  <c:v>2015</c:v>
                </c:pt>
                <c:pt idx="6">
                  <c:v>2016</c:v>
                </c:pt>
              </c:numCache>
            </c:numRef>
          </c:cat>
          <c:val>
            <c:numRef>
              <c:f>Лист1!$C$4:$I$4</c:f>
              <c:numCache>
                <c:formatCode>General</c:formatCode>
                <c:ptCount val="7"/>
                <c:pt idx="0">
                  <c:v>11.8</c:v>
                </c:pt>
                <c:pt idx="1">
                  <c:v>12</c:v>
                </c:pt>
                <c:pt idx="2">
                  <c:v>12.6</c:v>
                </c:pt>
                <c:pt idx="3">
                  <c:v>12.7</c:v>
                </c:pt>
                <c:pt idx="4">
                  <c:v>12.8</c:v>
                </c:pt>
                <c:pt idx="5">
                  <c:v>12.7</c:v>
                </c:pt>
                <c:pt idx="6">
                  <c:v>12.2</c:v>
                </c:pt>
              </c:numCache>
            </c:numRef>
          </c:val>
        </c:ser>
        <c:ser>
          <c:idx val="1"/>
          <c:order val="1"/>
          <c:tx>
            <c:strRef>
              <c:f>Лист1!$A$5</c:f>
              <c:strCache>
                <c:ptCount val="1"/>
                <c:pt idx="0">
                  <c:v>Дальневосточный федеральный округ</c:v>
                </c:pt>
              </c:strCache>
            </c:strRef>
          </c:tx>
          <c:spPr>
            <a:ln>
              <a:solidFill>
                <a:schemeClr val="tx1"/>
              </a:solidFill>
            </a:ln>
          </c:spPr>
          <c:invertIfNegative val="0"/>
          <c:cat>
            <c:numRef>
              <c:f>Лист1!$C$3:$I$3</c:f>
              <c:numCache>
                <c:formatCode>General</c:formatCode>
                <c:ptCount val="7"/>
                <c:pt idx="0">
                  <c:v>2010</c:v>
                </c:pt>
                <c:pt idx="1">
                  <c:v>2011</c:v>
                </c:pt>
                <c:pt idx="2">
                  <c:v>2012</c:v>
                </c:pt>
                <c:pt idx="3">
                  <c:v>2013</c:v>
                </c:pt>
                <c:pt idx="4">
                  <c:v>2014</c:v>
                </c:pt>
                <c:pt idx="5">
                  <c:v>2015</c:v>
                </c:pt>
                <c:pt idx="6">
                  <c:v>2016</c:v>
                </c:pt>
              </c:numCache>
            </c:numRef>
          </c:cat>
          <c:val>
            <c:numRef>
              <c:f>Лист1!$C$5:$I$5</c:f>
              <c:numCache>
                <c:formatCode>General</c:formatCode>
                <c:ptCount val="7"/>
                <c:pt idx="0">
                  <c:v>13.2</c:v>
                </c:pt>
                <c:pt idx="1">
                  <c:v>13.2</c:v>
                </c:pt>
                <c:pt idx="2">
                  <c:v>14</c:v>
                </c:pt>
                <c:pt idx="3">
                  <c:v>13.9</c:v>
                </c:pt>
                <c:pt idx="4">
                  <c:v>14</c:v>
                </c:pt>
                <c:pt idx="5">
                  <c:v>13.9</c:v>
                </c:pt>
                <c:pt idx="6">
                  <c:v>13.3</c:v>
                </c:pt>
              </c:numCache>
            </c:numRef>
          </c:val>
        </c:ser>
        <c:ser>
          <c:idx val="2"/>
          <c:order val="2"/>
          <c:tx>
            <c:strRef>
              <c:f>Лист1!$A$6</c:f>
              <c:strCache>
                <c:ptCount val="1"/>
                <c:pt idx="0">
                  <c:v>Российскай Федерация</c:v>
                </c:pt>
              </c:strCache>
            </c:strRef>
          </c:tx>
          <c:spPr>
            <a:ln>
              <a:solidFill>
                <a:schemeClr val="tx1"/>
              </a:solidFill>
            </a:ln>
          </c:spPr>
          <c:invertIfNegative val="0"/>
          <c:cat>
            <c:numRef>
              <c:f>Лист1!$C$3:$I$3</c:f>
              <c:numCache>
                <c:formatCode>General</c:formatCode>
                <c:ptCount val="7"/>
                <c:pt idx="0">
                  <c:v>2010</c:v>
                </c:pt>
                <c:pt idx="1">
                  <c:v>2011</c:v>
                </c:pt>
                <c:pt idx="2">
                  <c:v>2012</c:v>
                </c:pt>
                <c:pt idx="3">
                  <c:v>2013</c:v>
                </c:pt>
                <c:pt idx="4">
                  <c:v>2014</c:v>
                </c:pt>
                <c:pt idx="5">
                  <c:v>2015</c:v>
                </c:pt>
                <c:pt idx="6">
                  <c:v>2016</c:v>
                </c:pt>
              </c:numCache>
            </c:numRef>
          </c:cat>
          <c:val>
            <c:numRef>
              <c:f>Лист1!$C$6:$I$6</c:f>
              <c:numCache>
                <c:formatCode>General</c:formatCode>
                <c:ptCount val="7"/>
                <c:pt idx="0">
                  <c:v>12.5</c:v>
                </c:pt>
                <c:pt idx="1">
                  <c:v>12.6</c:v>
                </c:pt>
                <c:pt idx="2">
                  <c:v>13.3</c:v>
                </c:pt>
                <c:pt idx="3">
                  <c:v>13.2</c:v>
                </c:pt>
                <c:pt idx="4">
                  <c:v>13.3</c:v>
                </c:pt>
                <c:pt idx="5">
                  <c:v>13.3</c:v>
                </c:pt>
                <c:pt idx="6">
                  <c:v>12.9</c:v>
                </c:pt>
              </c:numCache>
            </c:numRef>
          </c:val>
        </c:ser>
        <c:dLbls>
          <c:showLegendKey val="0"/>
          <c:showVal val="0"/>
          <c:showCatName val="0"/>
          <c:showSerName val="0"/>
          <c:showPercent val="0"/>
          <c:showBubbleSize val="0"/>
        </c:dLbls>
        <c:gapWidth val="150"/>
        <c:axId val="123959168"/>
        <c:axId val="123960704"/>
      </c:barChart>
      <c:catAx>
        <c:axId val="123959168"/>
        <c:scaling>
          <c:orientation val="minMax"/>
        </c:scaling>
        <c:delete val="0"/>
        <c:axPos val="b"/>
        <c:numFmt formatCode="General" sourceLinked="1"/>
        <c:majorTickMark val="out"/>
        <c:minorTickMark val="none"/>
        <c:tickLblPos val="nextTo"/>
        <c:crossAx val="123960704"/>
        <c:crosses val="autoZero"/>
        <c:auto val="1"/>
        <c:lblAlgn val="ctr"/>
        <c:lblOffset val="100"/>
        <c:noMultiLvlLbl val="0"/>
      </c:catAx>
      <c:valAx>
        <c:axId val="123960704"/>
        <c:scaling>
          <c:orientation val="minMax"/>
        </c:scaling>
        <c:delete val="0"/>
        <c:axPos val="l"/>
        <c:majorGridlines/>
        <c:title>
          <c:tx>
            <c:rich>
              <a:bodyPr rot="-5400000" vert="horz"/>
              <a:lstStyle/>
              <a:p>
                <a:pPr>
                  <a:defRPr/>
                </a:pPr>
                <a:r>
                  <a:rPr lang="ru-RU"/>
                  <a:t>число родившихся на 1000 чел</a:t>
                </a:r>
                <a:r>
                  <a:rPr lang="en-US"/>
                  <a:t>.</a:t>
                </a:r>
                <a:r>
                  <a:rPr lang="ru-RU"/>
                  <a:t> населения</a:t>
                </a:r>
              </a:p>
            </c:rich>
          </c:tx>
          <c:overlay val="0"/>
        </c:title>
        <c:numFmt formatCode="General" sourceLinked="1"/>
        <c:majorTickMark val="out"/>
        <c:minorTickMark val="none"/>
        <c:tickLblPos val="nextTo"/>
        <c:crossAx val="123959168"/>
        <c:crosses val="autoZero"/>
        <c:crossBetween val="between"/>
      </c:valAx>
    </c:plotArea>
    <c:legend>
      <c:legendPos val="b"/>
      <c:overlay val="0"/>
    </c:legend>
    <c:plotVisOnly val="1"/>
    <c:dispBlanksAs val="gap"/>
    <c:showDLblsOverMax val="0"/>
  </c:chart>
  <c:spPr>
    <a:ln>
      <a:noFill/>
    </a:ln>
  </c:spPr>
  <c:txPr>
    <a:bodyPr/>
    <a:lstStyle/>
    <a:p>
      <a:pPr>
        <a:defRPr b="0"/>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7"/>
    </mc:Choice>
    <mc:Fallback>
      <c:style val="1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Лист1!$O$20:$P$20</c:f>
              <c:strCache>
                <c:ptCount val="1"/>
                <c:pt idx="0">
                  <c:v>Приморский край</c:v>
                </c:pt>
              </c:strCache>
            </c:strRef>
          </c:tx>
          <c:spPr>
            <a:ln>
              <a:solidFill>
                <a:schemeClr val="tx1"/>
              </a:solidFill>
            </a:ln>
          </c:spPr>
          <c:invertIfNegative val="0"/>
          <c:cat>
            <c:numRef>
              <c:f>Лист1!$Q$19:$W$19</c:f>
              <c:numCache>
                <c:formatCode>General</c:formatCode>
                <c:ptCount val="7"/>
                <c:pt idx="0">
                  <c:v>2010</c:v>
                </c:pt>
                <c:pt idx="1">
                  <c:v>2011</c:v>
                </c:pt>
                <c:pt idx="2">
                  <c:v>2012</c:v>
                </c:pt>
                <c:pt idx="3">
                  <c:v>2013</c:v>
                </c:pt>
                <c:pt idx="4">
                  <c:v>2014</c:v>
                </c:pt>
                <c:pt idx="5">
                  <c:v>2015</c:v>
                </c:pt>
                <c:pt idx="6">
                  <c:v>2016</c:v>
                </c:pt>
              </c:numCache>
            </c:numRef>
          </c:cat>
          <c:val>
            <c:numRef>
              <c:f>Лист1!$Q$20:$W$20</c:f>
              <c:numCache>
                <c:formatCode>General</c:formatCode>
                <c:ptCount val="7"/>
                <c:pt idx="0">
                  <c:v>9.6</c:v>
                </c:pt>
                <c:pt idx="1">
                  <c:v>9.7000000000000011</c:v>
                </c:pt>
                <c:pt idx="2">
                  <c:v>10.4</c:v>
                </c:pt>
                <c:pt idx="3">
                  <c:v>11.8</c:v>
                </c:pt>
                <c:pt idx="4">
                  <c:v>9.2000000000000011</c:v>
                </c:pt>
                <c:pt idx="5">
                  <c:v>7.7</c:v>
                </c:pt>
                <c:pt idx="6">
                  <c:v>6.6</c:v>
                </c:pt>
              </c:numCache>
            </c:numRef>
          </c:val>
        </c:ser>
        <c:ser>
          <c:idx val="1"/>
          <c:order val="1"/>
          <c:tx>
            <c:strRef>
              <c:f>Лист1!$O$21:$P$21</c:f>
              <c:strCache>
                <c:ptCount val="1"/>
                <c:pt idx="0">
                  <c:v>Дальневосточный федеральный округ</c:v>
                </c:pt>
              </c:strCache>
            </c:strRef>
          </c:tx>
          <c:spPr>
            <a:ln>
              <a:solidFill>
                <a:schemeClr val="tx1"/>
              </a:solidFill>
            </a:ln>
          </c:spPr>
          <c:invertIfNegative val="0"/>
          <c:cat>
            <c:numRef>
              <c:f>Лист1!$Q$19:$W$19</c:f>
              <c:numCache>
                <c:formatCode>General</c:formatCode>
                <c:ptCount val="7"/>
                <c:pt idx="0">
                  <c:v>2010</c:v>
                </c:pt>
                <c:pt idx="1">
                  <c:v>2011</c:v>
                </c:pt>
                <c:pt idx="2">
                  <c:v>2012</c:v>
                </c:pt>
                <c:pt idx="3">
                  <c:v>2013</c:v>
                </c:pt>
                <c:pt idx="4">
                  <c:v>2014</c:v>
                </c:pt>
                <c:pt idx="5">
                  <c:v>2015</c:v>
                </c:pt>
                <c:pt idx="6">
                  <c:v>2016</c:v>
                </c:pt>
              </c:numCache>
            </c:numRef>
          </c:cat>
          <c:val>
            <c:numRef>
              <c:f>Лист1!$Q$21:$W$21</c:f>
              <c:numCache>
                <c:formatCode>General</c:formatCode>
                <c:ptCount val="7"/>
                <c:pt idx="0">
                  <c:v>9.6</c:v>
                </c:pt>
                <c:pt idx="1">
                  <c:v>9.1</c:v>
                </c:pt>
                <c:pt idx="2">
                  <c:v>10.9</c:v>
                </c:pt>
                <c:pt idx="3">
                  <c:v>11</c:v>
                </c:pt>
                <c:pt idx="4">
                  <c:v>9</c:v>
                </c:pt>
                <c:pt idx="5">
                  <c:v>7.5</c:v>
                </c:pt>
                <c:pt idx="6">
                  <c:v>6.5</c:v>
                </c:pt>
              </c:numCache>
            </c:numRef>
          </c:val>
        </c:ser>
        <c:ser>
          <c:idx val="2"/>
          <c:order val="2"/>
          <c:tx>
            <c:strRef>
              <c:f>Лист1!$O$22:$P$22</c:f>
              <c:strCache>
                <c:ptCount val="1"/>
                <c:pt idx="0">
                  <c:v>Российскай Федерация</c:v>
                </c:pt>
              </c:strCache>
            </c:strRef>
          </c:tx>
          <c:spPr>
            <a:ln>
              <a:solidFill>
                <a:schemeClr val="tx1"/>
              </a:solidFill>
            </a:ln>
          </c:spPr>
          <c:invertIfNegative val="0"/>
          <c:cat>
            <c:numRef>
              <c:f>Лист1!$Q$19:$W$19</c:f>
              <c:numCache>
                <c:formatCode>General</c:formatCode>
                <c:ptCount val="7"/>
                <c:pt idx="0">
                  <c:v>2010</c:v>
                </c:pt>
                <c:pt idx="1">
                  <c:v>2011</c:v>
                </c:pt>
                <c:pt idx="2">
                  <c:v>2012</c:v>
                </c:pt>
                <c:pt idx="3">
                  <c:v>2013</c:v>
                </c:pt>
                <c:pt idx="4">
                  <c:v>2014</c:v>
                </c:pt>
                <c:pt idx="5">
                  <c:v>2015</c:v>
                </c:pt>
                <c:pt idx="6">
                  <c:v>2016</c:v>
                </c:pt>
              </c:numCache>
            </c:numRef>
          </c:cat>
          <c:val>
            <c:numRef>
              <c:f>Лист1!$Q$22:$W$22</c:f>
              <c:numCache>
                <c:formatCode>General</c:formatCode>
                <c:ptCount val="7"/>
                <c:pt idx="0">
                  <c:v>7.5</c:v>
                </c:pt>
                <c:pt idx="1">
                  <c:v>7.4</c:v>
                </c:pt>
                <c:pt idx="2">
                  <c:v>8.6</c:v>
                </c:pt>
                <c:pt idx="3">
                  <c:v>8.2000000000000011</c:v>
                </c:pt>
                <c:pt idx="4">
                  <c:v>7.4</c:v>
                </c:pt>
                <c:pt idx="5">
                  <c:v>6.5</c:v>
                </c:pt>
                <c:pt idx="6">
                  <c:v>6</c:v>
                </c:pt>
              </c:numCache>
            </c:numRef>
          </c:val>
        </c:ser>
        <c:dLbls>
          <c:showLegendKey val="0"/>
          <c:showVal val="0"/>
          <c:showCatName val="0"/>
          <c:showSerName val="0"/>
          <c:showPercent val="0"/>
          <c:showBubbleSize val="0"/>
        </c:dLbls>
        <c:gapWidth val="150"/>
        <c:axId val="124335232"/>
        <c:axId val="124336768"/>
      </c:barChart>
      <c:catAx>
        <c:axId val="124335232"/>
        <c:scaling>
          <c:orientation val="minMax"/>
        </c:scaling>
        <c:delete val="0"/>
        <c:axPos val="b"/>
        <c:numFmt formatCode="General" sourceLinked="1"/>
        <c:majorTickMark val="out"/>
        <c:minorTickMark val="none"/>
        <c:tickLblPos val="nextTo"/>
        <c:crossAx val="124336768"/>
        <c:crosses val="autoZero"/>
        <c:auto val="1"/>
        <c:lblAlgn val="ctr"/>
        <c:lblOffset val="100"/>
        <c:noMultiLvlLbl val="0"/>
      </c:catAx>
      <c:valAx>
        <c:axId val="124336768"/>
        <c:scaling>
          <c:orientation val="minMax"/>
        </c:scaling>
        <c:delete val="0"/>
        <c:axPos val="l"/>
        <c:majorGridlines/>
        <c:title>
          <c:tx>
            <c:rich>
              <a:bodyPr rot="-5400000" vert="horz"/>
              <a:lstStyle/>
              <a:p>
                <a:pPr>
                  <a:defRPr b="0"/>
                </a:pPr>
                <a:r>
                  <a:rPr lang="ru-RU" b="0"/>
                  <a:t>число  умерших в возрасте до 1 года на 1000 родившихся живыми</a:t>
                </a:r>
              </a:p>
            </c:rich>
          </c:tx>
          <c:layout>
            <c:manualLayout>
              <c:xMode val="edge"/>
              <c:yMode val="edge"/>
              <c:x val="1.5151515151515181E-2"/>
              <c:y val="0.17209635605365281"/>
            </c:manualLayout>
          </c:layout>
          <c:overlay val="0"/>
        </c:title>
        <c:numFmt formatCode="General" sourceLinked="1"/>
        <c:majorTickMark val="out"/>
        <c:minorTickMark val="none"/>
        <c:tickLblPos val="nextTo"/>
        <c:crossAx val="124335232"/>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7"/>
    </mc:Choice>
    <mc:Fallback>
      <c:style val="1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[Книга1.xlsx]Лист1!$A$11:$B$11</c:f>
              <c:strCache>
                <c:ptCount val="1"/>
                <c:pt idx="0">
                  <c:v>Приморский край</c:v>
                </c:pt>
              </c:strCache>
            </c:strRef>
          </c:tx>
          <c:spPr>
            <a:ln>
              <a:solidFill>
                <a:schemeClr val="tx1"/>
              </a:solidFill>
            </a:ln>
          </c:spPr>
          <c:invertIfNegative val="0"/>
          <c:cat>
            <c:numRef>
              <c:f>[Книга1.xlsx]Лист1!$C$10:$I$10</c:f>
              <c:numCache>
                <c:formatCode>General</c:formatCode>
                <c:ptCount val="7"/>
                <c:pt idx="0">
                  <c:v>2010</c:v>
                </c:pt>
                <c:pt idx="1">
                  <c:v>2011</c:v>
                </c:pt>
                <c:pt idx="2">
                  <c:v>2012</c:v>
                </c:pt>
                <c:pt idx="3">
                  <c:v>2013</c:v>
                </c:pt>
                <c:pt idx="4">
                  <c:v>2014</c:v>
                </c:pt>
                <c:pt idx="5">
                  <c:v>2015</c:v>
                </c:pt>
                <c:pt idx="6">
                  <c:v>2016</c:v>
                </c:pt>
              </c:numCache>
            </c:numRef>
          </c:cat>
          <c:val>
            <c:numRef>
              <c:f>[Книга1.xlsx]Лист1!$C$11:$I$11</c:f>
              <c:numCache>
                <c:formatCode>0.00</c:formatCode>
                <c:ptCount val="7"/>
                <c:pt idx="0">
                  <c:v>1.492</c:v>
                </c:pt>
                <c:pt idx="1">
                  <c:v>1.532</c:v>
                </c:pt>
                <c:pt idx="2">
                  <c:v>1.647</c:v>
                </c:pt>
                <c:pt idx="3">
                  <c:v>1.6850000000000001</c:v>
                </c:pt>
                <c:pt idx="4">
                  <c:v>1.732</c:v>
                </c:pt>
                <c:pt idx="5">
                  <c:v>1.7609999999999923</c:v>
                </c:pt>
                <c:pt idx="6">
                  <c:v>1.736</c:v>
                </c:pt>
              </c:numCache>
            </c:numRef>
          </c:val>
        </c:ser>
        <c:ser>
          <c:idx val="1"/>
          <c:order val="1"/>
          <c:tx>
            <c:strRef>
              <c:f>[Книга1.xlsx]Лист1!$A$12:$B$12</c:f>
              <c:strCache>
                <c:ptCount val="1"/>
                <c:pt idx="0">
                  <c:v>Дальневосточный федеральный округ</c:v>
                </c:pt>
              </c:strCache>
            </c:strRef>
          </c:tx>
          <c:spPr>
            <a:ln>
              <a:solidFill>
                <a:schemeClr val="tx1"/>
              </a:solidFill>
            </a:ln>
          </c:spPr>
          <c:invertIfNegative val="0"/>
          <c:cat>
            <c:numRef>
              <c:f>[Книга1.xlsx]Лист1!$C$10:$I$10</c:f>
              <c:numCache>
                <c:formatCode>General</c:formatCode>
                <c:ptCount val="7"/>
                <c:pt idx="0">
                  <c:v>2010</c:v>
                </c:pt>
                <c:pt idx="1">
                  <c:v>2011</c:v>
                </c:pt>
                <c:pt idx="2">
                  <c:v>2012</c:v>
                </c:pt>
                <c:pt idx="3">
                  <c:v>2013</c:v>
                </c:pt>
                <c:pt idx="4">
                  <c:v>2014</c:v>
                </c:pt>
                <c:pt idx="5">
                  <c:v>2015</c:v>
                </c:pt>
                <c:pt idx="6">
                  <c:v>2016</c:v>
                </c:pt>
              </c:numCache>
            </c:numRef>
          </c:cat>
          <c:val>
            <c:numRef>
              <c:f>[Книга1.xlsx]Лист1!$C$12:$I$12</c:f>
              <c:numCache>
                <c:formatCode>0.00</c:formatCode>
                <c:ptCount val="7"/>
                <c:pt idx="0">
                  <c:v>1.625</c:v>
                </c:pt>
                <c:pt idx="1">
                  <c:v>1.657</c:v>
                </c:pt>
                <c:pt idx="2">
                  <c:v>1.78</c:v>
                </c:pt>
                <c:pt idx="3">
                  <c:v>1.8140000000000001</c:v>
                </c:pt>
                <c:pt idx="4">
                  <c:v>1.869</c:v>
                </c:pt>
                <c:pt idx="5">
                  <c:v>1.893</c:v>
                </c:pt>
                <c:pt idx="6">
                  <c:v>1.8580000000000001</c:v>
                </c:pt>
              </c:numCache>
            </c:numRef>
          </c:val>
        </c:ser>
        <c:ser>
          <c:idx val="2"/>
          <c:order val="2"/>
          <c:tx>
            <c:strRef>
              <c:f>[Книга1.xlsx]Лист1!$A$13:$B$13</c:f>
              <c:strCache>
                <c:ptCount val="1"/>
                <c:pt idx="0">
                  <c:v>Российскай Федерация</c:v>
                </c:pt>
              </c:strCache>
            </c:strRef>
          </c:tx>
          <c:spPr>
            <a:ln>
              <a:solidFill>
                <a:schemeClr val="tx1"/>
              </a:solidFill>
            </a:ln>
          </c:spPr>
          <c:invertIfNegative val="0"/>
          <c:cat>
            <c:numRef>
              <c:f>[Книга1.xlsx]Лист1!$C$10:$I$10</c:f>
              <c:numCache>
                <c:formatCode>General</c:formatCode>
                <c:ptCount val="7"/>
                <c:pt idx="0">
                  <c:v>2010</c:v>
                </c:pt>
                <c:pt idx="1">
                  <c:v>2011</c:v>
                </c:pt>
                <c:pt idx="2">
                  <c:v>2012</c:v>
                </c:pt>
                <c:pt idx="3">
                  <c:v>2013</c:v>
                </c:pt>
                <c:pt idx="4">
                  <c:v>2014</c:v>
                </c:pt>
                <c:pt idx="5">
                  <c:v>2015</c:v>
                </c:pt>
                <c:pt idx="6">
                  <c:v>2016</c:v>
                </c:pt>
              </c:numCache>
            </c:numRef>
          </c:cat>
          <c:val>
            <c:numRef>
              <c:f>[Книга1.xlsx]Лист1!$C$13:$I$13</c:f>
              <c:numCache>
                <c:formatCode>0.00</c:formatCode>
                <c:ptCount val="7"/>
                <c:pt idx="0">
                  <c:v>1.5669999999999931</c:v>
                </c:pt>
                <c:pt idx="1">
                  <c:v>1.5820000000000001</c:v>
                </c:pt>
                <c:pt idx="2">
                  <c:v>1.6910000000000001</c:v>
                </c:pt>
                <c:pt idx="3">
                  <c:v>1.7069999999999914</c:v>
                </c:pt>
                <c:pt idx="4">
                  <c:v>1.75</c:v>
                </c:pt>
                <c:pt idx="5">
                  <c:v>1.7769999999999924</c:v>
                </c:pt>
                <c:pt idx="6">
                  <c:v>1.762</c:v>
                </c:pt>
              </c:numCache>
            </c:numRef>
          </c:val>
        </c:ser>
        <c:dLbls>
          <c:showLegendKey val="0"/>
          <c:showVal val="0"/>
          <c:showCatName val="0"/>
          <c:showSerName val="0"/>
          <c:showPercent val="0"/>
          <c:showBubbleSize val="0"/>
        </c:dLbls>
        <c:gapWidth val="150"/>
        <c:axId val="124375424"/>
        <c:axId val="124376960"/>
      </c:barChart>
      <c:catAx>
        <c:axId val="124375424"/>
        <c:scaling>
          <c:orientation val="minMax"/>
        </c:scaling>
        <c:delete val="0"/>
        <c:axPos val="b"/>
        <c:numFmt formatCode="General" sourceLinked="1"/>
        <c:majorTickMark val="out"/>
        <c:minorTickMark val="none"/>
        <c:tickLblPos val="nextTo"/>
        <c:crossAx val="124376960"/>
        <c:crosses val="autoZero"/>
        <c:auto val="1"/>
        <c:lblAlgn val="ctr"/>
        <c:lblOffset val="100"/>
        <c:noMultiLvlLbl val="0"/>
      </c:catAx>
      <c:valAx>
        <c:axId val="124376960"/>
        <c:scaling>
          <c:orientation val="minMax"/>
        </c:scaling>
        <c:delete val="0"/>
        <c:axPos val="l"/>
        <c:majorGridlines/>
        <c:title>
          <c:tx>
            <c:rich>
              <a:bodyPr rot="-5400000" vert="horz"/>
              <a:lstStyle/>
              <a:p>
                <a:pPr>
                  <a:defRPr b="0"/>
                </a:pPr>
                <a:r>
                  <a:rPr lang="ru-RU" b="0"/>
                  <a:t>число детей на 1 женщину</a:t>
                </a:r>
              </a:p>
            </c:rich>
          </c:tx>
          <c:layout>
            <c:manualLayout>
              <c:xMode val="edge"/>
              <c:yMode val="edge"/>
              <c:x val="9.7982952766430507E-3"/>
              <c:y val="0.30731389322755459"/>
            </c:manualLayout>
          </c:layout>
          <c:overlay val="0"/>
        </c:title>
        <c:numFmt formatCode="0.00" sourceLinked="1"/>
        <c:majorTickMark val="out"/>
        <c:minorTickMark val="none"/>
        <c:tickLblPos val="nextTo"/>
        <c:crossAx val="124375424"/>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Лист1!$A$4</c:f>
              <c:strCache>
                <c:ptCount val="1"/>
              </c:strCache>
            </c:strRef>
          </c:tx>
          <c:spPr>
            <a:solidFill>
              <a:schemeClr val="tx1"/>
            </a:solidFill>
          </c:spPr>
          <c:invertIfNegative val="0"/>
          <c:dLbls>
            <c:dLbl>
              <c:idx val="0"/>
              <c:tx>
                <c:rich>
                  <a:bodyPr/>
                  <a:lstStyle/>
                  <a:p>
                    <a:r>
                      <a:rPr lang="en-US" sz="1200" b="0" smtClean="0">
                        <a:latin typeface="Times New Roman" pitchFamily="18" charset="0"/>
                        <a:cs typeface="Times New Roman" pitchFamily="18" charset="0"/>
                      </a:rPr>
                      <a:t>1,066</a:t>
                    </a:r>
                    <a:endParaRPr lang="en-US"/>
                  </a:p>
                </c:rich>
              </c:tx>
              <c:showLegendKey val="0"/>
              <c:showVal val="1"/>
              <c:showCatName val="0"/>
              <c:showSerName val="0"/>
              <c:showPercent val="0"/>
              <c:showBubbleSize val="0"/>
              <c:extLst>
                <c:ext xmlns:c15="http://schemas.microsoft.com/office/drawing/2012/chart" uri="{CE6537A1-D6FC-4f65-9D91-7224C49458BB}">
                  <c15:layout/>
                </c:ext>
              </c:extLst>
            </c:dLbl>
            <c:dLbl>
              <c:idx val="1"/>
              <c:tx>
                <c:rich>
                  <a:bodyPr/>
                  <a:lstStyle/>
                  <a:p>
                    <a:r>
                      <a:rPr lang="en-US" sz="1200" b="0" smtClean="0">
                        <a:latin typeface="Times New Roman" pitchFamily="18" charset="0"/>
                        <a:cs typeface="Times New Roman" pitchFamily="18" charset="0"/>
                      </a:rPr>
                      <a:t>0,984</a:t>
                    </a:r>
                    <a:endParaRPr lang="en-US"/>
                  </a:p>
                </c:rich>
              </c:tx>
              <c:showLegendKey val="0"/>
              <c:showVal val="1"/>
              <c:showCatName val="0"/>
              <c:showSerName val="0"/>
              <c:showPercent val="0"/>
              <c:showBubbleSize val="0"/>
              <c:extLst>
                <c:ext xmlns:c15="http://schemas.microsoft.com/office/drawing/2012/chart" uri="{CE6537A1-D6FC-4f65-9D91-7224C49458BB}">
                  <c15:layout/>
                </c:ext>
              </c:extLst>
            </c:dLbl>
            <c:dLbl>
              <c:idx val="2"/>
              <c:tx>
                <c:rich>
                  <a:bodyPr/>
                  <a:lstStyle/>
                  <a:p>
                    <a:r>
                      <a:rPr lang="en-US" sz="1200" b="0" smtClean="0">
                        <a:latin typeface="Times New Roman" pitchFamily="18" charset="0"/>
                        <a:cs typeface="Times New Roman" pitchFamily="18" charset="0"/>
                      </a:rPr>
                      <a:t>1,086</a:t>
                    </a:r>
                    <a:endParaRPr lang="en-US"/>
                  </a:p>
                </c:rich>
              </c:tx>
              <c:showLegendKey val="0"/>
              <c:showVal val="1"/>
              <c:showCatName val="0"/>
              <c:showSerName val="0"/>
              <c:showPercent val="0"/>
              <c:showBubbleSize val="0"/>
              <c:extLst>
                <c:ext xmlns:c15="http://schemas.microsoft.com/office/drawing/2012/chart" uri="{CE6537A1-D6FC-4f65-9D91-7224C49458BB}">
                  <c15:layout/>
                </c:ext>
              </c:extLst>
            </c:dLbl>
            <c:dLbl>
              <c:idx val="3"/>
              <c:tx>
                <c:rich>
                  <a:bodyPr/>
                  <a:lstStyle/>
                  <a:p>
                    <a:r>
                      <a:rPr lang="en-US" sz="1200" b="0" smtClean="0">
                        <a:latin typeface="Times New Roman" pitchFamily="18" charset="0"/>
                        <a:cs typeface="Times New Roman" pitchFamily="18" charset="0"/>
                      </a:rPr>
                      <a:t>1,116</a:t>
                    </a:r>
                    <a:endParaRPr lang="en-US"/>
                  </a:p>
                </c:rich>
              </c:tx>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282051282051282E-2"/>
                  <c:y val="2.651076603683081E-17"/>
                </c:manualLayout>
              </c:layout>
              <c:tx>
                <c:rich>
                  <a:bodyPr/>
                  <a:lstStyle/>
                  <a:p>
                    <a:r>
                      <a:rPr lang="en-US" sz="1200" b="0" smtClean="0">
                        <a:latin typeface="Times New Roman" pitchFamily="18" charset="0"/>
                        <a:cs typeface="Times New Roman" pitchFamily="18" charset="0"/>
                      </a:rPr>
                      <a:t>1,075</a:t>
                    </a:r>
                    <a:endParaRPr lang="en-US"/>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1200" b="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Лист1!$B$1:$F$1</c:f>
              <c:numCache>
                <c:formatCode>General</c:formatCode>
                <c:ptCount val="5"/>
                <c:pt idx="0">
                  <c:v>2012</c:v>
                </c:pt>
                <c:pt idx="1">
                  <c:v>2013</c:v>
                </c:pt>
                <c:pt idx="2">
                  <c:v>2014</c:v>
                </c:pt>
                <c:pt idx="3">
                  <c:v>2015</c:v>
                </c:pt>
                <c:pt idx="4">
                  <c:v>2016</c:v>
                </c:pt>
              </c:numCache>
            </c:numRef>
          </c:cat>
          <c:val>
            <c:numRef>
              <c:f>Лист1!$B$4:$F$4</c:f>
              <c:numCache>
                <c:formatCode>0.00</c:formatCode>
                <c:ptCount val="5"/>
                <c:pt idx="0">
                  <c:v>2012</c:v>
                </c:pt>
                <c:pt idx="1">
                  <c:v>2013</c:v>
                </c:pt>
                <c:pt idx="2">
                  <c:v>2014</c:v>
                </c:pt>
                <c:pt idx="3">
                  <c:v>2015</c:v>
                </c:pt>
                <c:pt idx="4">
                  <c:v>2016</c:v>
                </c:pt>
              </c:numCache>
            </c:numRef>
          </c:val>
        </c:ser>
        <c:dLbls>
          <c:showLegendKey val="0"/>
          <c:showVal val="0"/>
          <c:showCatName val="0"/>
          <c:showSerName val="0"/>
          <c:showPercent val="0"/>
          <c:showBubbleSize val="0"/>
        </c:dLbls>
        <c:gapWidth val="150"/>
        <c:shape val="box"/>
        <c:axId val="124095488"/>
        <c:axId val="124101376"/>
        <c:axId val="0"/>
      </c:bar3DChart>
      <c:catAx>
        <c:axId val="124095488"/>
        <c:scaling>
          <c:orientation val="minMax"/>
        </c:scaling>
        <c:delete val="0"/>
        <c:axPos val="l"/>
        <c:numFmt formatCode="General" sourceLinked="1"/>
        <c:majorTickMark val="out"/>
        <c:minorTickMark val="none"/>
        <c:tickLblPos val="nextTo"/>
        <c:txPr>
          <a:bodyPr/>
          <a:lstStyle/>
          <a:p>
            <a:pPr>
              <a:defRPr sz="1200" b="0">
                <a:latin typeface="Times New Roman" pitchFamily="18" charset="0"/>
                <a:cs typeface="Times New Roman" pitchFamily="18" charset="0"/>
              </a:defRPr>
            </a:pPr>
            <a:endParaRPr lang="ru-RU"/>
          </a:p>
        </c:txPr>
        <c:crossAx val="124101376"/>
        <c:crosses val="autoZero"/>
        <c:auto val="1"/>
        <c:lblAlgn val="ctr"/>
        <c:lblOffset val="100"/>
        <c:noMultiLvlLbl val="0"/>
      </c:catAx>
      <c:valAx>
        <c:axId val="124101376"/>
        <c:scaling>
          <c:orientation val="minMax"/>
        </c:scaling>
        <c:delete val="0"/>
        <c:axPos val="b"/>
        <c:majorGridlines/>
        <c:numFmt formatCode="0.00" sourceLinked="1"/>
        <c:majorTickMark val="out"/>
        <c:minorTickMark val="none"/>
        <c:tickLblPos val="nextTo"/>
        <c:txPr>
          <a:bodyPr/>
          <a:lstStyle/>
          <a:p>
            <a:pPr>
              <a:defRPr sz="1200" b="0">
                <a:latin typeface="Times New Roman" pitchFamily="18" charset="0"/>
                <a:cs typeface="Times New Roman" pitchFamily="18" charset="0"/>
              </a:defRPr>
            </a:pPr>
            <a:endParaRPr lang="ru-RU"/>
          </a:p>
        </c:txPr>
        <c:crossAx val="124095488"/>
        <c:crosses val="autoZero"/>
        <c:crossBetween val="between"/>
      </c:valAx>
    </c:plotArea>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Лист1!$A$12</c:f>
              <c:strCache>
                <c:ptCount val="1"/>
                <c:pt idx="0">
                  <c:v>Доля уловленных выбросов Приморского края по сравнению с РФ, %</c:v>
                </c:pt>
              </c:strCache>
            </c:strRef>
          </c:tx>
          <c:spPr>
            <a:solidFill>
              <a:schemeClr val="tx1"/>
            </a:solidFill>
          </c:spPr>
          <c:invertIfNegative val="0"/>
          <c:dLbls>
            <c:dLbl>
              <c:idx val="0"/>
              <c:layout>
                <c:manualLayout>
                  <c:x val="1.7927869967888657E-2"/>
                  <c:y val="0"/>
                </c:manualLayout>
              </c:layout>
              <c:numFmt formatCode="#,##0.00" sourceLinked="0"/>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1204918729930407E-2"/>
                  <c:y val="0"/>
                </c:manualLayout>
              </c:layout>
              <c:numFmt formatCode="#,##0.00" sourceLinked="0"/>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1204918729930407E-2"/>
                  <c:y val="0"/>
                </c:manualLayout>
              </c:layout>
              <c:numFmt formatCode="#,##0.00" sourceLinked="0"/>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5686886221902577E-2"/>
                  <c:y val="0"/>
                </c:manualLayout>
              </c:layout>
              <c:numFmt formatCode="#,##0.00" sourceLinked="0"/>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2.2409837459860853E-2"/>
                  <c:y val="-3.272450297406455E-3"/>
                </c:manualLayout>
              </c:layout>
              <c:numFmt formatCode="#,##0.00" sourceLinked="0"/>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numFmt formatCode="#,##0.00" sourceLinked="0"/>
            <c:spPr>
              <a:noFill/>
              <a:ln>
                <a:noFill/>
              </a:ln>
              <a:effectLst/>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Лист1!$B$9:$F$9</c:f>
              <c:numCache>
                <c:formatCode>General</c:formatCode>
                <c:ptCount val="5"/>
                <c:pt idx="0">
                  <c:v>2012</c:v>
                </c:pt>
                <c:pt idx="1">
                  <c:v>2013</c:v>
                </c:pt>
                <c:pt idx="2">
                  <c:v>2014</c:v>
                </c:pt>
                <c:pt idx="3">
                  <c:v>2015</c:v>
                </c:pt>
                <c:pt idx="4">
                  <c:v>2016</c:v>
                </c:pt>
              </c:numCache>
            </c:numRef>
          </c:cat>
          <c:val>
            <c:numRef>
              <c:f>Лист1!$B$12:$F$12</c:f>
              <c:numCache>
                <c:formatCode>General</c:formatCode>
                <c:ptCount val="5"/>
                <c:pt idx="0">
                  <c:v>3.7482394366197185</c:v>
                </c:pt>
                <c:pt idx="1">
                  <c:v>3.4319852941176467</c:v>
                </c:pt>
                <c:pt idx="2">
                  <c:v>3.4306839186691307</c:v>
                </c:pt>
                <c:pt idx="3">
                  <c:v>3.8884615384615402</c:v>
                </c:pt>
                <c:pt idx="4">
                  <c:v>3.8963414634146325</c:v>
                </c:pt>
              </c:numCache>
            </c:numRef>
          </c:val>
        </c:ser>
        <c:dLbls>
          <c:showLegendKey val="0"/>
          <c:showVal val="0"/>
          <c:showCatName val="0"/>
          <c:showSerName val="0"/>
          <c:showPercent val="0"/>
          <c:showBubbleSize val="0"/>
        </c:dLbls>
        <c:gapWidth val="150"/>
        <c:shape val="box"/>
        <c:axId val="124410880"/>
        <c:axId val="124449536"/>
        <c:axId val="0"/>
      </c:bar3DChart>
      <c:catAx>
        <c:axId val="124410880"/>
        <c:scaling>
          <c:orientation val="minMax"/>
        </c:scaling>
        <c:delete val="0"/>
        <c:axPos val="l"/>
        <c:numFmt formatCode="General" sourceLinked="1"/>
        <c:majorTickMark val="out"/>
        <c:minorTickMark val="none"/>
        <c:tickLblPos val="nextTo"/>
        <c:txPr>
          <a:bodyPr/>
          <a:lstStyle/>
          <a:p>
            <a:pPr>
              <a:defRPr sz="1200">
                <a:solidFill>
                  <a:sysClr val="windowText" lastClr="000000"/>
                </a:solidFill>
                <a:latin typeface="Times New Roman" pitchFamily="18" charset="0"/>
                <a:cs typeface="Times New Roman" pitchFamily="18" charset="0"/>
              </a:defRPr>
            </a:pPr>
            <a:endParaRPr lang="ru-RU"/>
          </a:p>
        </c:txPr>
        <c:crossAx val="124449536"/>
        <c:crosses val="autoZero"/>
        <c:auto val="1"/>
        <c:lblAlgn val="ctr"/>
        <c:lblOffset val="100"/>
        <c:noMultiLvlLbl val="0"/>
      </c:catAx>
      <c:valAx>
        <c:axId val="124449536"/>
        <c:scaling>
          <c:orientation val="minMax"/>
        </c:scaling>
        <c:delete val="0"/>
        <c:axPos val="b"/>
        <c:majorGridlines/>
        <c:numFmt formatCode="General" sourceLinked="1"/>
        <c:majorTickMark val="out"/>
        <c:minorTickMark val="none"/>
        <c:tickLblPos val="nextTo"/>
        <c:txPr>
          <a:bodyPr/>
          <a:lstStyle/>
          <a:p>
            <a:pPr>
              <a:defRPr sz="1100">
                <a:latin typeface="Times New Roman" pitchFamily="18" charset="0"/>
                <a:cs typeface="Times New Roman" pitchFamily="18" charset="0"/>
              </a:defRPr>
            </a:pPr>
            <a:endParaRPr lang="ru-RU"/>
          </a:p>
        </c:txPr>
        <c:crossAx val="124410880"/>
        <c:crosses val="autoZero"/>
        <c:crossBetween val="between"/>
      </c:valAx>
    </c:plotArea>
    <c:plotVisOnly val="1"/>
    <c:dispBlanksAs val="gap"/>
    <c:showDLblsOverMax val="0"/>
  </c:chart>
  <c:spPr>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Лист1!$B$1</c:f>
              <c:strCache>
                <c:ptCount val="1"/>
                <c:pt idx="0">
                  <c:v>до 1 года, % годовых</c:v>
                </c:pt>
              </c:strCache>
            </c:strRef>
          </c:tx>
          <c:spPr>
            <a:ln w="28560">
              <a:solidFill>
                <a:schemeClr val="accent1"/>
              </a:solidFill>
            </a:ln>
            <a:effectLst/>
          </c:spPr>
          <c:marker>
            <c:symbol val="diamond"/>
            <c:size val="6"/>
            <c:spPr>
              <a:solidFill>
                <a:schemeClr val="accent1"/>
              </a:solidFill>
              <a:ln>
                <a:solidFill>
                  <a:schemeClr val="accent1"/>
                </a:solidFill>
              </a:ln>
              <a:effectLst/>
            </c:spPr>
          </c:marker>
          <c:cat>
            <c:numRef>
              <c:f>Лист1!$A$2:$A$15</c:f>
              <c:numCache>
                <c:formatCode>mmm/yy</c:formatCode>
                <c:ptCount val="14"/>
                <c:pt idx="0">
                  <c:v>42370</c:v>
                </c:pt>
                <c:pt idx="1">
                  <c:v>42401</c:v>
                </c:pt>
                <c:pt idx="2">
                  <c:v>42430</c:v>
                </c:pt>
                <c:pt idx="3">
                  <c:v>42461</c:v>
                </c:pt>
                <c:pt idx="4">
                  <c:v>42491</c:v>
                </c:pt>
                <c:pt idx="5">
                  <c:v>42522</c:v>
                </c:pt>
                <c:pt idx="6">
                  <c:v>42552</c:v>
                </c:pt>
                <c:pt idx="7">
                  <c:v>42583</c:v>
                </c:pt>
                <c:pt idx="8">
                  <c:v>42614</c:v>
                </c:pt>
                <c:pt idx="9">
                  <c:v>42644</c:v>
                </c:pt>
                <c:pt idx="10">
                  <c:v>42675</c:v>
                </c:pt>
                <c:pt idx="11">
                  <c:v>42705</c:v>
                </c:pt>
                <c:pt idx="12">
                  <c:v>42736</c:v>
                </c:pt>
              </c:numCache>
            </c:numRef>
          </c:cat>
          <c:val>
            <c:numRef>
              <c:f>Лист1!$B$2:$B$15</c:f>
              <c:numCache>
                <c:formatCode>0.0%</c:formatCode>
                <c:ptCount val="14"/>
                <c:pt idx="0">
                  <c:v>0.16500000000000001</c:v>
                </c:pt>
                <c:pt idx="1">
                  <c:v>0.16400000000000001</c:v>
                </c:pt>
                <c:pt idx="2">
                  <c:v>0.161</c:v>
                </c:pt>
                <c:pt idx="3">
                  <c:v>0.16400000000000001</c:v>
                </c:pt>
                <c:pt idx="4">
                  <c:v>0.16300000000000001</c:v>
                </c:pt>
                <c:pt idx="5">
                  <c:v>0.16</c:v>
                </c:pt>
                <c:pt idx="6">
                  <c:v>0.15600000000000017</c:v>
                </c:pt>
                <c:pt idx="7">
                  <c:v>0.15500000000000017</c:v>
                </c:pt>
                <c:pt idx="8">
                  <c:v>0.15100000000000016</c:v>
                </c:pt>
                <c:pt idx="9">
                  <c:v>0.15000000000000016</c:v>
                </c:pt>
                <c:pt idx="10">
                  <c:v>0.14900000000000016</c:v>
                </c:pt>
                <c:pt idx="11">
                  <c:v>0.14500000000000016</c:v>
                </c:pt>
                <c:pt idx="12">
                  <c:v>0.14400000000000004</c:v>
                </c:pt>
              </c:numCache>
            </c:numRef>
          </c:val>
          <c:smooth val="0"/>
        </c:ser>
        <c:ser>
          <c:idx val="1"/>
          <c:order val="1"/>
          <c:tx>
            <c:strRef>
              <c:f>Лист1!$C$1</c:f>
              <c:strCache>
                <c:ptCount val="1"/>
                <c:pt idx="0">
                  <c:v>свыше 1 года, % годовых</c:v>
                </c:pt>
              </c:strCache>
            </c:strRef>
          </c:tx>
          <c:spPr>
            <a:ln w="28560">
              <a:solidFill>
                <a:schemeClr val="accent2"/>
              </a:solidFill>
            </a:ln>
            <a:effectLst/>
          </c:spPr>
          <c:marker>
            <c:symbol val="square"/>
            <c:size val="6"/>
            <c:spPr>
              <a:solidFill>
                <a:schemeClr val="accent2"/>
              </a:solidFill>
              <a:ln>
                <a:solidFill>
                  <a:schemeClr val="accent2"/>
                </a:solidFill>
              </a:ln>
              <a:effectLst/>
            </c:spPr>
          </c:marker>
          <c:cat>
            <c:numRef>
              <c:f>Лист1!$A$2:$A$15</c:f>
              <c:numCache>
                <c:formatCode>mmm/yy</c:formatCode>
                <c:ptCount val="14"/>
                <c:pt idx="0">
                  <c:v>42370</c:v>
                </c:pt>
                <c:pt idx="1">
                  <c:v>42401</c:v>
                </c:pt>
                <c:pt idx="2">
                  <c:v>42430</c:v>
                </c:pt>
                <c:pt idx="3">
                  <c:v>42461</c:v>
                </c:pt>
                <c:pt idx="4">
                  <c:v>42491</c:v>
                </c:pt>
                <c:pt idx="5">
                  <c:v>42522</c:v>
                </c:pt>
                <c:pt idx="6">
                  <c:v>42552</c:v>
                </c:pt>
                <c:pt idx="7">
                  <c:v>42583</c:v>
                </c:pt>
                <c:pt idx="8">
                  <c:v>42614</c:v>
                </c:pt>
                <c:pt idx="9">
                  <c:v>42644</c:v>
                </c:pt>
                <c:pt idx="10">
                  <c:v>42675</c:v>
                </c:pt>
                <c:pt idx="11">
                  <c:v>42705</c:v>
                </c:pt>
                <c:pt idx="12">
                  <c:v>42736</c:v>
                </c:pt>
              </c:numCache>
            </c:numRef>
          </c:cat>
          <c:val>
            <c:numRef>
              <c:f>Лист1!$C$2:$C$15</c:f>
              <c:numCache>
                <c:formatCode>0.0%</c:formatCode>
                <c:ptCount val="14"/>
                <c:pt idx="0">
                  <c:v>0.15700000000000017</c:v>
                </c:pt>
                <c:pt idx="1">
                  <c:v>0.15800000000000017</c:v>
                </c:pt>
                <c:pt idx="2">
                  <c:v>0.15400000000000016</c:v>
                </c:pt>
                <c:pt idx="3">
                  <c:v>0.15700000000000017</c:v>
                </c:pt>
                <c:pt idx="4">
                  <c:v>0.15700000000000017</c:v>
                </c:pt>
                <c:pt idx="5">
                  <c:v>0.15600000000000017</c:v>
                </c:pt>
                <c:pt idx="6">
                  <c:v>0.15500000000000017</c:v>
                </c:pt>
                <c:pt idx="7">
                  <c:v>0.14900000000000016</c:v>
                </c:pt>
                <c:pt idx="8">
                  <c:v>0.14300000000000004</c:v>
                </c:pt>
                <c:pt idx="9">
                  <c:v>0.13800000000000001</c:v>
                </c:pt>
                <c:pt idx="10">
                  <c:v>0.13700000000000001</c:v>
                </c:pt>
                <c:pt idx="11">
                  <c:v>0.13</c:v>
                </c:pt>
                <c:pt idx="12">
                  <c:v>0.13600000000000001</c:v>
                </c:pt>
              </c:numCache>
            </c:numRef>
          </c:val>
          <c:smooth val="0"/>
        </c:ser>
        <c:dLbls>
          <c:showLegendKey val="0"/>
          <c:showVal val="0"/>
          <c:showCatName val="0"/>
          <c:showSerName val="0"/>
          <c:showPercent val="0"/>
          <c:showBubbleSize val="0"/>
        </c:dLbls>
        <c:marker val="1"/>
        <c:smooth val="0"/>
        <c:axId val="124486016"/>
        <c:axId val="124487936"/>
      </c:lineChart>
      <c:dateAx>
        <c:axId val="124486016"/>
        <c:scaling>
          <c:orientation val="minMax"/>
        </c:scaling>
        <c:delete val="0"/>
        <c:axPos val="b"/>
        <c:numFmt formatCode="mmm\-yy" sourceLinked="0"/>
        <c:majorTickMark val="out"/>
        <c:minorTickMark val="none"/>
        <c:tickLblPos val="nextTo"/>
        <c:spPr>
          <a:noFill/>
          <a:ln>
            <a:solidFill>
              <a:schemeClr val="tx1">
                <a:lumMod val="50000"/>
                <a:lumOff val="50000"/>
              </a:schemeClr>
            </a:solidFill>
          </a:ln>
          <a:effectLst/>
        </c:spPr>
        <c:txPr>
          <a:bodyPr rot="-60000000" spcFirstLastPara="0" vertOverflow="ellipsis" horzOverflow="overflow" vert="horz" wrap="square" anchor="ctr" anchorCtr="1"/>
          <a:lstStyle/>
          <a:p>
            <a:pPr>
              <a:defRPr sz="999" b="0">
                <a:solidFill>
                  <a:schemeClr val="tx1"/>
                </a:solidFill>
                <a:latin typeface="+mn-lt"/>
                <a:ea typeface="+mn-ea"/>
                <a:cs typeface="+mn-cs"/>
              </a:defRPr>
            </a:pPr>
            <a:endParaRPr lang="ru-RU"/>
          </a:p>
        </c:txPr>
        <c:crossAx val="124487936"/>
        <c:crosses val="autoZero"/>
        <c:auto val="1"/>
        <c:lblOffset val="100"/>
        <c:baseTimeUnit val="months"/>
      </c:dateAx>
      <c:valAx>
        <c:axId val="124487936"/>
        <c:scaling>
          <c:orientation val="minMax"/>
        </c:scaling>
        <c:delete val="0"/>
        <c:axPos val="l"/>
        <c:majorGridlines>
          <c:spPr>
            <a:ln>
              <a:solidFill>
                <a:schemeClr val="tx1">
                  <a:lumMod val="50000"/>
                  <a:lumOff val="50000"/>
                </a:schemeClr>
              </a:solidFill>
            </a:ln>
            <a:effectLst/>
          </c:spPr>
        </c:majorGridlines>
        <c:numFmt formatCode="0.0%" sourceLinked="1"/>
        <c:majorTickMark val="out"/>
        <c:minorTickMark val="none"/>
        <c:tickLblPos val="nextTo"/>
        <c:spPr>
          <a:noFill/>
          <a:ln>
            <a:solidFill>
              <a:schemeClr val="tx1">
                <a:lumMod val="50000"/>
                <a:lumOff val="50000"/>
              </a:schemeClr>
            </a:solidFill>
          </a:ln>
          <a:effectLst/>
        </c:spPr>
        <c:txPr>
          <a:bodyPr rot="-60000000" spcFirstLastPara="0" vertOverflow="ellipsis" horzOverflow="overflow" vert="horz" wrap="square" anchor="ctr" anchorCtr="1"/>
          <a:lstStyle/>
          <a:p>
            <a:pPr>
              <a:defRPr sz="999" b="0">
                <a:solidFill>
                  <a:schemeClr val="tx1"/>
                </a:solidFill>
                <a:latin typeface="+mn-lt"/>
                <a:ea typeface="+mn-ea"/>
                <a:cs typeface="+mn-cs"/>
              </a:defRPr>
            </a:pPr>
            <a:endParaRPr lang="ru-RU"/>
          </a:p>
        </c:txPr>
        <c:crossAx val="124486016"/>
        <c:crosses val="autoZero"/>
        <c:crossBetween val="between"/>
      </c:valAx>
      <c:spPr>
        <a:solidFill>
          <a:schemeClr val="bg1"/>
        </a:solidFill>
        <a:ln>
          <a:noFill/>
        </a:ln>
        <a:effectLst/>
      </c:spPr>
    </c:plotArea>
    <c:legend>
      <c:legendPos val="r"/>
      <c:overlay val="0"/>
      <c:spPr>
        <a:noFill/>
        <a:ln w="25387">
          <a:noFill/>
        </a:ln>
      </c:spPr>
      <c:txPr>
        <a:bodyPr rot="0" spcFirstLastPara="0" vertOverflow="ellipsis" horzOverflow="overflow" vert="horz" wrap="square" anchor="ctr" anchorCtr="1"/>
        <a:lstStyle/>
        <a:p>
          <a:pPr>
            <a:defRPr sz="999" b="0">
              <a:solidFill>
                <a:schemeClr val="tx1"/>
              </a:solidFill>
              <a:latin typeface="+mn-lt"/>
              <a:ea typeface="+mn-ea"/>
              <a:cs typeface="+mn-cs"/>
            </a:defRPr>
          </a:pPr>
          <a:endParaRPr lang="ru-RU"/>
        </a:p>
      </c:txPr>
    </c:legend>
    <c:plotVisOnly val="1"/>
    <c:dispBlanksAs val="gap"/>
    <c:showDLblsOverMax val="0"/>
  </c:chart>
  <c:spPr>
    <a:solidFill>
      <a:schemeClr val="bg1"/>
    </a:solidFill>
    <a:ln w="9520" cap="flat" cmpd="sng" algn="ctr">
      <a:solidFill>
        <a:schemeClr val="tx1">
          <a:tint val="75000"/>
        </a:schemeClr>
      </a:solidFill>
      <a:prstDash val="solid"/>
    </a:ln>
    <a:effectLst/>
  </c:spPr>
  <c:txPr>
    <a:bodyPr rot="0" spcFirstLastPara="0" vertOverflow="ellipsis" horzOverflow="overflow" vert="horz" wrap="square" anchor="ctr" anchorCtr="1"/>
    <a:lstStyle/>
    <a:p>
      <a:pPr>
        <a:defRPr lang="ru-RU"/>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Лист1!$B$1</c:f>
              <c:strCache>
                <c:ptCount val="1"/>
                <c:pt idx="0">
                  <c:v>Доходы консолидированного бюджета Приморского края (млрд. руб.)</c:v>
                </c:pt>
              </c:strCache>
            </c:strRef>
          </c:tx>
          <c:spPr>
            <a:solidFill>
              <a:schemeClr val="bg1">
                <a:lumMod val="65000"/>
              </a:schemeClr>
            </a:solidFill>
          </c:spPr>
          <c:invertIfNegative val="0"/>
          <c:dLbls>
            <c:dLbl>
              <c:idx val="0"/>
              <c:layout>
                <c:manualLayout>
                  <c:x val="-4.6296296296296372E-3"/>
                  <c:y val="7.9365079365079388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7.1428571428571438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
                  <c:y val="7.1428571428571438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9.2592592592592865E-3"/>
                  <c:y val="6.746031746031747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
                  <c:y val="6.3492063492063502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
                  <c:y val="6.3492063492063502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
                  <c:y val="5.1587301587301577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w="25397">
                <a:noFill/>
              </a:ln>
            </c:spPr>
            <c:txPr>
              <a:bodyPr/>
              <a:lstStyle/>
              <a:p>
                <a:pPr>
                  <a:defRPr sz="1200"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2011 год</c:v>
                </c:pt>
                <c:pt idx="1">
                  <c:v>2012 год</c:v>
                </c:pt>
                <c:pt idx="2">
                  <c:v>2013 год</c:v>
                </c:pt>
                <c:pt idx="3">
                  <c:v>2014 год</c:v>
                </c:pt>
                <c:pt idx="4">
                  <c:v>2015 год</c:v>
                </c:pt>
                <c:pt idx="5">
                  <c:v>2016 год</c:v>
                </c:pt>
                <c:pt idx="6">
                  <c:v>2017 год</c:v>
                </c:pt>
              </c:strCache>
            </c:strRef>
          </c:cat>
          <c:val>
            <c:numRef>
              <c:f>Лист1!$B$2:$B$8</c:f>
              <c:numCache>
                <c:formatCode>General</c:formatCode>
                <c:ptCount val="7"/>
                <c:pt idx="0">
                  <c:v>98.304000000000002</c:v>
                </c:pt>
                <c:pt idx="1">
                  <c:v>100.38500000000001</c:v>
                </c:pt>
                <c:pt idx="2">
                  <c:v>113.381</c:v>
                </c:pt>
                <c:pt idx="3">
                  <c:v>120.273</c:v>
                </c:pt>
                <c:pt idx="4">
                  <c:v>126.9</c:v>
                </c:pt>
                <c:pt idx="5">
                  <c:v>133.28</c:v>
                </c:pt>
                <c:pt idx="6">
                  <c:v>143.73999999999998</c:v>
                </c:pt>
              </c:numCache>
            </c:numRef>
          </c:val>
        </c:ser>
        <c:ser>
          <c:idx val="1"/>
          <c:order val="1"/>
          <c:tx>
            <c:strRef>
              <c:f>Лист1!$C$1</c:f>
              <c:strCache>
                <c:ptCount val="1"/>
                <c:pt idx="0">
                  <c:v>Расходы консолидированного бюджета Приморского края (млрд. руб.)</c:v>
                </c:pt>
              </c:strCache>
            </c:strRef>
          </c:tx>
          <c:spPr>
            <a:solidFill>
              <a:schemeClr val="tx1">
                <a:lumMod val="50000"/>
                <a:lumOff val="50000"/>
              </a:schemeClr>
            </a:solidFill>
          </c:spPr>
          <c:invertIfNegative val="0"/>
          <c:dLbls>
            <c:dLbl>
              <c:idx val="0"/>
              <c:layout>
                <c:manualLayout>
                  <c:x val="0"/>
                  <c:y val="-0.19047619047619074"/>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
                  <c:y val="-0.1904761904761908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6.9444444444444519E-3"/>
                  <c:y val="-0.20238095238095238"/>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9444444444444519E-3"/>
                  <c:y val="-0.21825396825396826"/>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
                  <c:y val="-0.21825396825396826"/>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2.3148148148148147E-3"/>
                  <c:y val="-0.1904761904761908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
                  <c:y val="-0.214285714285714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w="25397">
                <a:noFill/>
              </a:ln>
            </c:spPr>
            <c:txPr>
              <a:bodyPr/>
              <a:lstStyle/>
              <a:p>
                <a:pPr>
                  <a:defRPr sz="1200"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2011 год</c:v>
                </c:pt>
                <c:pt idx="1">
                  <c:v>2012 год</c:v>
                </c:pt>
                <c:pt idx="2">
                  <c:v>2013 год</c:v>
                </c:pt>
                <c:pt idx="3">
                  <c:v>2014 год</c:v>
                </c:pt>
                <c:pt idx="4">
                  <c:v>2015 год</c:v>
                </c:pt>
                <c:pt idx="5">
                  <c:v>2016 год</c:v>
                </c:pt>
                <c:pt idx="6">
                  <c:v>2017 год</c:v>
                </c:pt>
              </c:strCache>
            </c:strRef>
          </c:cat>
          <c:val>
            <c:numRef>
              <c:f>Лист1!$C$2:$C$8</c:f>
              <c:numCache>
                <c:formatCode>General</c:formatCode>
                <c:ptCount val="7"/>
                <c:pt idx="0">
                  <c:v>122.223</c:v>
                </c:pt>
                <c:pt idx="1">
                  <c:v>122.97</c:v>
                </c:pt>
                <c:pt idx="2">
                  <c:v>134.02700000000004</c:v>
                </c:pt>
                <c:pt idx="3">
                  <c:v>135.06300000000002</c:v>
                </c:pt>
                <c:pt idx="4">
                  <c:v>139.44800000000001</c:v>
                </c:pt>
                <c:pt idx="5">
                  <c:v>138.46</c:v>
                </c:pt>
                <c:pt idx="6">
                  <c:v>148.47</c:v>
                </c:pt>
              </c:numCache>
            </c:numRef>
          </c:val>
        </c:ser>
        <c:dLbls>
          <c:showLegendKey val="0"/>
          <c:showVal val="0"/>
          <c:showCatName val="0"/>
          <c:showSerName val="0"/>
          <c:showPercent val="0"/>
          <c:showBubbleSize val="0"/>
        </c:dLbls>
        <c:gapWidth val="150"/>
        <c:overlap val="100"/>
        <c:axId val="124241408"/>
        <c:axId val="124242944"/>
      </c:barChart>
      <c:catAx>
        <c:axId val="124241408"/>
        <c:scaling>
          <c:orientation val="minMax"/>
        </c:scaling>
        <c:delete val="0"/>
        <c:axPos val="b"/>
        <c:numFmt formatCode="General" sourceLinked="0"/>
        <c:majorTickMark val="out"/>
        <c:minorTickMark val="none"/>
        <c:tickLblPos val="nextTo"/>
        <c:txPr>
          <a:bodyPr/>
          <a:lstStyle/>
          <a:p>
            <a:pPr>
              <a:defRPr sz="1200">
                <a:latin typeface="Times New Roman" panose="02020603050405020304" pitchFamily="18" charset="0"/>
                <a:cs typeface="Times New Roman" panose="02020603050405020304" pitchFamily="18" charset="0"/>
              </a:defRPr>
            </a:pPr>
            <a:endParaRPr lang="ru-RU"/>
          </a:p>
        </c:txPr>
        <c:crossAx val="124242944"/>
        <c:crosses val="autoZero"/>
        <c:auto val="1"/>
        <c:lblAlgn val="ctr"/>
        <c:lblOffset val="100"/>
        <c:noMultiLvlLbl val="0"/>
      </c:catAx>
      <c:valAx>
        <c:axId val="124242944"/>
        <c:scaling>
          <c:orientation val="minMax"/>
          <c:max val="350"/>
          <c:min val="0"/>
        </c:scaling>
        <c:delete val="1"/>
        <c:axPos val="l"/>
        <c:numFmt formatCode="General" sourceLinked="1"/>
        <c:majorTickMark val="out"/>
        <c:minorTickMark val="none"/>
        <c:tickLblPos val="none"/>
        <c:crossAx val="124241408"/>
        <c:crosses val="autoZero"/>
        <c:crossBetween val="between"/>
        <c:majorUnit val="50"/>
        <c:minorUnit val="10"/>
      </c:valAx>
      <c:spPr>
        <a:noFill/>
        <a:ln w="25397">
          <a:noFill/>
        </a:ln>
      </c:spPr>
    </c:plotArea>
    <c:legend>
      <c:legendPos val="b"/>
      <c:overlay val="0"/>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noFill/>
    <a:ln>
      <a:noFill/>
    </a:ln>
  </c:sp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C78D3A0C2B43CCB8E99B662F9D0871"/>
        <w:category>
          <w:name w:val="Общие"/>
          <w:gallery w:val="placeholder"/>
        </w:category>
        <w:types>
          <w:type w:val="bbPlcHdr"/>
        </w:types>
        <w:behaviors>
          <w:behavior w:val="content"/>
        </w:behaviors>
        <w:guid w:val="{E6591513-2D76-4D98-9302-E07850D47D4B}"/>
      </w:docPartPr>
      <w:docPartBody>
        <w:p w:rsidR="001301D8" w:rsidRDefault="001301D8" w:rsidP="001301D8">
          <w:pPr>
            <w:pStyle w:val="3EC78D3A0C2B43CCB8E99B662F9D0871"/>
          </w:pPr>
          <w:r w:rsidRPr="00900B71">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NewRomanPSMT">
    <w:charset w:val="00"/>
    <w:family w:val="auto"/>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Symbol"/>
    <w:charset w:val="00"/>
    <w:family w:val="auto"/>
    <w:pitch w:val="default"/>
  </w:font>
  <w:font w:name="MS ??">
    <w:altName w:val="Times New Roman"/>
    <w:charset w:val="00"/>
    <w:family w:val="auto"/>
    <w:pitch w:val="variable"/>
  </w:font>
  <w:font w:name="ArialNarrow">
    <w:altName w:val="MS Mincho"/>
    <w:panose1 w:val="00000000000000000000"/>
    <w:charset w:val="80"/>
    <w:family w:val="auto"/>
    <w:notTrueType/>
    <w:pitch w:val="default"/>
    <w:sig w:usb0="00000001" w:usb1="08070000" w:usb2="00000010" w:usb3="00000000" w:csb0="00020000" w:csb1="00000000"/>
  </w:font>
  <w:font w:name="ArialMT">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Helios-Italic">
    <w:altName w:val="MS Gothic"/>
    <w:panose1 w:val="00000000000000000000"/>
    <w:charset w:val="80"/>
    <w:family w:val="swiss"/>
    <w:notTrueType/>
    <w:pitch w:val="default"/>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1301D8"/>
    <w:rsid w:val="000721FF"/>
    <w:rsid w:val="001301D8"/>
    <w:rsid w:val="00251AB8"/>
    <w:rsid w:val="00301DE6"/>
    <w:rsid w:val="00363C01"/>
    <w:rsid w:val="0048050B"/>
    <w:rsid w:val="00521DBF"/>
    <w:rsid w:val="007410CF"/>
    <w:rsid w:val="00807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5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01D8"/>
    <w:rPr>
      <w:color w:val="808080"/>
    </w:rPr>
  </w:style>
  <w:style w:type="paragraph" w:customStyle="1" w:styleId="3EC78D3A0C2B43CCB8E99B662F9D0871">
    <w:name w:val="3EC78D3A0C2B43CCB8E99B662F9D0871"/>
    <w:rsid w:val="001301D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001A4-A42E-4B33-809F-3A78BA46B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239</Pages>
  <Words>123919</Words>
  <Characters>706340</Characters>
  <Application>Microsoft Office Word</Application>
  <DocSecurity>0</DocSecurity>
  <Lines>5886</Lines>
  <Paragraphs>1657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828602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Иннелаур</dc:creator>
  <cp:lastModifiedBy>Потанина Ольга</cp:lastModifiedBy>
  <cp:revision>13</cp:revision>
  <dcterms:created xsi:type="dcterms:W3CDTF">2018-11-07T15:17:00Z</dcterms:created>
  <dcterms:modified xsi:type="dcterms:W3CDTF">2018-11-12T02:04:00Z</dcterms:modified>
</cp:coreProperties>
</file>