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C911" w14:textId="77777777" w:rsidR="00885916" w:rsidRDefault="0018028B" w:rsidP="006A1F7C">
      <w:pPr>
        <w:spacing w:after="240"/>
        <w:ind w:firstLine="709"/>
        <w:rPr>
          <w:rFonts w:ascii="Times New Roman" w:hAnsi="Times New Roman" w:cs="Times New Roman"/>
          <w:sz w:val="24"/>
          <w:szCs w:val="1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16"/>
          <w:lang w:val="zh-CN"/>
        </w:rPr>
        <w:t>УДК 3</w:t>
      </w:r>
      <w:r>
        <w:rPr>
          <w:rFonts w:ascii="Times New Roman" w:hAnsi="Times New Roman" w:cs="Times New Roman"/>
          <w:sz w:val="24"/>
          <w:szCs w:val="16"/>
          <w:lang w:val="ru-RU"/>
        </w:rPr>
        <w:t>3</w:t>
      </w:r>
    </w:p>
    <w:p w14:paraId="3BF2E638" w14:textId="77777777" w:rsidR="00885916" w:rsidRDefault="00885916" w:rsidP="006A1F7C">
      <w:pPr>
        <w:ind w:firstLine="709"/>
        <w:rPr>
          <w:rFonts w:ascii="Times New Roman" w:hAnsi="Times New Roman" w:cs="Times New Roman"/>
          <w:sz w:val="24"/>
          <w:szCs w:val="16"/>
          <w:lang w:val="zh-CN"/>
        </w:rPr>
      </w:pPr>
    </w:p>
    <w:p w14:paraId="6806E633" w14:textId="77777777" w:rsidR="00885916" w:rsidRDefault="0018028B" w:rsidP="006A1F7C">
      <w:pPr>
        <w:suppressAutoHyphens/>
        <w:spacing w:before="240" w:after="24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>СРАВНИТЕЛЬНЫЙ АНАЛИЗ РОССИЙСКОГО И МЕЖДУНАРОДНОГО ПОДХОДОВ К УЧЁТУ ЛИЗИНГОВЫХ ОПЕРАЦИЙ</w:t>
      </w:r>
    </w:p>
    <w:p w14:paraId="792ECFF0" w14:textId="12246A47" w:rsidR="00885916" w:rsidRPr="004301CA" w:rsidRDefault="0018028B" w:rsidP="006A1F7C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4"/>
          <w:szCs w:val="16"/>
          <w:vertAlign w:val="superscript"/>
          <w:lang w:val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>Е.А.Зубкова</w:t>
      </w:r>
      <w:r w:rsidR="006A1F7C" w:rsidRPr="004301CA">
        <w:rPr>
          <w:rFonts w:ascii="Times New Roman" w:hAnsi="Times New Roman" w:cs="Times New Roman"/>
          <w:b/>
          <w:sz w:val="24"/>
          <w:szCs w:val="16"/>
          <w:vertAlign w:val="superscript"/>
          <w:lang w:val="ru-RU"/>
        </w:rPr>
        <w:t>1</w:t>
      </w:r>
      <w:r w:rsidR="006A1F7C"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>, Т.В.Бубновская</w:t>
      </w:r>
      <w:r w:rsidRPr="004301CA">
        <w:rPr>
          <w:rFonts w:ascii="Times New Roman" w:hAnsi="Times New Roman" w:cs="Times New Roman"/>
          <w:b/>
          <w:sz w:val="24"/>
          <w:szCs w:val="16"/>
          <w:vertAlign w:val="superscript"/>
          <w:lang w:val="ru-RU"/>
        </w:rPr>
        <w:t>2</w:t>
      </w:r>
    </w:p>
    <w:p w14:paraId="39B6CD59" w14:textId="77777777" w:rsidR="00885916" w:rsidRPr="004301CA" w:rsidRDefault="0018028B" w:rsidP="006A1F7C">
      <w:pPr>
        <w:spacing w:before="240" w:after="120"/>
        <w:ind w:firstLine="709"/>
        <w:jc w:val="center"/>
        <w:rPr>
          <w:rFonts w:ascii="Times New Roman" w:hAnsi="Times New Roman" w:cs="Times New Roman"/>
          <w:sz w:val="24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16"/>
          <w:lang w:val="ru-RU"/>
        </w:rPr>
        <w:t>Владивостокский государственный университет</w:t>
      </w:r>
      <w:r w:rsidRPr="004301CA">
        <w:rPr>
          <w:rFonts w:ascii="Times New Roman" w:hAnsi="Times New Roman" w:cs="Times New Roman"/>
          <w:sz w:val="24"/>
          <w:szCs w:val="16"/>
          <w:lang w:val="ru-RU"/>
        </w:rPr>
        <w:t>,</w:t>
      </w:r>
      <w:r>
        <w:rPr>
          <w:rFonts w:ascii="Times New Roman" w:hAnsi="Times New Roman" w:cs="Times New Roman"/>
          <w:sz w:val="24"/>
          <w:szCs w:val="16"/>
          <w:lang w:val="ru-RU"/>
        </w:rPr>
        <w:t xml:space="preserve"> г. Владивосток, Россия</w:t>
      </w:r>
      <w:r w:rsidRPr="004301CA">
        <w:rPr>
          <w:rFonts w:ascii="Times New Roman" w:hAnsi="Times New Roman" w:cs="Times New Roman"/>
          <w:sz w:val="24"/>
          <w:szCs w:val="16"/>
          <w:lang w:val="ru-RU"/>
        </w:rPr>
        <w:t xml:space="preserve"> </w:t>
      </w:r>
    </w:p>
    <w:p w14:paraId="0DF97810" w14:textId="52F3B52C" w:rsidR="00885916" w:rsidRPr="004301CA" w:rsidRDefault="006A1F7C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6A1F7C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Аннотация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Актуальность этой темы связана с тем,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что компаниям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необходимо, в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условиях роста популярности лизинга на мировом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рынке, сблизить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систему бухгалтерского учёта по РСБУ И МСФО. Проблема связана с тем, что между стандартами существуют различия. 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В статье представлен сравнительный анализ российского и международного подходов к бухгалтерскому учёту лизинговых операций на основе ФСБУ 25/2018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Бухгалтерский учёт аренды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и МСФО (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IFRS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) 16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Аренда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Рассмотрены ключевые изменения в учёте лизинговых операций внесённые российским стандартом ФСБУ 25/2018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Бухгалтерский учёт аренды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» в практику учета российских предприятий</w:t>
      </w:r>
      <w:r w:rsidR="0018028B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>. Отдельно рассмотрен учёт лизинга при финансовой и операционной форме. Выявлены</w:t>
      </w:r>
      <w:r w:rsidR="0018028B" w:rsidRPr="004301C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-RU"/>
        </w:rPr>
        <w:t xml:space="preserve"> принципиальные общие черты и отличия в учёте финансовой аренды согласно российским и международным стандарта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м.</w:t>
      </w:r>
    </w:p>
    <w:p w14:paraId="7D59A191" w14:textId="77777777" w:rsidR="00885916" w:rsidRDefault="0018028B" w:rsidP="006A1F7C">
      <w:pPr>
        <w:shd w:val="clear" w:color="auto" w:fill="FFFFFF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iCs/>
          <w:sz w:val="24"/>
          <w:szCs w:val="16"/>
          <w:lang w:val="zh-CN"/>
        </w:rPr>
        <w:t>Ключевые слова и словосочетания</w:t>
      </w:r>
      <w:r>
        <w:rPr>
          <w:rFonts w:ascii="Times New Roman" w:hAnsi="Times New Roman" w:cs="Times New Roman"/>
          <w:sz w:val="24"/>
          <w:szCs w:val="16"/>
          <w:lang w:val="zh-CN"/>
        </w:rPr>
        <w:t>:</w:t>
      </w:r>
      <w:r>
        <w:rPr>
          <w:rFonts w:ascii="Times New Roman" w:hAnsi="Times New Roman" w:cs="Times New Roman"/>
          <w:sz w:val="24"/>
          <w:szCs w:val="16"/>
          <w:lang w:val="ru-RU"/>
        </w:rPr>
        <w:t xml:space="preserve">лизинг,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ФСБУ 25/2018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МСФО 16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, лизингодатель, лизингополучатель, финансовая аренда, операционная аренда.</w:t>
      </w:r>
    </w:p>
    <w:p w14:paraId="7398310F" w14:textId="0C5C8254" w:rsidR="00885916" w:rsidRPr="004301CA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1802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Введение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.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 современных условиях развития рыночной экономики предприятия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часто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сталкиваются с необходимостью постоянного обновления основных средств, внедрения новых технологий и повышения эффективности своей хозяйственной деятельности. Для обеспечения устойчивого развития организации должны использовать различные инструменты финансирования инвестиционной деятельности, позволяющие приобретать современное оборудование, транспортные средства и иные материальные ресурсы. Одним из наиболее эффективных инструментов финансирования инвестиционных проектов является лизинг.</w:t>
      </w:r>
    </w:p>
    <w:p w14:paraId="69649301" w14:textId="31AB7B69" w:rsidR="00885916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Лизинговые операции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являются особой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форм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инвестиционной деятельности,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где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одна сторона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лизингодатель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»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приобретает имущество у поставщика и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передаёт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его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второй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стороне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лизингополучателю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»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во временное пользование за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определённую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плату и на установленный договором срок. По окончании срока действия договора имущество может быть выкуплено лизингополучателем либо возвращено лизингодателю в соответствии с условиями </w:t>
      </w:r>
      <w:r w:rsidR="006A1F7C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договора [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1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]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.</w:t>
      </w:r>
    </w:p>
    <w:p w14:paraId="19253493" w14:textId="4BC85039" w:rsidR="00885916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В современной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практике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в России бухгалтерский учёт лизинга ведётся по российским и международным стандартам. Проблема заключается в том, что между ними существуют различия,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которые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влияют на смысл учёта и результаты финансовой отчётности. Именно поэтому важно знать, как именно происходит учёт по следующим стандартам и знать отличия и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сходства, если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компания планирует выйти на высокий уровень.</w:t>
      </w:r>
    </w:p>
    <w:p w14:paraId="41BBD92B" w14:textId="77777777" w:rsidR="0018028B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1802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Методы и результаты исследования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.</w:t>
      </w:r>
    </w:p>
    <w:p w14:paraId="090D5FA4" w14:textId="40E23945" w:rsidR="00885916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Целью данной статьи является проведение сравнительного анализа российского и международного подходов к учёту лизинговых операций, определение основных сходств и различий между стандартами. Для этого сформированы следующие задачи, а именно, изучение нормативно-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правовой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базы, которая регулирует данные отношения между лизингодателем и лизингополучателем, систематизировать нормативно-правовые требования по данным стандартам.</w:t>
      </w:r>
    </w:p>
    <w:p w14:paraId="20474381" w14:textId="1AC5B7DD" w:rsidR="00885916" w:rsidRDefault="0018028B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 России учёт лизинговых операций регулируется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 w:bidi="ar"/>
        </w:rPr>
        <w:t xml:space="preserve"> </w:t>
      </w:r>
      <w:hyperlink r:id="rId5" w:history="1">
        <w:r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приказом</w:t>
        </w:r>
        <w:r w:rsidRPr="004301CA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 Минфина России от 16.10.2018 </w:t>
        </w:r>
        <w:r w:rsidR="006A1F7C" w:rsidRPr="006A1F7C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№</w:t>
        </w:r>
        <w:r w:rsidRPr="004301CA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 208н (ред. от 29.06.2022) </w:t>
        </w:r>
        <w:r w:rsidR="006A1F7C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«</w:t>
        </w:r>
        <w:r w:rsidRPr="004301CA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Об утверждении Федерального стандарта бухгалтерского учета ФСБУ 25/2018 </w:t>
        </w:r>
        <w:r w:rsidR="006A1F7C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«</w:t>
        </w:r>
        <w:r w:rsidRPr="004301CA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Бухгалтерский учет аренды</w:t>
        </w:r>
        <w:r w:rsidR="006A1F7C">
          <w:rPr>
            <w:rStyle w:val="a3"/>
            <w:rFonts w:ascii="Times New Roman" w:eastAsia="sans-serif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»</w:t>
        </w:r>
      </w:hyperlink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. </w:t>
      </w:r>
      <w:r w:rsidRPr="004301CA"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 xml:space="preserve">Для целей составления финансовой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отчётности</w:t>
      </w:r>
      <w:r w:rsidRPr="004301CA"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 xml:space="preserve"> согласно международным правилам,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>учёт</w:t>
      </w:r>
      <w:r w:rsidRPr="004301CA"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  <w:t xml:space="preserve"> и отражение аренды должны осуществляться, руководя международным ста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ндартом финансовой отчётности № 16 </w:t>
      </w:r>
      <w:r w:rsidR="006A1F7C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="006A1F7C" w:rsidRPr="004301CA">
        <w:rPr>
          <w:rFonts w:ascii="Times New Roman" w:eastAsia="SimSun" w:hAnsi="Times New Roman" w:cs="Times New Roman"/>
          <w:sz w:val="24"/>
          <w:szCs w:val="24"/>
          <w:lang w:val="ru-RU"/>
        </w:rPr>
        <w:t>Аренда</w:t>
      </w:r>
      <w:r w:rsidR="006A1F7C">
        <w:rPr>
          <w:rFonts w:ascii="Times New Roman" w:eastAsia="SimSun" w:hAnsi="Times New Roman" w:cs="Times New Roman"/>
          <w:sz w:val="24"/>
          <w:szCs w:val="24"/>
          <w:lang w:val="ru-RU"/>
        </w:rPr>
        <w:t>» [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2].</w:t>
      </w:r>
    </w:p>
    <w:p w14:paraId="77308308" w14:textId="4F54B93D" w:rsidR="00885916" w:rsidRPr="004301CA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лючевым событием, изменившим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суть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бухгалтерского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аренды и лизинга, стало вступление в силу с 1 января 2022 года для обязательного применения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ф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едерального стандарта бухгалтерского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ФСБУ 25/2018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«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Бухгалтерский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аренды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»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утверждённого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Приказом Минфина России от 16.10.2018 № 208н.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278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ФСБУ 25/2018 применяется сторонами договоров аренды, субаренды и иных договоров, по которым имущество предоставляется во временное пользование.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Организации обязаны применять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новый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стандарт начиная с 2022 год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но также разрешается компаниям применять стандарт раньше.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Также хочу отметить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что стороны договора лизинга применяют ФСБУ 25/2018 вне зависимости от наличия в договоре условия о том, на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чьём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балансе учитывается имущество.</w:t>
      </w:r>
    </w:p>
    <w:p w14:paraId="77A434EE" w14:textId="5961A582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8F3278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ФСБУ 25/2018 стал ответом на давнюю проблему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8F3278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активов, которые арендатор контролирует и из которых извлекает экономические выгоды, но которые ранее не находили отражения на его балансе как собственные.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Стандарт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ввёл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для арендатора новы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объект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ы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учёта, такие как п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раво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ользования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ктивом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Это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означает,</w:t>
      </w:r>
      <w:r w:rsidR="006A1F7C"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что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теперь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арендатор имеет контроль над активом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 соответствующие обязательства по аренде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Для арендодателя стандарт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также сделал новый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объект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учёта, который называется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«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Инвестиции в аренду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»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для долгосрочных договоров.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Это делает финансовое положение компани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более прозрачным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 Теперь мы имеем возможность видеть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реальные активы, которые он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контролиру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ю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т, и реальные обязательства, которые у 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их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</w:t>
      </w:r>
    </w:p>
    <w:p w14:paraId="6CF6FBAB" w14:textId="3665E0D9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соответствии с ФСБУ 25/2018, обязанность классифицировать аренду лежит на арендодателе. Для него вид договора (операционный или финансовый) определяет порядок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состав статей в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отчётности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[3].</w:t>
      </w:r>
      <w:r w:rsidR="008F3278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При операционной аренде предмет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лизинга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продолжает учитываться на балансе лизингодателя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как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основн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средств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или ин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ого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соответствующ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его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актив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При этом учитывается,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что имущество приобретено специально для передачи в аренду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При финансовой аренде лизингодатель списывает переданный в лизинг актив с баланса и признает дебиторскую задолженность лизингополучателя в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размере чистых инвестиций в аренду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Разница между балансовой стоимостью переданного актива 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приведённой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стоимостью будущих платежей признается в качестве прибыли или убытка от </w:t>
      </w:r>
      <w:r w:rsidR="006A1F7C"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выбытия. Второй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вариант позволяет точнее отразить в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отчётности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реальное положение дел, когда все риски и выгоды от использования актива фактически перешли к получателю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именно поэтому обычно лизинговые компании используют это вариант. </w:t>
      </w:r>
    </w:p>
    <w:p w14:paraId="06608758" w14:textId="7EB52901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арендатора вид аренды не влияет на принципы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: по общему правилу,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ППА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обязательство отражаются на его балансе одинаков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о, а именно а</w:t>
      </w:r>
      <w:r w:rsidRPr="004301C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рендатор призна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4301C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 предмет аренды на дату предоставления предмета аренды в качестве права пользования активом с одновременным признанием обязательства по аренде, если иное не установлено настоящим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4301C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тандартом.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Первоначальная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стоимость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ППА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сумма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следующих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элементов:</w:t>
      </w:r>
    </w:p>
    <w:p w14:paraId="7D674CAF" w14:textId="77777777" w:rsidR="00885916" w:rsidRDefault="0018028B" w:rsidP="006A1F7C">
      <w:pPr>
        <w:numPr>
          <w:ilvl w:val="0"/>
          <w:numId w:val="1"/>
        </w:num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ервоначальная оценка обязательства по аренде (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приведённая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стоимость будущих лизинговых платежей);</w:t>
      </w:r>
    </w:p>
    <w:p w14:paraId="21FB7889" w14:textId="77777777" w:rsidR="00885916" w:rsidRDefault="0018028B" w:rsidP="006A1F7C">
      <w:pPr>
        <w:numPr>
          <w:ilvl w:val="0"/>
          <w:numId w:val="1"/>
        </w:num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Л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изинговые платежи,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совершённые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на дату предоставления предмета лизинга или до этой даты (без НДС);</w:t>
      </w:r>
    </w:p>
    <w:p w14:paraId="2FE8D711" w14:textId="77777777" w:rsidR="00885916" w:rsidRDefault="0018028B" w:rsidP="006A1F7C">
      <w:pPr>
        <w:numPr>
          <w:ilvl w:val="0"/>
          <w:numId w:val="1"/>
        </w:num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атраты в связи с получением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ПЛ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 приведением его в состояние, пригодное для использования (доставка, страхование, монтаж);</w:t>
      </w:r>
    </w:p>
    <w:p w14:paraId="7163327F" w14:textId="77777777" w:rsidR="00885916" w:rsidRDefault="0018028B" w:rsidP="006A1F7C">
      <w:pPr>
        <w:numPr>
          <w:ilvl w:val="0"/>
          <w:numId w:val="1"/>
        </w:num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ценочные обязательства, связанные с получением предмета лизинга (например, по его демонтажу и перемещению)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</w:t>
      </w:r>
    </w:p>
    <w:p w14:paraId="6B5EDA6E" w14:textId="1D61FBAB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>Лизингополучател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ю нужно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призна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вать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объект аренды как актив по дебету счета 01 субсчет </w:t>
      </w:r>
      <w:r w:rsidR="006A1F7C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>Право пользования активом</w:t>
      </w:r>
      <w:r w:rsidR="006A1F7C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 одновременным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учётом</w:t>
      </w:r>
      <w:r w:rsidRPr="004301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обязательства по аренде по кредиту счета 76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A1F7C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«</w:t>
      </w:r>
      <w:r w:rsidRPr="004301C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Инвестиции в </w:t>
      </w:r>
      <w:r w:rsidR="006A1F7C" w:rsidRPr="004301C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аренду</w:t>
      </w:r>
      <w:r w:rsidR="006A1F7C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»</w:t>
      </w:r>
      <w:r w:rsidR="006A1F7C" w:rsidRPr="004301C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[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4</w:t>
      </w:r>
      <w:r w:rsidRPr="004301C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]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-RU"/>
        </w:rPr>
        <w:t>.</w:t>
      </w:r>
    </w:p>
    <w:p w14:paraId="519F11F2" w14:textId="77777777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Также н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овый стандарт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российского учёта даёт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арендатор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возможность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освобождени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от балансового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аренды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Получается, что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арендные платежи признаются текущими расходами без формирования права пользования активом и обязательства по аренде.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Но это возможно только при выполнении следующих условий:</w:t>
      </w:r>
    </w:p>
    <w:p w14:paraId="39704B2E" w14:textId="6DB0235D" w:rsidR="00885916" w:rsidRPr="004301CA" w:rsidRDefault="0018028B" w:rsidP="006A1F7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="006A1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301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срок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лизинга</w:t>
      </w:r>
      <w:r w:rsidRPr="004301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не превышает 12 месяцев на дату предоставления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ПЛ</w:t>
      </w:r>
      <w:r w:rsidRPr="004301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14:paraId="6894C70F" w14:textId="19499A54" w:rsidR="00885916" w:rsidRPr="004301CA" w:rsidRDefault="0018028B" w:rsidP="006A1F7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lastRenderedPageBreak/>
        <w:t>-</w:t>
      </w:r>
      <w:r w:rsidR="006A1F7C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рыночная стоимость предмета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лизинга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без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учёта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износа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, 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то есть стоимость аналогичного нового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имущества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не превышает 300 000 руб. и при этом арендатор имеет возможность получать экономические выгоды от предмета аренды преимущественно независимо от других активов;</w:t>
      </w:r>
    </w:p>
    <w:p w14:paraId="052A9AEE" w14:textId="293C92AA" w:rsidR="00885916" w:rsidRDefault="0018028B" w:rsidP="006A1F7C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-</w:t>
      </w:r>
      <w:r w:rsidR="006A1F7C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арендатор относится к экономическим субъектам, которые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могут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применять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упрощённые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способы ведения бухгалтерского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учёта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, включая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упрощённую</w:t>
      </w:r>
      <w:r w:rsidRPr="004301CA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бухгалтерскую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отчётность</w:t>
      </w:r>
      <w:r w:rsidR="008F3278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[5];</w:t>
      </w:r>
    </w:p>
    <w:p w14:paraId="7FD57FC2" w14:textId="33917131" w:rsidR="00885916" w:rsidRDefault="006A1F7C" w:rsidP="006A1F7C">
      <w:pPr>
        <w:shd w:val="clear" w:color="auto" w:fill="FFFFFF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 недавнего времени подходы к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учёту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аренды в российской и международной практике существенно различались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. Поэтому хочу обратить особое внимание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на 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международн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ую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практик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учёта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, основанная на принципах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еждународных стандартов финансовой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отчётности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. В частности, 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учёт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лизинговых операций регулируется стандартом МСФО (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IFRS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) 16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Аренда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»</w:t>
      </w:r>
      <w:r w:rsidR="0018028B"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.</w:t>
      </w:r>
      <w:r w:rsidR="0018028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</w:p>
    <w:p w14:paraId="4C307FFB" w14:textId="3500E0A4" w:rsidR="00885916" w:rsidRPr="004301CA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Сравнительный анализ российского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даёт возможность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выявить ряд существенных различий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 сходств. Во-первых, главной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концепцией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лежащ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основе обоих стандартов,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является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принцип приоритета экономического содержания над юридической формой (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substa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over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form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Смысл основывается на том,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что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операций должен отражать их реальный экономический смысл, а не только формальные условия договора.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Если мы рассматриваем именно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лизинг,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то это значит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что арендатор обязан признать актив и обязательство, связанные с договором, даже если юридически право собственности на актив к нему не переходит. Такой подход кардинально меняет представление аренды в финансовой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отчётности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делая его более прозрачным и достоверным.</w:t>
      </w:r>
    </w:p>
    <w:p w14:paraId="7B39E8F2" w14:textId="77777777" w:rsidR="00885916" w:rsidRPr="004301CA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Во-вторых,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МСФО 16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устанавливает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аренду как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д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оговор или часть договора,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благодаря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которому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передаётся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ППА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течение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определённого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периода в обмен на возмещение.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ФСБУ 25/2018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имеется похожее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определение, основанное на концепции контроля над активом. Таким образом, на концептуальном уровне оба стандарта гармонизированы.</w:t>
      </w:r>
    </w:p>
    <w:p w14:paraId="17E35A40" w14:textId="0679E577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В-третьих, самым главным сходством между двумя стандартами является то, что 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ба стандарта отменили деление аренды на операционную и финансовую для арендатора. Вместо этого арендатор по всем договорам аренды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обязан признавать на балансе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ктив в форме права пользования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Right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of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Use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Asset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ROU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) и обязательство по аренде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Lease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Liability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которое отражает приведённую стоимость будущих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платежей [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6].</w:t>
      </w:r>
    </w:p>
    <w:p w14:paraId="37679BD4" w14:textId="77777777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В-четвёртых, 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ба стандарта позволяют не применять вышеуказанную модель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для двух категорий договоров: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раткосрочная аренда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сроком 12 месяцев и менее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 м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алая стоимость актива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low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value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assets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, например, офисная техника).</w:t>
      </w:r>
    </w:p>
    <w:p w14:paraId="07BF824F" w14:textId="77777777" w:rsidR="00885916" w:rsidRPr="004301CA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В-пятых, 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значально и актив, и обязательство оцениваются по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приведённой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(дисконтированной) стоимости будущих арендных платежей. </w:t>
      </w:r>
    </w:p>
    <w:p w14:paraId="79ABDD22" w14:textId="77777777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Несмотря на концептуальное сходство, между стандартами существует ряд различий, обусловленных спецификой российской нормативной базы и практики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Это одно из наиболее существенных отличий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является то, что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МСФО 16 предполагает симметричный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 арендатора и арендодателя, то есть суммы актива и обязательства у сторон должны быть равны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то есть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симметричны. ФСБУ 25/2018, напротив, устанавливает, что порядок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 одной стороны договора не поставлен в зависимость от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другой стороной. Поэтому суммы задолженностей у сторон договора могут отличаться. Это открывает возможность для отражения сделки по-разному, что может затруднять сверку данных и консолидацию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отчётности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6D472256" w14:textId="2183C473" w:rsidR="00885916" w:rsidRPr="004301CA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Также между стандартами прослеживается разный подход к дисконтированию.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МСФО 16 для определения ставки дисконтирования арендатор должен в первую очередь использовать ставку, подразумеваемую в договоре аренды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="00D10889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terest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implicit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="00D10889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the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lease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). Если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её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невозможно определить, применяется ставка привлечения дополнительных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заёмных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средств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="00D10889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creme</w:t>
      </w:r>
      <w:r w:rsidR="00D10889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tal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borrowi</w:t>
      </w:r>
      <w:r w:rsidR="00D10889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g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rate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). ФСБУ 25/2018 не предусматривает использование ставки из договора в качестве ставки дисконтирования,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необходимо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использовать ставку, по которой арендатор мог бы привлечь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заёмные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средства.</w:t>
      </w:r>
    </w:p>
    <w:p w14:paraId="2640E125" w14:textId="390D023E" w:rsidR="00885916" w:rsidRPr="00C67634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Последним различием между стандартами будет последующая оценка актива в форме права пользования. В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IFRS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16 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«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Аренда</w:t>
      </w:r>
      <w:r w:rsidR="006A1F7C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говорится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что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арендатор может применять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или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lastRenderedPageBreak/>
        <w:t xml:space="preserve">модель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по первоначальной стоимости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amortized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cost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или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модель переоценки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revaluati</w:t>
      </w:r>
      <w:r w:rsidR="00C67634">
        <w:rPr>
          <w:rFonts w:ascii="Times New Roman" w:eastAsia="Arial" w:hAnsi="Times New Roman" w:cs="Times New Roman"/>
          <w:color w:val="000000"/>
          <w:sz w:val="24"/>
          <w:szCs w:val="24"/>
        </w:rPr>
        <w:t>on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model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) для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ROU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актива, если это соответствует его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учётной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политике для аналогичных собственных основных средств. ФСБУ 25/2018 разрешает только модель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по первоначальной стоимости, что снижает гибкость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="00C67634" w:rsidRPr="00C67634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[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7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]</w:t>
      </w:r>
      <w:r w:rsidR="00C67634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</w:t>
      </w:r>
    </w:p>
    <w:p w14:paraId="5405E514" w14:textId="77777777" w:rsidR="00885916" w:rsidRDefault="0018028B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Проведённый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анализ показывает, что ФСБУ 25/2018 и МСФО 16 имеют значительное сходство в базовых принципах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аренды. Главн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ым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российского стандарта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является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внедрение единой модели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для арендатора с отражением актива в форме права пользования и обязательства, что является прямым следствием гармонизации с МСФО 16. Это делает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отчётность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российских компаний, применяющих ФСБУ 25/2018, более сопоставимой с международной.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Однако между стандартами сохраняются принципиальные различия, основным из которых является независимость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сторон договора по ФСБУ 25/2018, что противоречит принципу симметричности, заложенному в МСФО. Это расхождение, а также различия в подходах к выбору ставки дисконтирования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требуют от компаний, готовящих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отчётность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одновременно по РСБУ и МСФО, ведения параллельного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или выполнения сложных трансформационных корректировок. Следует также отметить, что нормативно-правовое регулирование лизинговых операций постоянно развивается, что требует от организаций постоянного мониторинга изменений законодательства и адаптации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учётной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политики.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Организация бухгалтерского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учёта</w:t>
      </w:r>
      <w:r w:rsidRPr="004301C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лизинговых операций должна учитывать требования всех нормативных актов и обеспечивать формирование достоверной и полной информации о деятельности предприятия.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B8D8886" w14:textId="77777777" w:rsidR="00885916" w:rsidRDefault="00885916" w:rsidP="006A1F7C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082C4D10" w14:textId="1CB8E3C8" w:rsidR="00885916" w:rsidRPr="004301CA" w:rsidRDefault="0018028B" w:rsidP="006A1F7C">
      <w:pPr>
        <w:pStyle w:val="1"/>
        <w:numPr>
          <w:ilvl w:val="0"/>
          <w:numId w:val="2"/>
        </w:numPr>
        <w:shd w:val="clear" w:color="auto" w:fill="FFFFFF"/>
        <w:spacing w:beforeAutospacing="0" w:afterAutospacing="0"/>
        <w:ind w:firstLine="709"/>
        <w:jc w:val="both"/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</w:pPr>
      <w:proofErr w:type="spellStart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Шамыратова</w:t>
      </w:r>
      <w:proofErr w:type="spellEnd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, Н. Ш. Лизинг как эффективный инструмент финансирования предпринимательства / Н. Ш. </w:t>
      </w:r>
      <w:proofErr w:type="spellStart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Шамыратова</w:t>
      </w:r>
      <w:proofErr w:type="spellEnd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, А. Р. </w:t>
      </w:r>
      <w:proofErr w:type="spellStart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Рысбеков</w:t>
      </w:r>
      <w:proofErr w:type="spellEnd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 // Известия Иссык-Кульского форума бухгалтеров и аудиторов стран Центральной Азии. – 2023. – № 3(42). – С. 79-84. – </w:t>
      </w:r>
      <w:r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ED</w:t>
      </w:r>
      <w:r w:rsidR="00C67634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N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AZYDPE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.</w:t>
      </w:r>
    </w:p>
    <w:p w14:paraId="58CBD685" w14:textId="3BCF9F03" w:rsidR="00885916" w:rsidRPr="004301CA" w:rsidRDefault="0018028B" w:rsidP="006A1F7C">
      <w:pPr>
        <w:pStyle w:val="1"/>
        <w:numPr>
          <w:ilvl w:val="0"/>
          <w:numId w:val="2"/>
        </w:numPr>
        <w:shd w:val="clear" w:color="auto" w:fill="FFFFFF"/>
        <w:spacing w:beforeAutospacing="0" w:afterAutospacing="0"/>
        <w:ind w:firstLine="709"/>
        <w:jc w:val="both"/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</w:pPr>
      <w:proofErr w:type="spellStart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Бамба</w:t>
      </w:r>
      <w:proofErr w:type="spellEnd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, Ш. И. Российские стандарты по учету финансовой аренды </w:t>
      </w:r>
      <w:r w:rsidR="006A1F7C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«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Лизинг</w:t>
      </w:r>
      <w:r w:rsidR="006A1F7C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»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 и МСФО 16 </w:t>
      </w:r>
      <w:r w:rsidR="006A1F7C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«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Аренда</w:t>
      </w:r>
      <w:r w:rsidR="006A1F7C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»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: сравнительный анализ / Ш. И. </w:t>
      </w:r>
      <w:proofErr w:type="spellStart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Бамба</w:t>
      </w:r>
      <w:proofErr w:type="spellEnd"/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, Н. В. Шарапова // Актуальные вопросы современной экономики. – 2022. – № 6. – С. 533-540. – </w:t>
      </w:r>
      <w:r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ED</w:t>
      </w:r>
      <w:r w:rsidR="00C67634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N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eastAsia="ru-RU"/>
        </w:rPr>
        <w:t>GGQWUO</w:t>
      </w:r>
      <w:r w:rsidRPr="004301CA">
        <w:rPr>
          <w:rFonts w:ascii="Times New Roman" w:eastAsia="Times New Roman" w:hAnsi="Times New Roman" w:hint="default"/>
          <w:b w:val="0"/>
          <w:bCs w:val="0"/>
          <w:color w:val="000000"/>
          <w:sz w:val="24"/>
          <w:szCs w:val="24"/>
          <w:lang w:val="ru-RU" w:eastAsia="ru-RU"/>
        </w:rPr>
        <w:t>.</w:t>
      </w:r>
    </w:p>
    <w:p w14:paraId="256BA618" w14:textId="4632C076" w:rsidR="00885916" w:rsidRPr="004301CA" w:rsidRDefault="0018028B" w:rsidP="006A1F7C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301C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Доюнов</w:t>
      </w:r>
      <w:proofErr w:type="spellEnd"/>
      <w:r w:rsidRPr="004301C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Р. Р. лизинг как вид инвестиционной деятельности / Р. Р. </w:t>
      </w:r>
      <w:proofErr w:type="spellStart"/>
      <w:r w:rsidRPr="004301C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Доюнов</w:t>
      </w:r>
      <w:proofErr w:type="spellEnd"/>
      <w:r w:rsidRPr="004301C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А. Д. По</w:t>
      </w:r>
      <w:r w:rsidRPr="004301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льшина // Аллея науки. – 2023. – Т. 1, № 5(80). – С. 314-317.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</w:t>
      </w:r>
      <w:r w:rsidR="00C67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4301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SRXQVX</w:t>
      </w:r>
      <w:r w:rsidRPr="004301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B6BF275" w14:textId="553B8014" w:rsidR="00885916" w:rsidRPr="004301CA" w:rsidRDefault="0018028B" w:rsidP="006A1F7C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>Шабанникова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Н. Н. Методические подходы к учету операций лизинга основных средств в соответствии с требованиями ФСБУ 25/2018 </w:t>
      </w:r>
      <w:r w:rsidR="006A1F7C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>Бухгалтерский учёт аренды</w:t>
      </w:r>
      <w:r w:rsidR="006A1F7C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/ Н. Н. </w:t>
      </w:r>
      <w:proofErr w:type="spellStart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>Шабанникова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М. А. </w:t>
      </w:r>
      <w:proofErr w:type="spellStart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>Булаткин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Ю. А. Конева // Научный прорыв 2024 : сборник статей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II</w:t>
      </w:r>
      <w:r w:rsidRPr="004301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Международ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ного научно-исследовательского конкурса, Пенза, 20 марта 2023 года. – Пенза: Наука и Просвещение (ИП Гуляев Г.Ю.), 2024. – С. 38-41.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ED</w:t>
      </w:r>
      <w:r w:rsidR="00C676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UHITGW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14:paraId="02FCEC70" w14:textId="40711050" w:rsidR="00885916" w:rsidRPr="00C67634" w:rsidRDefault="0018028B" w:rsidP="00C62550">
      <w:pPr>
        <w:pStyle w:val="1"/>
        <w:numPr>
          <w:ilvl w:val="0"/>
          <w:numId w:val="2"/>
        </w:numPr>
        <w:shd w:val="clear" w:color="auto" w:fill="FFFFFF"/>
        <w:spacing w:beforeAutospacing="0" w:afterAutospacing="0"/>
        <w:ind w:firstLine="709"/>
        <w:jc w:val="both"/>
        <w:rPr>
          <w:rFonts w:ascii="Times New Roman" w:eastAsia="Times New Roman" w:hAnsi="Times New Roman" w:hint="default"/>
          <w:b w:val="0"/>
          <w:bCs w:val="0"/>
          <w:color w:val="000000" w:themeColor="text1"/>
          <w:sz w:val="24"/>
          <w:szCs w:val="24"/>
          <w:lang w:eastAsia="ru-RU"/>
        </w:rPr>
      </w:pPr>
      <w:r w:rsidRPr="004301CA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Федеральный закон </w:t>
      </w:r>
      <w:r w:rsidR="006A1F7C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«</w:t>
      </w:r>
      <w:r w:rsidRPr="004301CA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О бухгалтерском учете</w:t>
      </w:r>
      <w:r w:rsidR="006A1F7C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»</w:t>
      </w:r>
      <w:r w:rsidRPr="004301CA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от 06.12.2011 </w:t>
      </w:r>
      <w:r w:rsidR="006A1F7C" w:rsidRPr="006A1F7C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>№</w:t>
      </w:r>
      <w:r w:rsidRPr="004301CA">
        <w:rPr>
          <w:rFonts w:ascii="Times New Roman" w:eastAsia="sans-serif" w:hAnsi="Times New Roman" w:hint="default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402-ФЗ </w:t>
      </w:r>
      <w:r w:rsidRPr="004301CA">
        <w:rPr>
          <w:rFonts w:ascii="Times New Roman" w:eastAsia="Times New Roman" w:hAnsi="Times New Roman" w:hint="default"/>
          <w:b w:val="0"/>
          <w:bCs w:val="0"/>
          <w:color w:val="000000" w:themeColor="text1"/>
          <w:sz w:val="24"/>
          <w:szCs w:val="24"/>
          <w:lang w:val="ru-RU" w:eastAsia="ru-RU"/>
        </w:rPr>
        <w:t xml:space="preserve">[Электронный </w:t>
      </w:r>
      <w:r w:rsidRPr="00C62550">
        <w:rPr>
          <w:rFonts w:ascii="Times New Roman" w:eastAsia="Times New Roman" w:hAnsi="Times New Roman" w:hint="default"/>
          <w:b w:val="0"/>
          <w:bCs w:val="0"/>
          <w:color w:val="000000" w:themeColor="text1"/>
          <w:sz w:val="24"/>
          <w:szCs w:val="24"/>
          <w:lang w:val="ru-RU" w:eastAsia="ru-RU"/>
        </w:rPr>
        <w:t xml:space="preserve">ресурс]. </w:t>
      </w:r>
      <w:r w:rsidRPr="00C62550">
        <w:rPr>
          <w:rFonts w:ascii="Times New Roman" w:eastAsia="Times New Roman" w:hAnsi="Times New Roman" w:hint="default"/>
          <w:b w:val="0"/>
          <w:bCs w:val="0"/>
          <w:color w:val="000000" w:themeColor="text1"/>
          <w:sz w:val="24"/>
          <w:szCs w:val="24"/>
          <w:lang w:eastAsia="ru-RU"/>
        </w:rPr>
        <w:t xml:space="preserve">URL: </w:t>
      </w:r>
      <w:hyperlink r:id="rId6" w:history="1">
        <w:r w:rsidR="00C67634" w:rsidRPr="004A25E2">
          <w:rPr>
            <w:rStyle w:val="a3"/>
            <w:rFonts w:ascii="Times New Roman" w:eastAsia="Times New Roman" w:hAnsi="Times New Roman" w:hint="default"/>
            <w:b w:val="0"/>
            <w:bCs w:val="0"/>
            <w:sz w:val="24"/>
            <w:szCs w:val="24"/>
            <w:lang w:eastAsia="ru-RU"/>
          </w:rPr>
          <w:t>https://www.consulta№t.ru/document/cons_doc_LAW_122855</w:t>
        </w:r>
      </w:hyperlink>
    </w:p>
    <w:p w14:paraId="6DDC81FA" w14:textId="26074CA6" w:rsidR="00885916" w:rsidRPr="004301CA" w:rsidRDefault="0018028B" w:rsidP="006A1F7C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Зубов, Д. А. Проблемы практического применения ФСБУ 25/2018 </w:t>
      </w:r>
      <w:r w:rsidR="006A1F7C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«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Бухгалтерский учет аренды</w:t>
      </w:r>
      <w:r w:rsidR="006A1F7C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/ Д. А. Зубов, Н. С. </w:t>
      </w:r>
      <w:proofErr w:type="spellStart"/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Пласкова</w:t>
      </w:r>
      <w:proofErr w:type="spellEnd"/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// Экономика и управление: проблемы, решения. – 2022. – Т. 2, № 11(131). – С. 151-158.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DOI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10.36871/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ek</w:t>
      </w:r>
      <w:proofErr w:type="spellEnd"/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up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r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.2022.11.02.023.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ED</w:t>
      </w:r>
      <w:r w:rsidR="00C676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VOPFET</w:t>
      </w:r>
      <w:r w:rsidRPr="004301C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14:paraId="4EF68B6C" w14:textId="6D8D6519" w:rsidR="00885916" w:rsidRPr="004301CA" w:rsidRDefault="0018028B" w:rsidP="006A1F7C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301CA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Файзуллина, Р. И. Правовое обеспечение, особенности отражения в бухгалтерском учете аренды / Р. И. Файзуллина // Вектор экономики. – 2024. – № 9(99). –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ED</w:t>
      </w:r>
      <w:r w:rsidR="00C676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N</w:t>
      </w:r>
      <w:r w:rsidRPr="004301CA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SFMK</w:t>
      </w:r>
      <w:r w:rsidR="00C676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Y</w:t>
      </w:r>
      <w:r w:rsidRPr="004301CA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14:paraId="46545E71" w14:textId="77777777" w:rsidR="006A1F7C" w:rsidRDefault="006A1F7C" w:rsidP="006A1F7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CDB324" w14:textId="629A9955" w:rsidR="00885916" w:rsidRPr="004301CA" w:rsidRDefault="0018028B" w:rsidP="006A1F7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1CA">
        <w:rPr>
          <w:rFonts w:ascii="Times New Roman" w:hAnsi="Times New Roman" w:cs="Times New Roman"/>
          <w:sz w:val="24"/>
          <w:szCs w:val="24"/>
          <w:lang w:val="ru-RU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Татьяна Викторовна </w:t>
      </w:r>
      <w:r w:rsidR="006A1F7C">
        <w:rPr>
          <w:rFonts w:ascii="Times New Roman" w:hAnsi="Times New Roman" w:cs="Times New Roman"/>
          <w:sz w:val="24"/>
          <w:szCs w:val="24"/>
          <w:lang w:val="ru-RU"/>
        </w:rPr>
        <w:t>Бубновская,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кандидат экономических наук, доцент, ФГБОУ ВО </w:t>
      </w:r>
      <w:r w:rsidR="006A1F7C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Владивостокский государственный </w:t>
      </w:r>
      <w:r w:rsidR="006A1F7C">
        <w:rPr>
          <w:rFonts w:ascii="Times New Roman" w:hAnsi="Times New Roman" w:cs="Times New Roman"/>
          <w:sz w:val="24"/>
          <w:szCs w:val="24"/>
          <w:lang w:val="ru-RU"/>
        </w:rPr>
        <w:t>университет»</w:t>
      </w:r>
      <w:r w:rsidRPr="004301CA">
        <w:rPr>
          <w:rFonts w:ascii="Times New Roman" w:hAnsi="Times New Roman" w:cs="Times New Roman"/>
          <w:sz w:val="24"/>
          <w:szCs w:val="24"/>
          <w:lang w:val="ru-RU"/>
        </w:rPr>
        <w:t>, г. Владивосток, Россия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Tatya</w:t>
      </w:r>
      <w:r w:rsidR="00C6763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1C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Bub</w:t>
      </w:r>
      <w:r w:rsidR="00C6763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ovskaya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vvsu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3975BFDF" w14:textId="5FF94A10" w:rsidR="00885916" w:rsidRPr="004301CA" w:rsidRDefault="0018028B" w:rsidP="006A1F7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Елизавета Андреевна Зубкова, </w:t>
      </w:r>
      <w:r w:rsidRPr="004301CA">
        <w:rPr>
          <w:rFonts w:ascii="Times New Roman" w:hAnsi="Times New Roman" w:cs="Times New Roman"/>
          <w:sz w:val="24"/>
          <w:szCs w:val="24"/>
          <w:lang w:val="ru-RU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7634" w:rsidRPr="00C676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ФГБОУ ВО </w:t>
      </w:r>
      <w:r w:rsidR="006A1F7C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Владивостокский государственный </w:t>
      </w:r>
      <w:r w:rsidR="006A1F7C">
        <w:rPr>
          <w:rFonts w:ascii="Times New Roman" w:hAnsi="Times New Roman" w:cs="Times New Roman"/>
          <w:sz w:val="24"/>
          <w:szCs w:val="24"/>
          <w:lang w:val="ru-RU"/>
        </w:rPr>
        <w:t>университет»</w:t>
      </w:r>
      <w:r>
        <w:rPr>
          <w:rFonts w:ascii="Times New Roman" w:hAnsi="Times New Roman" w:cs="Times New Roman"/>
          <w:sz w:val="24"/>
          <w:szCs w:val="24"/>
          <w:lang w:val="ru-RU"/>
        </w:rPr>
        <w:t>, студент</w:t>
      </w:r>
      <w:r w:rsidRPr="004301CA">
        <w:rPr>
          <w:rFonts w:ascii="Times New Roman" w:hAnsi="Times New Roman" w:cs="Times New Roman"/>
          <w:sz w:val="24"/>
          <w:szCs w:val="24"/>
          <w:lang w:val="ru-RU"/>
        </w:rPr>
        <w:t xml:space="preserve">, г. Владивосток, Россия,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zubkova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yelizaveta</w:t>
      </w:r>
      <w:proofErr w:type="spellEnd"/>
      <w:r w:rsidRPr="004301CA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bk</w:t>
      </w:r>
      <w:r w:rsidRPr="004301C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sectPr w:rsidR="00885916" w:rsidRPr="004301CA" w:rsidSect="006A1F7C">
      <w:pgSz w:w="11906" w:h="16838" w:code="9"/>
      <w:pgMar w:top="1134" w:right="1134" w:bottom="1134" w:left="1134" w:header="737" w:footer="1134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C41C"/>
    <w:multiLevelType w:val="singleLevel"/>
    <w:tmpl w:val="0415C41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9D5F03E"/>
    <w:multiLevelType w:val="singleLevel"/>
    <w:tmpl w:val="49D5F0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autoHyphenation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6"/>
    <w:rsid w:val="0018028B"/>
    <w:rsid w:val="003B07BE"/>
    <w:rsid w:val="004301CA"/>
    <w:rsid w:val="006A1F7C"/>
    <w:rsid w:val="00885916"/>
    <w:rsid w:val="008F3278"/>
    <w:rsid w:val="00C62550"/>
    <w:rsid w:val="00C67634"/>
    <w:rsid w:val="00D10889"/>
    <w:rsid w:val="00EB53E0"/>
    <w:rsid w:val="055B3888"/>
    <w:rsid w:val="0D4D5481"/>
    <w:rsid w:val="31520149"/>
    <w:rsid w:val="381C3181"/>
    <w:rsid w:val="594D4BAB"/>
    <w:rsid w:val="5AC132F3"/>
    <w:rsid w:val="744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1C4CE"/>
  <w15:docId w15:val="{F3DD611C-167B-492B-9A88-250D2D0E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C67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&#8470;t.ru/document/cons_doc_LAW_122855" TargetMode="External"/><Relationship Id="rId5" Type="http://schemas.openxmlformats.org/officeDocument/2006/relationships/hyperlink" Target="https://www.consultant.ru/document/cons_doc_LAW_314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Бубновская</cp:lastModifiedBy>
  <cp:revision>2</cp:revision>
  <dcterms:created xsi:type="dcterms:W3CDTF">2026-05-06T06:24:00Z</dcterms:created>
  <dcterms:modified xsi:type="dcterms:W3CDTF">2026-05-06T06:24:00Z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2457F75F2CC140499A050F934D74F9B1_13</vt:lpwstr>
  </property>
</Properties>
</file>